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ayout w:type="fixed"/>
        <w:tblCellMar>
          <w:left w:w="57" w:type="dxa"/>
          <w:right w:w="57" w:type="dxa"/>
        </w:tblCellMar>
        <w:tblLook w:val="04A0" w:firstRow="1" w:lastRow="0" w:firstColumn="1" w:lastColumn="0" w:noHBand="0" w:noVBand="1"/>
      </w:tblPr>
      <w:tblGrid>
        <w:gridCol w:w="1192"/>
        <w:gridCol w:w="359"/>
        <w:gridCol w:w="700"/>
        <w:gridCol w:w="4047"/>
        <w:gridCol w:w="3632"/>
      </w:tblGrid>
      <w:tr w:rsidR="00BE15A7" w14:paraId="6A0EEDFE" w14:textId="77777777" w:rsidTr="00BE15A7">
        <w:trPr>
          <w:cantSplit/>
        </w:trPr>
        <w:tc>
          <w:tcPr>
            <w:tcW w:w="1191" w:type="dxa"/>
            <w:vMerge w:val="restart"/>
            <w:tcBorders>
              <w:top w:val="nil"/>
              <w:left w:val="nil"/>
              <w:bottom w:val="single" w:sz="12" w:space="0" w:color="auto"/>
              <w:right w:val="nil"/>
            </w:tcBorders>
            <w:hideMark/>
          </w:tcPr>
          <w:p w14:paraId="096A6EE3" w14:textId="61D09A57" w:rsidR="00BE15A7" w:rsidRDefault="00BE15A7">
            <w:pPr>
              <w:rPr>
                <w:b/>
                <w:bCs/>
                <w:sz w:val="26"/>
                <w:szCs w:val="20"/>
                <w:lang w:eastAsia="en-GB"/>
              </w:rPr>
            </w:pPr>
            <w:bookmarkStart w:id="0" w:name="dnum" w:colFirst="2" w:colLast="2"/>
            <w:bookmarkStart w:id="1" w:name="dtableau"/>
            <w:r>
              <w:rPr>
                <w:noProof/>
                <w:sz w:val="20"/>
                <w:lang w:val="en-US" w:eastAsia="zh-CN"/>
              </w:rPr>
              <w:drawing>
                <wp:inline distT="0" distB="0" distL="0" distR="0" wp14:anchorId="6C3D5ECA" wp14:editId="3CB75F52">
                  <wp:extent cx="647700" cy="828675"/>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3"/>
            <w:vMerge w:val="restart"/>
            <w:tcBorders>
              <w:top w:val="nil"/>
              <w:left w:val="nil"/>
              <w:bottom w:val="single" w:sz="12" w:space="0" w:color="auto"/>
              <w:right w:val="nil"/>
            </w:tcBorders>
            <w:hideMark/>
          </w:tcPr>
          <w:p w14:paraId="532CA58C" w14:textId="77777777" w:rsidR="00BE15A7" w:rsidRDefault="00BE15A7">
            <w:pPr>
              <w:rPr>
                <w:sz w:val="20"/>
              </w:rPr>
            </w:pPr>
            <w:r>
              <w:rPr>
                <w:sz w:val="20"/>
              </w:rPr>
              <w:t>INTERNATIONAL TELECOMMUNICATION UNION</w:t>
            </w:r>
          </w:p>
          <w:p w14:paraId="72D7D6B4" w14:textId="77777777" w:rsidR="00BE15A7" w:rsidRDefault="00BE15A7">
            <w:pPr>
              <w:rPr>
                <w:b/>
                <w:bCs/>
                <w:sz w:val="26"/>
              </w:rPr>
            </w:pPr>
            <w:r>
              <w:rPr>
                <w:b/>
                <w:bCs/>
                <w:sz w:val="26"/>
              </w:rPr>
              <w:t>TELECOMMUNICATION STANDARDIZATION SECTOR</w:t>
            </w:r>
          </w:p>
          <w:p w14:paraId="5D54B857" w14:textId="77777777" w:rsidR="00BE15A7" w:rsidRDefault="00BE15A7">
            <w:pPr>
              <w:rPr>
                <w:sz w:val="20"/>
              </w:rPr>
            </w:pPr>
            <w:r>
              <w:rPr>
                <w:sz w:val="20"/>
              </w:rPr>
              <w:t>STUDY PERIOD 2017-2020</w:t>
            </w:r>
          </w:p>
        </w:tc>
        <w:tc>
          <w:tcPr>
            <w:tcW w:w="3629" w:type="dxa"/>
            <w:hideMark/>
          </w:tcPr>
          <w:p w14:paraId="1630D2AD" w14:textId="77777777" w:rsidR="00BE15A7" w:rsidRDefault="00BE15A7">
            <w:pPr>
              <w:pStyle w:val="Docnumber"/>
            </w:pPr>
            <w:r>
              <w:rPr>
                <w:sz w:val="32"/>
              </w:rPr>
              <w:t>TSAG-TD942</w:t>
            </w:r>
          </w:p>
        </w:tc>
      </w:tr>
      <w:tr w:rsidR="00BE15A7" w14:paraId="37723A8B" w14:textId="77777777" w:rsidTr="00BE15A7">
        <w:trPr>
          <w:cantSplit/>
          <w:trHeight w:val="461"/>
        </w:trPr>
        <w:tc>
          <w:tcPr>
            <w:tcW w:w="300" w:type="dxa"/>
            <w:vMerge/>
            <w:tcBorders>
              <w:top w:val="nil"/>
              <w:left w:val="nil"/>
              <w:bottom w:val="single" w:sz="12" w:space="0" w:color="auto"/>
              <w:right w:val="nil"/>
            </w:tcBorders>
            <w:vAlign w:val="center"/>
            <w:hideMark/>
          </w:tcPr>
          <w:p w14:paraId="59CD1D7C" w14:textId="77777777" w:rsidR="00BE15A7" w:rsidRDefault="00BE15A7">
            <w:pPr>
              <w:autoSpaceDN/>
              <w:spacing w:before="0"/>
              <w:rPr>
                <w:b/>
                <w:bCs/>
                <w:sz w:val="26"/>
              </w:rPr>
            </w:pPr>
          </w:p>
        </w:tc>
        <w:tc>
          <w:tcPr>
            <w:tcW w:w="900" w:type="dxa"/>
            <w:gridSpan w:val="3"/>
            <w:vMerge/>
            <w:tcBorders>
              <w:top w:val="nil"/>
              <w:left w:val="nil"/>
              <w:bottom w:val="single" w:sz="12" w:space="0" w:color="auto"/>
              <w:right w:val="nil"/>
            </w:tcBorders>
            <w:vAlign w:val="center"/>
            <w:hideMark/>
          </w:tcPr>
          <w:p w14:paraId="2CF113B0" w14:textId="77777777" w:rsidR="00BE15A7" w:rsidRDefault="00BE15A7">
            <w:pPr>
              <w:autoSpaceDN/>
              <w:spacing w:before="0"/>
              <w:rPr>
                <w:sz w:val="20"/>
              </w:rPr>
            </w:pPr>
          </w:p>
        </w:tc>
        <w:tc>
          <w:tcPr>
            <w:tcW w:w="3629" w:type="dxa"/>
            <w:hideMark/>
          </w:tcPr>
          <w:p w14:paraId="378D0128" w14:textId="77777777" w:rsidR="00BE15A7" w:rsidRDefault="00BE15A7">
            <w:pPr>
              <w:jc w:val="right"/>
              <w:rPr>
                <w:b/>
                <w:bCs/>
                <w:sz w:val="28"/>
              </w:rPr>
            </w:pPr>
            <w:r>
              <w:rPr>
                <w:b/>
                <w:bCs/>
                <w:sz w:val="28"/>
              </w:rPr>
              <w:t>TSAG</w:t>
            </w:r>
          </w:p>
        </w:tc>
      </w:tr>
      <w:tr w:rsidR="00BE15A7" w14:paraId="64C526B7" w14:textId="77777777" w:rsidTr="00BE15A7">
        <w:trPr>
          <w:cantSplit/>
          <w:trHeight w:val="379"/>
        </w:trPr>
        <w:tc>
          <w:tcPr>
            <w:tcW w:w="300" w:type="dxa"/>
            <w:vMerge/>
            <w:tcBorders>
              <w:top w:val="nil"/>
              <w:left w:val="nil"/>
              <w:bottom w:val="single" w:sz="12" w:space="0" w:color="auto"/>
              <w:right w:val="nil"/>
            </w:tcBorders>
            <w:vAlign w:val="center"/>
            <w:hideMark/>
          </w:tcPr>
          <w:p w14:paraId="343CA643" w14:textId="77777777" w:rsidR="00BE15A7" w:rsidRDefault="00BE15A7">
            <w:pPr>
              <w:autoSpaceDN/>
              <w:spacing w:before="0"/>
              <w:rPr>
                <w:b/>
                <w:bCs/>
                <w:sz w:val="26"/>
              </w:rPr>
            </w:pPr>
            <w:bookmarkStart w:id="2" w:name="dorlang" w:colFirst="4" w:colLast="4"/>
          </w:p>
        </w:tc>
        <w:tc>
          <w:tcPr>
            <w:tcW w:w="900" w:type="dxa"/>
            <w:gridSpan w:val="3"/>
            <w:vMerge/>
            <w:tcBorders>
              <w:top w:val="nil"/>
              <w:left w:val="nil"/>
              <w:bottom w:val="single" w:sz="12" w:space="0" w:color="auto"/>
              <w:right w:val="nil"/>
            </w:tcBorders>
            <w:vAlign w:val="center"/>
            <w:hideMark/>
          </w:tcPr>
          <w:p w14:paraId="15C321EC" w14:textId="77777777" w:rsidR="00BE15A7" w:rsidRDefault="00BE15A7">
            <w:pPr>
              <w:autoSpaceDN/>
              <w:spacing w:before="0"/>
              <w:rPr>
                <w:sz w:val="20"/>
              </w:rPr>
            </w:pPr>
          </w:p>
        </w:tc>
        <w:tc>
          <w:tcPr>
            <w:tcW w:w="3629" w:type="dxa"/>
            <w:tcBorders>
              <w:top w:val="nil"/>
              <w:left w:val="nil"/>
              <w:bottom w:val="single" w:sz="12" w:space="0" w:color="auto"/>
              <w:right w:val="nil"/>
            </w:tcBorders>
            <w:hideMark/>
          </w:tcPr>
          <w:p w14:paraId="79F91C71" w14:textId="77777777" w:rsidR="00BE15A7" w:rsidRDefault="00BE15A7">
            <w:pPr>
              <w:jc w:val="right"/>
              <w:rPr>
                <w:b/>
                <w:bCs/>
                <w:sz w:val="28"/>
              </w:rPr>
            </w:pPr>
            <w:r>
              <w:rPr>
                <w:b/>
                <w:bCs/>
                <w:sz w:val="28"/>
              </w:rPr>
              <w:t>Original: English</w:t>
            </w:r>
          </w:p>
        </w:tc>
      </w:tr>
      <w:bookmarkEnd w:id="2"/>
      <w:tr w:rsidR="00BE15A7" w14:paraId="49FD2D09" w14:textId="77777777" w:rsidTr="00BE15A7">
        <w:trPr>
          <w:cantSplit/>
          <w:trHeight w:val="357"/>
        </w:trPr>
        <w:tc>
          <w:tcPr>
            <w:tcW w:w="1550" w:type="dxa"/>
            <w:gridSpan w:val="2"/>
            <w:hideMark/>
          </w:tcPr>
          <w:p w14:paraId="7A6B2A7F" w14:textId="77777777" w:rsidR="00BE15A7" w:rsidRDefault="00BE15A7">
            <w:pPr>
              <w:rPr>
                <w:b/>
                <w:bCs/>
              </w:rPr>
            </w:pPr>
            <w:r>
              <w:rPr>
                <w:b/>
                <w:bCs/>
              </w:rPr>
              <w:t>Question(s):</w:t>
            </w:r>
          </w:p>
        </w:tc>
        <w:tc>
          <w:tcPr>
            <w:tcW w:w="4744" w:type="dxa"/>
            <w:gridSpan w:val="2"/>
            <w:hideMark/>
          </w:tcPr>
          <w:p w14:paraId="7C4A392D" w14:textId="44950BFC" w:rsidR="00BE15A7" w:rsidRDefault="00D816A3">
            <w:r>
              <w:t>N/</w:t>
            </w:r>
            <w:r w:rsidR="00BE15A7">
              <w:t>A</w:t>
            </w:r>
          </w:p>
        </w:tc>
        <w:tc>
          <w:tcPr>
            <w:tcW w:w="3629" w:type="dxa"/>
            <w:hideMark/>
          </w:tcPr>
          <w:p w14:paraId="46807B0B" w14:textId="77777777" w:rsidR="00BE15A7" w:rsidRDefault="00BE15A7">
            <w:pPr>
              <w:jc w:val="right"/>
            </w:pPr>
            <w:r>
              <w:t>E-Meeting, 11-18 January 2021</w:t>
            </w:r>
          </w:p>
        </w:tc>
      </w:tr>
      <w:tr w:rsidR="00BE15A7" w14:paraId="22426386" w14:textId="77777777" w:rsidTr="00BE15A7">
        <w:trPr>
          <w:cantSplit/>
          <w:trHeight w:val="357"/>
        </w:trPr>
        <w:tc>
          <w:tcPr>
            <w:tcW w:w="9923" w:type="dxa"/>
            <w:gridSpan w:val="5"/>
            <w:hideMark/>
          </w:tcPr>
          <w:p w14:paraId="10B59C85" w14:textId="02E37F39" w:rsidR="00BE15A7" w:rsidRDefault="00BE15A7">
            <w:pPr>
              <w:jc w:val="center"/>
              <w:rPr>
                <w:b/>
                <w:bCs/>
              </w:rPr>
            </w:pPr>
            <w:bookmarkStart w:id="3" w:name="dtitle"/>
            <w:r>
              <w:rPr>
                <w:b/>
                <w:bCs/>
              </w:rPr>
              <w:t>TD</w:t>
            </w:r>
            <w:r>
              <w:rPr>
                <w:b/>
                <w:bCs/>
              </w:rPr>
              <w:br/>
              <w:t>(Ref</w:t>
            </w:r>
            <w:r w:rsidR="00D816A3">
              <w:rPr>
                <w:b/>
                <w:bCs/>
              </w:rPr>
              <w:t>.</w:t>
            </w:r>
            <w:r>
              <w:rPr>
                <w:b/>
                <w:bCs/>
              </w:rPr>
              <w:t xml:space="preserve">: </w:t>
            </w:r>
            <w:hyperlink r:id="rId8" w:tooltip="ITU-T ftp file restricted to TIES access only" w:history="1">
              <w:r>
                <w:rPr>
                  <w:rStyle w:val="Hyperlink"/>
                </w:rPr>
                <w:t>SG2-LS176</w:t>
              </w:r>
            </w:hyperlink>
            <w:r>
              <w:t>)</w:t>
            </w:r>
          </w:p>
        </w:tc>
        <w:bookmarkEnd w:id="3"/>
      </w:tr>
      <w:tr w:rsidR="00BE15A7" w14:paraId="2D03335E" w14:textId="77777777" w:rsidTr="00BE15A7">
        <w:trPr>
          <w:cantSplit/>
          <w:trHeight w:val="357"/>
        </w:trPr>
        <w:tc>
          <w:tcPr>
            <w:tcW w:w="1550" w:type="dxa"/>
            <w:gridSpan w:val="2"/>
            <w:hideMark/>
          </w:tcPr>
          <w:p w14:paraId="67F0D0E9" w14:textId="77777777" w:rsidR="00BE15A7" w:rsidRDefault="00BE15A7">
            <w:pPr>
              <w:rPr>
                <w:b/>
                <w:bCs/>
              </w:rPr>
            </w:pPr>
            <w:r>
              <w:rPr>
                <w:b/>
                <w:bCs/>
              </w:rPr>
              <w:t>Source:</w:t>
            </w:r>
          </w:p>
        </w:tc>
        <w:tc>
          <w:tcPr>
            <w:tcW w:w="8373" w:type="dxa"/>
            <w:gridSpan w:val="3"/>
            <w:hideMark/>
          </w:tcPr>
          <w:p w14:paraId="1C8B748E" w14:textId="77777777" w:rsidR="00BE15A7" w:rsidRDefault="00BE15A7">
            <w:r>
              <w:t>ITU-T Study Group 2</w:t>
            </w:r>
          </w:p>
        </w:tc>
      </w:tr>
      <w:tr w:rsidR="00BE15A7" w14:paraId="7F7A3DDC" w14:textId="77777777" w:rsidTr="00BE15A7">
        <w:trPr>
          <w:cantSplit/>
          <w:trHeight w:val="357"/>
        </w:trPr>
        <w:tc>
          <w:tcPr>
            <w:tcW w:w="1550" w:type="dxa"/>
            <w:gridSpan w:val="2"/>
            <w:hideMark/>
          </w:tcPr>
          <w:p w14:paraId="6ED6776F" w14:textId="77777777" w:rsidR="00BE15A7" w:rsidRDefault="00BE15A7">
            <w:pPr>
              <w:rPr>
                <w:b/>
                <w:bCs/>
              </w:rPr>
            </w:pPr>
            <w:r>
              <w:rPr>
                <w:b/>
                <w:bCs/>
              </w:rPr>
              <w:t>Title:</w:t>
            </w:r>
          </w:p>
        </w:tc>
        <w:tc>
          <w:tcPr>
            <w:tcW w:w="8373" w:type="dxa"/>
            <w:gridSpan w:val="3"/>
            <w:hideMark/>
          </w:tcPr>
          <w:p w14:paraId="34B0D8CF" w14:textId="38F3CC2C" w:rsidR="00BE15A7" w:rsidRDefault="00BE15A7">
            <w:pPr>
              <w:spacing w:after="120"/>
            </w:pPr>
            <w:r>
              <w:t>LS on ITU-T SG2 lead study group activities</w:t>
            </w:r>
            <w:r w:rsidR="00DE6904">
              <w:t xml:space="preserve"> [from ITU-T SG2]</w:t>
            </w:r>
          </w:p>
        </w:tc>
      </w:tr>
      <w:tr w:rsidR="00BE15A7" w14:paraId="48AB3A68" w14:textId="77777777" w:rsidTr="00BE15A7">
        <w:trPr>
          <w:cantSplit/>
          <w:trHeight w:val="357"/>
        </w:trPr>
        <w:tc>
          <w:tcPr>
            <w:tcW w:w="1550" w:type="dxa"/>
            <w:gridSpan w:val="2"/>
            <w:hideMark/>
          </w:tcPr>
          <w:p w14:paraId="0FA417C3" w14:textId="77777777" w:rsidR="00BE15A7" w:rsidRDefault="00BE15A7">
            <w:pPr>
              <w:rPr>
                <w:b/>
                <w:bCs/>
              </w:rPr>
            </w:pPr>
            <w:r>
              <w:rPr>
                <w:b/>
                <w:bCs/>
              </w:rPr>
              <w:t>Purpose:</w:t>
            </w:r>
          </w:p>
        </w:tc>
        <w:tc>
          <w:tcPr>
            <w:tcW w:w="8373" w:type="dxa"/>
            <w:gridSpan w:val="3"/>
          </w:tcPr>
          <w:p w14:paraId="25304A9D" w14:textId="6CE69B77" w:rsidR="00BE15A7" w:rsidRDefault="00DE6904">
            <w:r>
              <w:t>Information</w:t>
            </w:r>
          </w:p>
        </w:tc>
      </w:tr>
      <w:tr w:rsidR="00BE15A7" w14:paraId="6CB6B11A" w14:textId="77777777" w:rsidTr="00BE15A7">
        <w:trPr>
          <w:cantSplit/>
          <w:trHeight w:val="357"/>
        </w:trPr>
        <w:tc>
          <w:tcPr>
            <w:tcW w:w="9923" w:type="dxa"/>
            <w:gridSpan w:val="5"/>
            <w:tcBorders>
              <w:top w:val="single" w:sz="12" w:space="0" w:color="auto"/>
              <w:left w:val="nil"/>
              <w:bottom w:val="nil"/>
              <w:right w:val="nil"/>
            </w:tcBorders>
            <w:hideMark/>
          </w:tcPr>
          <w:p w14:paraId="6BEC8BA9" w14:textId="77777777" w:rsidR="00BE15A7" w:rsidRDefault="00BE15A7">
            <w:pPr>
              <w:jc w:val="center"/>
              <w:rPr>
                <w:b/>
              </w:rPr>
            </w:pPr>
            <w:r>
              <w:rPr>
                <w:b/>
              </w:rPr>
              <w:t>LIAISON STATEMENT</w:t>
            </w:r>
          </w:p>
        </w:tc>
      </w:tr>
      <w:tr w:rsidR="00BE15A7" w14:paraId="4824B5D3" w14:textId="77777777" w:rsidTr="00BE15A7">
        <w:trPr>
          <w:cantSplit/>
          <w:trHeight w:val="357"/>
        </w:trPr>
        <w:tc>
          <w:tcPr>
            <w:tcW w:w="2250" w:type="dxa"/>
            <w:gridSpan w:val="3"/>
            <w:hideMark/>
          </w:tcPr>
          <w:p w14:paraId="37B52310" w14:textId="77777777" w:rsidR="00BE15A7" w:rsidRDefault="00BE15A7">
            <w:pPr>
              <w:rPr>
                <w:b/>
                <w:bCs/>
              </w:rPr>
            </w:pPr>
            <w:r>
              <w:rPr>
                <w:b/>
                <w:bCs/>
              </w:rPr>
              <w:t>For action to:</w:t>
            </w:r>
          </w:p>
        </w:tc>
        <w:tc>
          <w:tcPr>
            <w:tcW w:w="7673" w:type="dxa"/>
            <w:gridSpan w:val="2"/>
            <w:hideMark/>
          </w:tcPr>
          <w:p w14:paraId="3B0EF6F4" w14:textId="77777777" w:rsidR="00BE15A7" w:rsidRDefault="00BE15A7">
            <w:r>
              <w:t>-</w:t>
            </w:r>
          </w:p>
        </w:tc>
      </w:tr>
      <w:tr w:rsidR="00BE15A7" w14:paraId="47AC3B83" w14:textId="77777777" w:rsidTr="00BE15A7">
        <w:trPr>
          <w:cantSplit/>
          <w:trHeight w:val="357"/>
        </w:trPr>
        <w:tc>
          <w:tcPr>
            <w:tcW w:w="2250" w:type="dxa"/>
            <w:gridSpan w:val="3"/>
            <w:hideMark/>
          </w:tcPr>
          <w:p w14:paraId="4360288F" w14:textId="77777777" w:rsidR="00BE15A7" w:rsidRDefault="00BE15A7">
            <w:pPr>
              <w:rPr>
                <w:b/>
                <w:bCs/>
              </w:rPr>
            </w:pPr>
            <w:r>
              <w:rPr>
                <w:b/>
                <w:bCs/>
              </w:rPr>
              <w:t>For comment to:</w:t>
            </w:r>
          </w:p>
        </w:tc>
        <w:tc>
          <w:tcPr>
            <w:tcW w:w="7673" w:type="dxa"/>
            <w:gridSpan w:val="2"/>
            <w:hideMark/>
          </w:tcPr>
          <w:p w14:paraId="5B00C5AC" w14:textId="77777777" w:rsidR="00BE15A7" w:rsidRDefault="00BE15A7">
            <w:r>
              <w:t>-</w:t>
            </w:r>
          </w:p>
        </w:tc>
      </w:tr>
      <w:tr w:rsidR="00BE15A7" w14:paraId="0F06A5CD" w14:textId="77777777" w:rsidTr="00BE15A7">
        <w:trPr>
          <w:cantSplit/>
          <w:trHeight w:val="357"/>
        </w:trPr>
        <w:tc>
          <w:tcPr>
            <w:tcW w:w="2250" w:type="dxa"/>
            <w:gridSpan w:val="3"/>
            <w:hideMark/>
          </w:tcPr>
          <w:p w14:paraId="3573FD3D" w14:textId="77777777" w:rsidR="00BE15A7" w:rsidRDefault="00BE15A7">
            <w:pPr>
              <w:rPr>
                <w:b/>
                <w:bCs/>
              </w:rPr>
            </w:pPr>
            <w:r>
              <w:rPr>
                <w:b/>
                <w:bCs/>
              </w:rPr>
              <w:t>For information to:</w:t>
            </w:r>
          </w:p>
        </w:tc>
        <w:tc>
          <w:tcPr>
            <w:tcW w:w="7673" w:type="dxa"/>
            <w:gridSpan w:val="2"/>
            <w:hideMark/>
          </w:tcPr>
          <w:p w14:paraId="3DC6CF2C" w14:textId="77777777" w:rsidR="00BE15A7" w:rsidRDefault="00BE15A7">
            <w:r>
              <w:t>TSAG</w:t>
            </w:r>
          </w:p>
        </w:tc>
      </w:tr>
      <w:tr w:rsidR="00BE15A7" w14:paraId="3ADC5E5C" w14:textId="77777777" w:rsidTr="00BE15A7">
        <w:trPr>
          <w:cantSplit/>
          <w:trHeight w:val="357"/>
        </w:trPr>
        <w:tc>
          <w:tcPr>
            <w:tcW w:w="2250" w:type="dxa"/>
            <w:gridSpan w:val="3"/>
            <w:hideMark/>
          </w:tcPr>
          <w:p w14:paraId="0D1362A5" w14:textId="77777777" w:rsidR="00BE15A7" w:rsidRDefault="00BE15A7">
            <w:pPr>
              <w:rPr>
                <w:b/>
                <w:bCs/>
              </w:rPr>
            </w:pPr>
            <w:r>
              <w:rPr>
                <w:b/>
                <w:bCs/>
              </w:rPr>
              <w:t>Approval:</w:t>
            </w:r>
          </w:p>
        </w:tc>
        <w:tc>
          <w:tcPr>
            <w:tcW w:w="7673" w:type="dxa"/>
            <w:gridSpan w:val="2"/>
            <w:hideMark/>
          </w:tcPr>
          <w:p w14:paraId="3BBC1E1F" w14:textId="77777777" w:rsidR="00BE15A7" w:rsidRDefault="00BE15A7">
            <w:r>
              <w:t>ITU-T Study Group 2 management (8 January 2021, by correspondence)</w:t>
            </w:r>
          </w:p>
        </w:tc>
      </w:tr>
      <w:tr w:rsidR="00BE15A7" w14:paraId="0F1152DD" w14:textId="77777777" w:rsidTr="00BE15A7">
        <w:trPr>
          <w:cantSplit/>
          <w:trHeight w:val="357"/>
        </w:trPr>
        <w:tc>
          <w:tcPr>
            <w:tcW w:w="2250" w:type="dxa"/>
            <w:gridSpan w:val="3"/>
            <w:tcBorders>
              <w:top w:val="nil"/>
              <w:left w:val="nil"/>
              <w:bottom w:val="single" w:sz="12" w:space="0" w:color="auto"/>
              <w:right w:val="nil"/>
            </w:tcBorders>
            <w:hideMark/>
          </w:tcPr>
          <w:p w14:paraId="331CB3C2" w14:textId="77777777" w:rsidR="00BE15A7" w:rsidRDefault="00BE15A7">
            <w:r>
              <w:rPr>
                <w:b/>
              </w:rPr>
              <w:t>Deadline:</w:t>
            </w:r>
          </w:p>
        </w:tc>
        <w:tc>
          <w:tcPr>
            <w:tcW w:w="7673" w:type="dxa"/>
            <w:gridSpan w:val="2"/>
            <w:tcBorders>
              <w:top w:val="nil"/>
              <w:left w:val="nil"/>
              <w:bottom w:val="single" w:sz="12" w:space="0" w:color="auto"/>
              <w:right w:val="nil"/>
            </w:tcBorders>
            <w:hideMark/>
          </w:tcPr>
          <w:p w14:paraId="6F28E620" w14:textId="77777777" w:rsidR="00BE15A7" w:rsidRDefault="00BE15A7">
            <w:r>
              <w:t>N/A</w:t>
            </w:r>
          </w:p>
        </w:tc>
      </w:tr>
      <w:tr w:rsidR="00BE15A7" w:rsidRPr="00DE6904" w14:paraId="0B4D53DE" w14:textId="77777777" w:rsidTr="00BE15A7">
        <w:trPr>
          <w:trHeight w:val="204"/>
        </w:trPr>
        <w:tc>
          <w:tcPr>
            <w:tcW w:w="2250" w:type="dxa"/>
            <w:gridSpan w:val="3"/>
            <w:tcBorders>
              <w:top w:val="nil"/>
              <w:left w:val="nil"/>
              <w:bottom w:val="single" w:sz="12" w:space="0" w:color="auto"/>
              <w:right w:val="nil"/>
            </w:tcBorders>
            <w:hideMark/>
          </w:tcPr>
          <w:p w14:paraId="26A497DE" w14:textId="77777777" w:rsidR="00BE15A7" w:rsidRDefault="00BE15A7">
            <w:pPr>
              <w:rPr>
                <w:b/>
                <w:bCs/>
              </w:rPr>
            </w:pPr>
            <w:r>
              <w:rPr>
                <w:b/>
                <w:bCs/>
              </w:rPr>
              <w:t>Contact:</w:t>
            </w:r>
          </w:p>
        </w:tc>
        <w:tc>
          <w:tcPr>
            <w:tcW w:w="4044" w:type="dxa"/>
            <w:tcBorders>
              <w:top w:val="nil"/>
              <w:left w:val="nil"/>
              <w:bottom w:val="single" w:sz="12" w:space="0" w:color="auto"/>
              <w:right w:val="nil"/>
            </w:tcBorders>
            <w:hideMark/>
          </w:tcPr>
          <w:p w14:paraId="1362E03D" w14:textId="77777777" w:rsidR="00BE15A7" w:rsidRDefault="00BE15A7" w:rsidP="00D816A3">
            <w:pPr>
              <w:rPr>
                <w:szCs w:val="20"/>
              </w:rPr>
            </w:pPr>
            <w:r>
              <w:t>Phil Rushton</w:t>
            </w:r>
            <w:r>
              <w:br/>
              <w:t>UK</w:t>
            </w:r>
          </w:p>
        </w:tc>
        <w:tc>
          <w:tcPr>
            <w:tcW w:w="3629" w:type="dxa"/>
            <w:tcBorders>
              <w:top w:val="nil"/>
              <w:left w:val="nil"/>
              <w:bottom w:val="single" w:sz="12" w:space="0" w:color="auto"/>
              <w:right w:val="nil"/>
            </w:tcBorders>
            <w:hideMark/>
          </w:tcPr>
          <w:p w14:paraId="53414DAA" w14:textId="26333272" w:rsidR="00BE15A7" w:rsidRPr="00DE6904" w:rsidRDefault="00BE15A7" w:rsidP="00D816A3">
            <w:pPr>
              <w:spacing w:after="60"/>
              <w:rPr>
                <w:lang w:val="fr-FR"/>
              </w:rPr>
            </w:pPr>
            <w:r w:rsidRPr="00DE6904">
              <w:rPr>
                <w:lang w:val="fr-FR"/>
              </w:rPr>
              <w:t>Tel:</w:t>
            </w:r>
            <w:r w:rsidRPr="00DE6904">
              <w:rPr>
                <w:lang w:val="fr-FR"/>
              </w:rPr>
              <w:tab/>
              <w:t>+44 1206 729738</w:t>
            </w:r>
            <w:r w:rsidRPr="00DE6904">
              <w:rPr>
                <w:lang w:val="fr-FR"/>
              </w:rPr>
              <w:br/>
              <w:t xml:space="preserve">E-mail: </w:t>
            </w:r>
            <w:hyperlink r:id="rId9" w:history="1">
              <w:r w:rsidR="00D816A3" w:rsidRPr="00CD19F1">
                <w:rPr>
                  <w:rStyle w:val="Hyperlink"/>
                  <w:lang w:val="fr-FR"/>
                </w:rPr>
                <w:t>philrushton@rcc-uk.uk</w:t>
              </w:r>
            </w:hyperlink>
            <w:r w:rsidR="00D816A3">
              <w:rPr>
                <w:lang w:val="fr-FR"/>
              </w:rPr>
              <w:t xml:space="preserve"> </w:t>
            </w:r>
          </w:p>
        </w:tc>
      </w:tr>
    </w:tbl>
    <w:p w14:paraId="30972EB6" w14:textId="77777777" w:rsidR="00BE15A7" w:rsidRPr="00DE6904" w:rsidRDefault="00BE15A7" w:rsidP="00BE15A7">
      <w:pPr>
        <w:rPr>
          <w:szCs w:val="20"/>
          <w:lang w:val="fr-FR"/>
        </w:rPr>
      </w:pPr>
    </w:p>
    <w:p w14:paraId="32E7C566" w14:textId="77777777" w:rsidR="00BE15A7" w:rsidRDefault="00BE15A7" w:rsidP="00BE15A7">
      <w:r>
        <w:t>A new liaison statement has been received from SG2.</w:t>
      </w:r>
    </w:p>
    <w:p w14:paraId="008CA643" w14:textId="77777777" w:rsidR="00BE15A7" w:rsidRDefault="00BE15A7" w:rsidP="00BE15A7">
      <w:r>
        <w:t xml:space="preserve">This liaison statement follows and the original file can be downloaded from the ITU ftp server at </w:t>
      </w:r>
      <w:hyperlink r:id="rId10" w:tooltip="ITU-T ftp file restricted to TIES access only" w:history="1">
        <w:r>
          <w:rPr>
            <w:rStyle w:val="Hyperlink"/>
          </w:rPr>
          <w:t>http://handle.itu.int/11.1002/ls/sp16-sg2-oLS-00176.docx</w:t>
        </w:r>
      </w:hyperlink>
      <w:r>
        <w:t>.</w:t>
      </w:r>
    </w:p>
    <w:p w14:paraId="2ED30167" w14:textId="77777777" w:rsidR="00BE15A7" w:rsidRDefault="00BE15A7" w:rsidP="00BE15A7">
      <w:pPr>
        <w:spacing w:before="0"/>
        <w:jc w:val="center"/>
        <w:rPr>
          <w:szCs w:val="20"/>
        </w:rPr>
      </w:pPr>
    </w:p>
    <w:p w14:paraId="59AB0FD5" w14:textId="77777777" w:rsidR="00BE15A7" w:rsidRDefault="00BE15A7">
      <w: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10"/>
        <w:gridCol w:w="3115"/>
        <w:gridCol w:w="145"/>
        <w:gridCol w:w="4536"/>
      </w:tblGrid>
      <w:tr w:rsidR="001B3657" w:rsidRPr="001B3657" w14:paraId="359C48C5" w14:textId="77777777" w:rsidTr="003F6975">
        <w:trPr>
          <w:cantSplit/>
        </w:trPr>
        <w:tc>
          <w:tcPr>
            <w:tcW w:w="1191" w:type="dxa"/>
            <w:vMerge w:val="restart"/>
          </w:tcPr>
          <w:p w14:paraId="1420A3FB" w14:textId="2B904B72" w:rsidR="001B3657" w:rsidRPr="001B3657" w:rsidRDefault="001B3657" w:rsidP="001B3657">
            <w:pPr>
              <w:rPr>
                <w:sz w:val="20"/>
                <w:szCs w:val="20"/>
              </w:rPr>
            </w:pPr>
            <w:r w:rsidRPr="001B3657">
              <w:rPr>
                <w:noProof/>
                <w:sz w:val="20"/>
                <w:szCs w:val="20"/>
                <w:lang w:eastAsia="zh-CN"/>
              </w:rPr>
              <w:lastRenderedPageBreak/>
              <w:drawing>
                <wp:inline distT="0" distB="0" distL="0" distR="0" wp14:anchorId="7994C823" wp14:editId="5BCEDD06">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33F978B" w14:textId="77777777" w:rsidR="001B3657" w:rsidRPr="001B3657" w:rsidRDefault="001B3657" w:rsidP="001B3657">
            <w:pPr>
              <w:rPr>
                <w:sz w:val="16"/>
                <w:szCs w:val="16"/>
              </w:rPr>
            </w:pPr>
            <w:r w:rsidRPr="001B3657">
              <w:rPr>
                <w:sz w:val="16"/>
                <w:szCs w:val="16"/>
              </w:rPr>
              <w:t>INTERNATIONAL TELECOMMUNICATION UNION</w:t>
            </w:r>
          </w:p>
          <w:p w14:paraId="79A594A5" w14:textId="77777777" w:rsidR="001B3657" w:rsidRPr="001B3657" w:rsidRDefault="001B3657" w:rsidP="001B3657">
            <w:pPr>
              <w:rPr>
                <w:b/>
                <w:bCs/>
                <w:sz w:val="26"/>
                <w:szCs w:val="26"/>
              </w:rPr>
            </w:pPr>
            <w:r w:rsidRPr="001B3657">
              <w:rPr>
                <w:b/>
                <w:bCs/>
                <w:sz w:val="26"/>
                <w:szCs w:val="26"/>
              </w:rPr>
              <w:t>TELECOMMUNICATION</w:t>
            </w:r>
            <w:r w:rsidRPr="001B3657">
              <w:rPr>
                <w:b/>
                <w:bCs/>
                <w:sz w:val="26"/>
                <w:szCs w:val="26"/>
              </w:rPr>
              <w:br/>
              <w:t>STANDARDIZATION SECTOR</w:t>
            </w:r>
          </w:p>
          <w:p w14:paraId="60448662" w14:textId="77777777" w:rsidR="001B3657" w:rsidRPr="001B3657" w:rsidRDefault="001B3657" w:rsidP="001B3657">
            <w:pPr>
              <w:rPr>
                <w:sz w:val="20"/>
                <w:szCs w:val="20"/>
              </w:rPr>
            </w:pPr>
            <w:r w:rsidRPr="001B3657">
              <w:rPr>
                <w:sz w:val="20"/>
                <w:szCs w:val="20"/>
              </w:rPr>
              <w:t xml:space="preserve">STUDY PERIOD </w:t>
            </w:r>
            <w:bookmarkStart w:id="4" w:name="dstudyperiod"/>
            <w:r w:rsidRPr="001B3657">
              <w:rPr>
                <w:sz w:val="20"/>
                <w:szCs w:val="20"/>
              </w:rPr>
              <w:t>2017-2020</w:t>
            </w:r>
            <w:bookmarkEnd w:id="4"/>
          </w:p>
        </w:tc>
        <w:tc>
          <w:tcPr>
            <w:tcW w:w="4681" w:type="dxa"/>
            <w:gridSpan w:val="2"/>
            <w:vAlign w:val="center"/>
          </w:tcPr>
          <w:p w14:paraId="3FE454F6" w14:textId="4909889C" w:rsidR="001B3657" w:rsidRPr="00BE15A7" w:rsidRDefault="001B3657" w:rsidP="00BE15A7">
            <w:pPr>
              <w:jc w:val="right"/>
              <w:rPr>
                <w:b/>
                <w:sz w:val="28"/>
              </w:rPr>
            </w:pPr>
            <w:r w:rsidRPr="00BE15A7">
              <w:rPr>
                <w:b/>
                <w:sz w:val="28"/>
              </w:rPr>
              <w:t>SG2-LS176</w:t>
            </w:r>
          </w:p>
        </w:tc>
      </w:tr>
      <w:tr w:rsidR="001B3657" w:rsidRPr="001B3657" w14:paraId="698B3DD4" w14:textId="77777777" w:rsidTr="003F6975">
        <w:trPr>
          <w:cantSplit/>
        </w:trPr>
        <w:tc>
          <w:tcPr>
            <w:tcW w:w="1191" w:type="dxa"/>
            <w:vMerge/>
          </w:tcPr>
          <w:p w14:paraId="47A07A85" w14:textId="77777777" w:rsidR="001B3657" w:rsidRPr="001B3657" w:rsidRDefault="001B3657" w:rsidP="001B3657">
            <w:pPr>
              <w:rPr>
                <w:smallCaps/>
                <w:sz w:val="20"/>
              </w:rPr>
            </w:pPr>
            <w:bookmarkStart w:id="5" w:name="dsg" w:colFirst="2" w:colLast="2"/>
            <w:bookmarkEnd w:id="0"/>
          </w:p>
        </w:tc>
        <w:tc>
          <w:tcPr>
            <w:tcW w:w="4051" w:type="dxa"/>
            <w:gridSpan w:val="3"/>
            <w:vMerge/>
          </w:tcPr>
          <w:p w14:paraId="728908B2" w14:textId="77777777" w:rsidR="001B3657" w:rsidRPr="001B3657" w:rsidRDefault="001B3657" w:rsidP="001B3657">
            <w:pPr>
              <w:rPr>
                <w:smallCaps/>
                <w:sz w:val="20"/>
              </w:rPr>
            </w:pPr>
          </w:p>
        </w:tc>
        <w:tc>
          <w:tcPr>
            <w:tcW w:w="4681" w:type="dxa"/>
            <w:gridSpan w:val="2"/>
          </w:tcPr>
          <w:p w14:paraId="0E1F8057" w14:textId="02607232" w:rsidR="001B3657" w:rsidRPr="001B3657" w:rsidRDefault="001B3657" w:rsidP="001B3657">
            <w:pPr>
              <w:jc w:val="right"/>
              <w:rPr>
                <w:b/>
                <w:bCs/>
                <w:smallCaps/>
                <w:sz w:val="28"/>
                <w:szCs w:val="28"/>
              </w:rPr>
            </w:pPr>
            <w:r>
              <w:rPr>
                <w:b/>
                <w:bCs/>
                <w:smallCaps/>
                <w:sz w:val="28"/>
                <w:szCs w:val="28"/>
              </w:rPr>
              <w:t>STUDY GROUP 2</w:t>
            </w:r>
          </w:p>
        </w:tc>
      </w:tr>
      <w:bookmarkEnd w:id="5"/>
      <w:tr w:rsidR="001B3657" w:rsidRPr="001B3657" w14:paraId="37FD0988" w14:textId="77777777" w:rsidTr="003F6975">
        <w:trPr>
          <w:cantSplit/>
        </w:trPr>
        <w:tc>
          <w:tcPr>
            <w:tcW w:w="1191" w:type="dxa"/>
            <w:vMerge/>
            <w:tcBorders>
              <w:bottom w:val="single" w:sz="12" w:space="0" w:color="auto"/>
            </w:tcBorders>
          </w:tcPr>
          <w:p w14:paraId="1DCFDF03" w14:textId="77777777" w:rsidR="001B3657" w:rsidRPr="001B3657" w:rsidRDefault="001B3657" w:rsidP="001B3657">
            <w:pPr>
              <w:rPr>
                <w:b/>
                <w:bCs/>
                <w:sz w:val="26"/>
              </w:rPr>
            </w:pPr>
          </w:p>
        </w:tc>
        <w:tc>
          <w:tcPr>
            <w:tcW w:w="4051" w:type="dxa"/>
            <w:gridSpan w:val="3"/>
            <w:vMerge/>
            <w:tcBorders>
              <w:bottom w:val="single" w:sz="12" w:space="0" w:color="auto"/>
            </w:tcBorders>
          </w:tcPr>
          <w:p w14:paraId="4AAB2645" w14:textId="77777777" w:rsidR="001B3657" w:rsidRPr="001B3657" w:rsidRDefault="001B3657" w:rsidP="001B3657">
            <w:pPr>
              <w:rPr>
                <w:b/>
                <w:bCs/>
                <w:sz w:val="26"/>
              </w:rPr>
            </w:pPr>
          </w:p>
        </w:tc>
        <w:tc>
          <w:tcPr>
            <w:tcW w:w="4681" w:type="dxa"/>
            <w:gridSpan w:val="2"/>
            <w:tcBorders>
              <w:bottom w:val="single" w:sz="12" w:space="0" w:color="auto"/>
            </w:tcBorders>
            <w:vAlign w:val="center"/>
          </w:tcPr>
          <w:p w14:paraId="22E7F70A" w14:textId="77777777" w:rsidR="001B3657" w:rsidRPr="001B3657" w:rsidRDefault="001B3657" w:rsidP="001B3657">
            <w:pPr>
              <w:jc w:val="right"/>
              <w:rPr>
                <w:b/>
                <w:bCs/>
                <w:sz w:val="28"/>
                <w:szCs w:val="28"/>
              </w:rPr>
            </w:pPr>
            <w:r w:rsidRPr="001B3657">
              <w:rPr>
                <w:b/>
                <w:bCs/>
                <w:sz w:val="28"/>
                <w:szCs w:val="28"/>
              </w:rPr>
              <w:t>Original: English</w:t>
            </w:r>
          </w:p>
        </w:tc>
      </w:tr>
      <w:tr w:rsidR="001B3657" w:rsidRPr="001B3657" w14:paraId="0513EC14" w14:textId="77777777" w:rsidTr="003F6975">
        <w:trPr>
          <w:cantSplit/>
        </w:trPr>
        <w:tc>
          <w:tcPr>
            <w:tcW w:w="1617" w:type="dxa"/>
            <w:gridSpan w:val="2"/>
          </w:tcPr>
          <w:p w14:paraId="01638A84" w14:textId="77777777" w:rsidR="001B3657" w:rsidRPr="001B3657" w:rsidRDefault="001B3657" w:rsidP="001B3657">
            <w:pPr>
              <w:rPr>
                <w:b/>
                <w:bCs/>
              </w:rPr>
            </w:pPr>
            <w:bookmarkStart w:id="6" w:name="dbluepink" w:colFirst="1" w:colLast="1"/>
            <w:bookmarkStart w:id="7" w:name="dmeeting" w:colFirst="2" w:colLast="2"/>
            <w:r w:rsidRPr="001B3657">
              <w:rPr>
                <w:b/>
                <w:bCs/>
              </w:rPr>
              <w:t>Question(s):</w:t>
            </w:r>
          </w:p>
        </w:tc>
        <w:tc>
          <w:tcPr>
            <w:tcW w:w="3625" w:type="dxa"/>
            <w:gridSpan w:val="2"/>
          </w:tcPr>
          <w:p w14:paraId="62C590D7" w14:textId="0DCA951B" w:rsidR="001B3657" w:rsidRPr="001B3657" w:rsidRDefault="001B3657" w:rsidP="001B3657">
            <w:r w:rsidRPr="001B3657">
              <w:t>All/2</w:t>
            </w:r>
          </w:p>
        </w:tc>
        <w:tc>
          <w:tcPr>
            <w:tcW w:w="4681" w:type="dxa"/>
            <w:gridSpan w:val="2"/>
          </w:tcPr>
          <w:p w14:paraId="50526C5C" w14:textId="039181C8" w:rsidR="001B3657" w:rsidRPr="001B3657" w:rsidRDefault="001B3657" w:rsidP="001B3657">
            <w:pPr>
              <w:jc w:val="right"/>
            </w:pPr>
          </w:p>
        </w:tc>
      </w:tr>
      <w:tr w:rsidR="001B3657" w:rsidRPr="001B3657" w14:paraId="09490AC9" w14:textId="77777777" w:rsidTr="003F6975">
        <w:trPr>
          <w:cantSplit/>
        </w:trPr>
        <w:tc>
          <w:tcPr>
            <w:tcW w:w="9923" w:type="dxa"/>
            <w:gridSpan w:val="6"/>
          </w:tcPr>
          <w:p w14:paraId="685468E5" w14:textId="68599E6C" w:rsidR="001B3657" w:rsidRPr="001B3657" w:rsidRDefault="001B3657" w:rsidP="001B3657">
            <w:pPr>
              <w:jc w:val="center"/>
              <w:rPr>
                <w:b/>
                <w:bCs/>
              </w:rPr>
            </w:pPr>
            <w:bookmarkStart w:id="8" w:name="ddoctype" w:colFirst="0" w:colLast="0"/>
            <w:bookmarkEnd w:id="6"/>
            <w:bookmarkEnd w:id="7"/>
            <w:r>
              <w:rPr>
                <w:b/>
                <w:bCs/>
              </w:rPr>
              <w:t>(</w:t>
            </w:r>
            <w:r w:rsidRPr="001B3657">
              <w:rPr>
                <w:b/>
                <w:bCs/>
              </w:rPr>
              <w:t xml:space="preserve">Ref.: </w:t>
            </w:r>
            <w:hyperlink r:id="rId11" w:history="1">
              <w:r w:rsidRPr="001B3657">
                <w:rPr>
                  <w:rStyle w:val="Hyperlink"/>
                  <w:b/>
                  <w:bCs/>
                </w:rPr>
                <w:t>SG2-TD1266-R1</w:t>
              </w:r>
            </w:hyperlink>
            <w:r>
              <w:rPr>
                <w:b/>
                <w:bCs/>
              </w:rPr>
              <w:t>)</w:t>
            </w:r>
          </w:p>
        </w:tc>
      </w:tr>
      <w:tr w:rsidR="001B3657" w:rsidRPr="001B3657" w14:paraId="478F8B09" w14:textId="77777777" w:rsidTr="003F6975">
        <w:trPr>
          <w:cantSplit/>
        </w:trPr>
        <w:tc>
          <w:tcPr>
            <w:tcW w:w="1617" w:type="dxa"/>
            <w:gridSpan w:val="2"/>
          </w:tcPr>
          <w:p w14:paraId="522F8295" w14:textId="77777777" w:rsidR="001B3657" w:rsidRPr="001B3657" w:rsidRDefault="001B3657" w:rsidP="001B3657">
            <w:pPr>
              <w:rPr>
                <w:b/>
                <w:bCs/>
              </w:rPr>
            </w:pPr>
            <w:bookmarkStart w:id="9" w:name="dsource" w:colFirst="1" w:colLast="1"/>
            <w:bookmarkEnd w:id="8"/>
            <w:r w:rsidRPr="001B3657">
              <w:rPr>
                <w:b/>
                <w:bCs/>
              </w:rPr>
              <w:t>Source:</w:t>
            </w:r>
          </w:p>
        </w:tc>
        <w:tc>
          <w:tcPr>
            <w:tcW w:w="8306" w:type="dxa"/>
            <w:gridSpan w:val="4"/>
          </w:tcPr>
          <w:p w14:paraId="03B16580" w14:textId="55E11D7D" w:rsidR="001B3657" w:rsidRPr="001B3657" w:rsidRDefault="001B3657" w:rsidP="001B3657">
            <w:r w:rsidRPr="001B3657">
              <w:t>ITU-T S</w:t>
            </w:r>
            <w:r>
              <w:t xml:space="preserve">tudy </w:t>
            </w:r>
            <w:r w:rsidRPr="001B3657">
              <w:t>G</w:t>
            </w:r>
            <w:r>
              <w:t xml:space="preserve">roup </w:t>
            </w:r>
            <w:r w:rsidRPr="001B3657">
              <w:t>2</w:t>
            </w:r>
          </w:p>
        </w:tc>
      </w:tr>
      <w:tr w:rsidR="001B3657" w:rsidRPr="001B3657" w14:paraId="654334FD" w14:textId="77777777" w:rsidTr="003F6975">
        <w:trPr>
          <w:cantSplit/>
        </w:trPr>
        <w:tc>
          <w:tcPr>
            <w:tcW w:w="1617" w:type="dxa"/>
            <w:gridSpan w:val="2"/>
          </w:tcPr>
          <w:p w14:paraId="68D5A033" w14:textId="77777777" w:rsidR="001B3657" w:rsidRPr="001B3657" w:rsidRDefault="001B3657" w:rsidP="001B3657">
            <w:bookmarkStart w:id="10" w:name="dtitle1" w:colFirst="1" w:colLast="1"/>
            <w:bookmarkEnd w:id="9"/>
            <w:r w:rsidRPr="001B3657">
              <w:rPr>
                <w:b/>
                <w:bCs/>
              </w:rPr>
              <w:t>Title:</w:t>
            </w:r>
          </w:p>
        </w:tc>
        <w:tc>
          <w:tcPr>
            <w:tcW w:w="8306" w:type="dxa"/>
            <w:gridSpan w:val="4"/>
          </w:tcPr>
          <w:p w14:paraId="666FACC0" w14:textId="4952FAF7" w:rsidR="001B3657" w:rsidRPr="001B3657" w:rsidRDefault="001B3657" w:rsidP="001B3657">
            <w:r w:rsidRPr="001B3657">
              <w:t>LS on ITU-T SG2 lead study group activities</w:t>
            </w:r>
          </w:p>
        </w:tc>
      </w:tr>
      <w:tr w:rsidR="001B3657" w:rsidRPr="001B3657" w14:paraId="6D8DF249" w14:textId="77777777" w:rsidTr="003F6975">
        <w:trPr>
          <w:cantSplit/>
        </w:trPr>
        <w:tc>
          <w:tcPr>
            <w:tcW w:w="1617" w:type="dxa"/>
            <w:gridSpan w:val="2"/>
            <w:tcBorders>
              <w:bottom w:val="single" w:sz="8" w:space="0" w:color="auto"/>
            </w:tcBorders>
          </w:tcPr>
          <w:p w14:paraId="5E54B5AF" w14:textId="77777777" w:rsidR="001B3657" w:rsidRPr="001B3657" w:rsidRDefault="001B3657" w:rsidP="001B3657">
            <w:pPr>
              <w:rPr>
                <w:b/>
                <w:bCs/>
              </w:rPr>
            </w:pPr>
            <w:bookmarkStart w:id="11" w:name="dpurpose" w:colFirst="1" w:colLast="1"/>
            <w:bookmarkEnd w:id="10"/>
            <w:r w:rsidRPr="001B3657">
              <w:rPr>
                <w:b/>
                <w:bCs/>
              </w:rPr>
              <w:t>Purpose:</w:t>
            </w:r>
          </w:p>
        </w:tc>
        <w:tc>
          <w:tcPr>
            <w:tcW w:w="8306" w:type="dxa"/>
            <w:gridSpan w:val="4"/>
            <w:tcBorders>
              <w:bottom w:val="single" w:sz="8" w:space="0" w:color="auto"/>
            </w:tcBorders>
          </w:tcPr>
          <w:p w14:paraId="72CAEA5D" w14:textId="5CF9FD77" w:rsidR="001B3657" w:rsidRPr="001B3657" w:rsidRDefault="001B3657" w:rsidP="001B3657">
            <w:r>
              <w:t>Information</w:t>
            </w:r>
          </w:p>
        </w:tc>
      </w:tr>
      <w:bookmarkEnd w:id="1"/>
      <w:bookmarkEnd w:id="11"/>
      <w:tr w:rsidR="009C2284" w:rsidRPr="00B47661" w14:paraId="47FB997E" w14:textId="77777777">
        <w:tblPrEx>
          <w:tblCellMar>
            <w:left w:w="10" w:type="dxa"/>
            <w:right w:w="10" w:type="dxa"/>
          </w:tblCellMar>
        </w:tblPrEx>
        <w:trPr>
          <w:cantSplit/>
          <w:trHeight w:val="357"/>
        </w:trPr>
        <w:tc>
          <w:tcPr>
            <w:tcW w:w="9923" w:type="dxa"/>
            <w:gridSpan w:val="6"/>
            <w:tcBorders>
              <w:top w:val="single" w:sz="12" w:space="0" w:color="000000"/>
            </w:tcBorders>
            <w:shd w:val="clear" w:color="auto" w:fill="auto"/>
            <w:tcMar>
              <w:top w:w="0" w:type="dxa"/>
              <w:left w:w="57" w:type="dxa"/>
              <w:bottom w:w="0" w:type="dxa"/>
              <w:right w:w="57" w:type="dxa"/>
            </w:tcMar>
          </w:tcPr>
          <w:p w14:paraId="10E8A481" w14:textId="77777777" w:rsidR="009C2284" w:rsidRPr="00B47661" w:rsidRDefault="00510A90">
            <w:pPr>
              <w:jc w:val="center"/>
              <w:rPr>
                <w:b/>
              </w:rPr>
            </w:pPr>
            <w:r w:rsidRPr="00B47661">
              <w:rPr>
                <w:b/>
              </w:rPr>
              <w:t>LIAISON STATEMENT</w:t>
            </w:r>
          </w:p>
        </w:tc>
      </w:tr>
      <w:tr w:rsidR="009C2284" w:rsidRPr="00B47661" w14:paraId="429C5998" w14:textId="77777777" w:rsidTr="001B3657">
        <w:tblPrEx>
          <w:tblCellMar>
            <w:left w:w="10" w:type="dxa"/>
            <w:right w:w="10" w:type="dxa"/>
          </w:tblCellMar>
        </w:tblPrEx>
        <w:trPr>
          <w:cantSplit/>
          <w:trHeight w:val="357"/>
        </w:trPr>
        <w:tc>
          <w:tcPr>
            <w:tcW w:w="2127" w:type="dxa"/>
            <w:gridSpan w:val="3"/>
            <w:shd w:val="clear" w:color="auto" w:fill="auto"/>
            <w:tcMar>
              <w:top w:w="0" w:type="dxa"/>
              <w:left w:w="57" w:type="dxa"/>
              <w:bottom w:w="0" w:type="dxa"/>
              <w:right w:w="57" w:type="dxa"/>
            </w:tcMar>
          </w:tcPr>
          <w:p w14:paraId="1A3C4C32" w14:textId="77777777" w:rsidR="009C2284" w:rsidRPr="00B47661" w:rsidRDefault="00510A90">
            <w:pPr>
              <w:rPr>
                <w:b/>
                <w:bCs/>
              </w:rPr>
            </w:pPr>
            <w:r w:rsidRPr="00B47661">
              <w:rPr>
                <w:b/>
                <w:bCs/>
              </w:rPr>
              <w:t>For action to:</w:t>
            </w:r>
          </w:p>
        </w:tc>
        <w:tc>
          <w:tcPr>
            <w:tcW w:w="7796" w:type="dxa"/>
            <w:gridSpan w:val="3"/>
            <w:shd w:val="clear" w:color="auto" w:fill="auto"/>
            <w:tcMar>
              <w:top w:w="0" w:type="dxa"/>
              <w:left w:w="57" w:type="dxa"/>
              <w:bottom w:w="0" w:type="dxa"/>
              <w:right w:w="57" w:type="dxa"/>
            </w:tcMar>
          </w:tcPr>
          <w:p w14:paraId="1643D057" w14:textId="77777777" w:rsidR="009C2284" w:rsidRPr="00B47661" w:rsidRDefault="00FB2AD1">
            <w:pPr>
              <w:pStyle w:val="LSForAction"/>
              <w:rPr>
                <w:szCs w:val="24"/>
              </w:rPr>
            </w:pPr>
            <w:r w:rsidRPr="00B47661">
              <w:rPr>
                <w:szCs w:val="24"/>
              </w:rPr>
              <w:t>-</w:t>
            </w:r>
          </w:p>
        </w:tc>
      </w:tr>
      <w:tr w:rsidR="009C2284" w:rsidRPr="00B47661" w14:paraId="6A8A76DF" w14:textId="77777777" w:rsidTr="001B3657">
        <w:tblPrEx>
          <w:tblCellMar>
            <w:left w:w="10" w:type="dxa"/>
            <w:right w:w="10" w:type="dxa"/>
          </w:tblCellMar>
        </w:tblPrEx>
        <w:trPr>
          <w:cantSplit/>
          <w:trHeight w:val="357"/>
        </w:trPr>
        <w:tc>
          <w:tcPr>
            <w:tcW w:w="2127" w:type="dxa"/>
            <w:gridSpan w:val="3"/>
            <w:shd w:val="clear" w:color="auto" w:fill="auto"/>
            <w:tcMar>
              <w:top w:w="0" w:type="dxa"/>
              <w:left w:w="57" w:type="dxa"/>
              <w:bottom w:w="0" w:type="dxa"/>
              <w:right w:w="57" w:type="dxa"/>
            </w:tcMar>
          </w:tcPr>
          <w:p w14:paraId="0325FAB5" w14:textId="77777777" w:rsidR="009C2284" w:rsidRPr="00B47661" w:rsidRDefault="00510A90">
            <w:pPr>
              <w:rPr>
                <w:b/>
                <w:bCs/>
              </w:rPr>
            </w:pPr>
            <w:r w:rsidRPr="00B47661">
              <w:rPr>
                <w:b/>
                <w:bCs/>
              </w:rPr>
              <w:t>For comment to:</w:t>
            </w:r>
          </w:p>
        </w:tc>
        <w:tc>
          <w:tcPr>
            <w:tcW w:w="7796" w:type="dxa"/>
            <w:gridSpan w:val="3"/>
            <w:shd w:val="clear" w:color="auto" w:fill="auto"/>
            <w:tcMar>
              <w:top w:w="0" w:type="dxa"/>
              <w:left w:w="57" w:type="dxa"/>
              <w:bottom w:w="0" w:type="dxa"/>
              <w:right w:w="57" w:type="dxa"/>
            </w:tcMar>
          </w:tcPr>
          <w:p w14:paraId="630FA71A" w14:textId="77777777" w:rsidR="009C2284" w:rsidRPr="00B47661" w:rsidRDefault="00FB2AD1">
            <w:pPr>
              <w:pStyle w:val="LSForComment"/>
              <w:rPr>
                <w:szCs w:val="24"/>
              </w:rPr>
            </w:pPr>
            <w:r w:rsidRPr="00B47661">
              <w:rPr>
                <w:szCs w:val="24"/>
              </w:rPr>
              <w:t>-</w:t>
            </w:r>
          </w:p>
        </w:tc>
      </w:tr>
      <w:tr w:rsidR="009C2284" w:rsidRPr="00B47661" w14:paraId="7C9AF585" w14:textId="77777777" w:rsidTr="001B3657">
        <w:tblPrEx>
          <w:tblCellMar>
            <w:left w:w="10" w:type="dxa"/>
            <w:right w:w="10" w:type="dxa"/>
          </w:tblCellMar>
        </w:tblPrEx>
        <w:trPr>
          <w:cantSplit/>
          <w:trHeight w:val="357"/>
        </w:trPr>
        <w:tc>
          <w:tcPr>
            <w:tcW w:w="2127" w:type="dxa"/>
            <w:gridSpan w:val="3"/>
            <w:shd w:val="clear" w:color="auto" w:fill="auto"/>
            <w:tcMar>
              <w:top w:w="0" w:type="dxa"/>
              <w:left w:w="57" w:type="dxa"/>
              <w:bottom w:w="0" w:type="dxa"/>
              <w:right w:w="57" w:type="dxa"/>
            </w:tcMar>
          </w:tcPr>
          <w:p w14:paraId="5CFF4577" w14:textId="77777777" w:rsidR="009C2284" w:rsidRPr="00B47661" w:rsidRDefault="00510A90">
            <w:pPr>
              <w:rPr>
                <w:b/>
                <w:bCs/>
              </w:rPr>
            </w:pPr>
            <w:r w:rsidRPr="00B47661">
              <w:rPr>
                <w:b/>
                <w:bCs/>
              </w:rPr>
              <w:t>For information to:</w:t>
            </w:r>
          </w:p>
        </w:tc>
        <w:tc>
          <w:tcPr>
            <w:tcW w:w="7796" w:type="dxa"/>
            <w:gridSpan w:val="3"/>
            <w:shd w:val="clear" w:color="auto" w:fill="auto"/>
            <w:tcMar>
              <w:top w:w="0" w:type="dxa"/>
              <w:left w:w="57" w:type="dxa"/>
              <w:bottom w:w="0" w:type="dxa"/>
              <w:right w:w="57" w:type="dxa"/>
            </w:tcMar>
          </w:tcPr>
          <w:p w14:paraId="4818DB1E" w14:textId="77777777" w:rsidR="009C2284" w:rsidRPr="00B47661" w:rsidRDefault="00510A90">
            <w:pPr>
              <w:pStyle w:val="LSForInfo"/>
              <w:rPr>
                <w:szCs w:val="24"/>
              </w:rPr>
            </w:pPr>
            <w:r w:rsidRPr="00B47661">
              <w:rPr>
                <w:szCs w:val="24"/>
              </w:rPr>
              <w:t>TSAG</w:t>
            </w:r>
          </w:p>
        </w:tc>
      </w:tr>
      <w:tr w:rsidR="005C1C08" w:rsidRPr="00B47661" w14:paraId="05E5CF59" w14:textId="77777777" w:rsidTr="001B3657">
        <w:tblPrEx>
          <w:tblCellMar>
            <w:left w:w="10" w:type="dxa"/>
            <w:right w:w="10" w:type="dxa"/>
          </w:tblCellMar>
        </w:tblPrEx>
        <w:trPr>
          <w:cantSplit/>
          <w:trHeight w:val="357"/>
        </w:trPr>
        <w:tc>
          <w:tcPr>
            <w:tcW w:w="2127" w:type="dxa"/>
            <w:gridSpan w:val="3"/>
            <w:shd w:val="clear" w:color="auto" w:fill="auto"/>
            <w:tcMar>
              <w:top w:w="0" w:type="dxa"/>
              <w:left w:w="57" w:type="dxa"/>
              <w:bottom w:w="0" w:type="dxa"/>
              <w:right w:w="57" w:type="dxa"/>
            </w:tcMar>
          </w:tcPr>
          <w:p w14:paraId="5FC9F789" w14:textId="77777777" w:rsidR="005C1C08" w:rsidRPr="00B47661" w:rsidRDefault="005C1C08" w:rsidP="005C1C08">
            <w:pPr>
              <w:rPr>
                <w:b/>
                <w:bCs/>
              </w:rPr>
            </w:pPr>
            <w:r w:rsidRPr="00B47661">
              <w:rPr>
                <w:b/>
                <w:bCs/>
              </w:rPr>
              <w:t>Approval:</w:t>
            </w:r>
          </w:p>
        </w:tc>
        <w:tc>
          <w:tcPr>
            <w:tcW w:w="7796" w:type="dxa"/>
            <w:gridSpan w:val="3"/>
            <w:shd w:val="clear" w:color="auto" w:fill="auto"/>
            <w:tcMar>
              <w:top w:w="0" w:type="dxa"/>
              <w:left w:w="57" w:type="dxa"/>
              <w:bottom w:w="0" w:type="dxa"/>
              <w:right w:w="57" w:type="dxa"/>
            </w:tcMar>
          </w:tcPr>
          <w:p w14:paraId="622A254C" w14:textId="11D099FD" w:rsidR="005C1C08" w:rsidRPr="00B47661" w:rsidRDefault="005C1C08" w:rsidP="005C1C08">
            <w:r w:rsidRPr="005C1C08">
              <w:t xml:space="preserve">ITU-T Study Group 2 </w:t>
            </w:r>
            <w:r w:rsidRPr="001B3657">
              <w:t>management (</w:t>
            </w:r>
            <w:r w:rsidR="004D21D8" w:rsidRPr="001B3657">
              <w:t>8</w:t>
            </w:r>
            <w:r w:rsidRPr="001B3657">
              <w:t xml:space="preserve"> January 2021, by</w:t>
            </w:r>
            <w:r w:rsidRPr="005C1C08">
              <w:t xml:space="preserve"> correspondence)</w:t>
            </w:r>
          </w:p>
        </w:tc>
      </w:tr>
      <w:tr w:rsidR="009C2284" w:rsidRPr="00B47661" w14:paraId="389A04DD" w14:textId="77777777" w:rsidTr="001B3657">
        <w:tblPrEx>
          <w:tblCellMar>
            <w:left w:w="10" w:type="dxa"/>
            <w:right w:w="10" w:type="dxa"/>
          </w:tblCellMar>
        </w:tblPrEx>
        <w:trPr>
          <w:cantSplit/>
          <w:trHeight w:val="357"/>
        </w:trPr>
        <w:tc>
          <w:tcPr>
            <w:tcW w:w="2127" w:type="dxa"/>
            <w:gridSpan w:val="3"/>
            <w:tcBorders>
              <w:bottom w:val="single" w:sz="12" w:space="0" w:color="000000"/>
            </w:tcBorders>
            <w:shd w:val="clear" w:color="auto" w:fill="auto"/>
            <w:tcMar>
              <w:top w:w="0" w:type="dxa"/>
              <w:left w:w="57" w:type="dxa"/>
              <w:bottom w:w="0" w:type="dxa"/>
              <w:right w:w="57" w:type="dxa"/>
            </w:tcMar>
          </w:tcPr>
          <w:p w14:paraId="5C502AAC" w14:textId="77777777" w:rsidR="009C2284" w:rsidRPr="00B47661" w:rsidRDefault="00510A90">
            <w:pPr>
              <w:rPr>
                <w:b/>
                <w:bCs/>
              </w:rPr>
            </w:pPr>
            <w:r w:rsidRPr="00B47661">
              <w:rPr>
                <w:b/>
                <w:bCs/>
              </w:rPr>
              <w:t>Deadline:</w:t>
            </w:r>
          </w:p>
        </w:tc>
        <w:tc>
          <w:tcPr>
            <w:tcW w:w="7796" w:type="dxa"/>
            <w:gridSpan w:val="3"/>
            <w:tcBorders>
              <w:bottom w:val="single" w:sz="12" w:space="0" w:color="000000"/>
            </w:tcBorders>
            <w:shd w:val="clear" w:color="auto" w:fill="auto"/>
            <w:tcMar>
              <w:top w:w="0" w:type="dxa"/>
              <w:left w:w="57" w:type="dxa"/>
              <w:bottom w:w="0" w:type="dxa"/>
              <w:right w:w="57" w:type="dxa"/>
            </w:tcMar>
          </w:tcPr>
          <w:p w14:paraId="0A82022C" w14:textId="77777777" w:rsidR="009C2284" w:rsidRPr="00B47661" w:rsidRDefault="00510A90">
            <w:pPr>
              <w:pStyle w:val="LSDeadline"/>
              <w:rPr>
                <w:szCs w:val="24"/>
              </w:rPr>
            </w:pPr>
            <w:r w:rsidRPr="00B47661">
              <w:rPr>
                <w:szCs w:val="24"/>
              </w:rPr>
              <w:t>N/A</w:t>
            </w:r>
          </w:p>
        </w:tc>
      </w:tr>
      <w:tr w:rsidR="009C2284" w:rsidRPr="00DE6904" w14:paraId="12FE8316" w14:textId="77777777" w:rsidTr="001B3657">
        <w:tblPrEx>
          <w:tblCellMar>
            <w:left w:w="10" w:type="dxa"/>
            <w:right w:w="10" w:type="dxa"/>
          </w:tblCellMar>
        </w:tblPrEx>
        <w:trPr>
          <w:cantSplit/>
        </w:trPr>
        <w:tc>
          <w:tcPr>
            <w:tcW w:w="2127" w:type="dxa"/>
            <w:gridSpan w:val="3"/>
            <w:tcBorders>
              <w:top w:val="single" w:sz="8" w:space="0" w:color="000000"/>
              <w:bottom w:val="single" w:sz="8" w:space="0" w:color="000000"/>
            </w:tcBorders>
            <w:shd w:val="clear" w:color="auto" w:fill="auto"/>
            <w:tcMar>
              <w:top w:w="0" w:type="dxa"/>
              <w:left w:w="57" w:type="dxa"/>
              <w:bottom w:w="0" w:type="dxa"/>
              <w:right w:w="57" w:type="dxa"/>
            </w:tcMar>
          </w:tcPr>
          <w:p w14:paraId="07B95294" w14:textId="77777777" w:rsidR="009C2284" w:rsidRPr="00B47661" w:rsidRDefault="00510A90">
            <w:pPr>
              <w:rPr>
                <w:b/>
                <w:bCs/>
              </w:rPr>
            </w:pPr>
            <w:r w:rsidRPr="00B47661">
              <w:rPr>
                <w:b/>
                <w:bCs/>
              </w:rPr>
              <w:t>Contact:</w:t>
            </w:r>
          </w:p>
        </w:tc>
        <w:tc>
          <w:tcPr>
            <w:tcW w:w="3260" w:type="dxa"/>
            <w:gridSpan w:val="2"/>
            <w:tcBorders>
              <w:top w:val="single" w:sz="8" w:space="0" w:color="000000"/>
              <w:bottom w:val="single" w:sz="8" w:space="0" w:color="000000"/>
            </w:tcBorders>
            <w:shd w:val="clear" w:color="auto" w:fill="auto"/>
            <w:tcMar>
              <w:top w:w="0" w:type="dxa"/>
              <w:left w:w="57" w:type="dxa"/>
              <w:bottom w:w="0" w:type="dxa"/>
              <w:right w:w="57" w:type="dxa"/>
            </w:tcMar>
          </w:tcPr>
          <w:p w14:paraId="6BA1A565" w14:textId="77777777" w:rsidR="009C2284" w:rsidRPr="00B47661" w:rsidRDefault="00510A90">
            <w:r w:rsidRPr="00B47661">
              <w:t>Phil Rushton</w:t>
            </w:r>
            <w:r w:rsidRPr="00B47661">
              <w:br/>
              <w:t>UK</w:t>
            </w:r>
          </w:p>
        </w:tc>
        <w:tc>
          <w:tcPr>
            <w:tcW w:w="4536" w:type="dxa"/>
            <w:tcBorders>
              <w:top w:val="single" w:sz="8" w:space="0" w:color="000000"/>
              <w:bottom w:val="single" w:sz="8" w:space="0" w:color="000000"/>
            </w:tcBorders>
            <w:shd w:val="clear" w:color="auto" w:fill="auto"/>
            <w:tcMar>
              <w:top w:w="0" w:type="dxa"/>
              <w:left w:w="57" w:type="dxa"/>
              <w:bottom w:w="0" w:type="dxa"/>
              <w:right w:w="57" w:type="dxa"/>
            </w:tcMar>
          </w:tcPr>
          <w:p w14:paraId="33530549" w14:textId="374F8B6F" w:rsidR="009C2284" w:rsidRPr="00CA1499" w:rsidRDefault="00510A90">
            <w:pPr>
              <w:rPr>
                <w:lang w:val="fr-FR"/>
              </w:rPr>
            </w:pPr>
            <w:r w:rsidRPr="00CA1499">
              <w:rPr>
                <w:lang w:val="fr-FR"/>
              </w:rPr>
              <w:t>Tel:</w:t>
            </w:r>
            <w:r w:rsidR="00756FFE">
              <w:rPr>
                <w:lang w:val="fr-FR"/>
              </w:rPr>
              <w:tab/>
            </w:r>
            <w:r w:rsidRPr="00CA1499">
              <w:rPr>
                <w:lang w:val="fr-FR"/>
              </w:rPr>
              <w:t>+44 1206 729738</w:t>
            </w:r>
            <w:r w:rsidRPr="00CA1499">
              <w:rPr>
                <w:lang w:val="fr-FR"/>
              </w:rPr>
              <w:br/>
              <w:t xml:space="preserve">E-mail: </w:t>
            </w:r>
            <w:hyperlink r:id="rId12" w:history="1">
              <w:r w:rsidR="00FB2AD1" w:rsidRPr="00CA1499">
                <w:rPr>
                  <w:rStyle w:val="Hyperlink"/>
                  <w:lang w:val="fr-FR"/>
                </w:rPr>
                <w:t>philrushton@rcc-uk.uk</w:t>
              </w:r>
            </w:hyperlink>
            <w:r w:rsidR="00FB2AD1" w:rsidRPr="00CA1499">
              <w:rPr>
                <w:lang w:val="fr-FR"/>
              </w:rPr>
              <w:t xml:space="preserve"> </w:t>
            </w:r>
          </w:p>
        </w:tc>
      </w:tr>
    </w:tbl>
    <w:p w14:paraId="48F793FF" w14:textId="77777777" w:rsidR="009C2284" w:rsidRPr="00CA1499" w:rsidRDefault="009C2284">
      <w:pPr>
        <w:rPr>
          <w:lang w:val="fr-FR"/>
        </w:rPr>
      </w:pPr>
    </w:p>
    <w:tbl>
      <w:tblPr>
        <w:tblW w:w="9923" w:type="dxa"/>
        <w:tblLayout w:type="fixed"/>
        <w:tblCellMar>
          <w:left w:w="10" w:type="dxa"/>
          <w:right w:w="10" w:type="dxa"/>
        </w:tblCellMar>
        <w:tblLook w:val="0000" w:firstRow="0" w:lastRow="0" w:firstColumn="0" w:lastColumn="0" w:noHBand="0" w:noVBand="0"/>
      </w:tblPr>
      <w:tblGrid>
        <w:gridCol w:w="1641"/>
        <w:gridCol w:w="8282"/>
      </w:tblGrid>
      <w:tr w:rsidR="009C2284" w:rsidRPr="006C0A8A" w14:paraId="68A29540" w14:textId="77777777">
        <w:trPr>
          <w:cantSplit/>
        </w:trPr>
        <w:tc>
          <w:tcPr>
            <w:tcW w:w="1641" w:type="dxa"/>
            <w:shd w:val="clear" w:color="auto" w:fill="auto"/>
            <w:tcMar>
              <w:top w:w="0" w:type="dxa"/>
              <w:left w:w="57" w:type="dxa"/>
              <w:bottom w:w="0" w:type="dxa"/>
              <w:right w:w="57" w:type="dxa"/>
            </w:tcMar>
          </w:tcPr>
          <w:p w14:paraId="5CF56F88" w14:textId="77777777" w:rsidR="009C2284" w:rsidRPr="006C0A8A" w:rsidRDefault="00510A90" w:rsidP="00FB2AD1">
            <w:pPr>
              <w:spacing w:after="60"/>
              <w:rPr>
                <w:b/>
                <w:bCs/>
              </w:rPr>
            </w:pPr>
            <w:r w:rsidRPr="006C0A8A">
              <w:rPr>
                <w:b/>
                <w:bCs/>
              </w:rPr>
              <w:t>Keywords:</w:t>
            </w:r>
          </w:p>
        </w:tc>
        <w:tc>
          <w:tcPr>
            <w:tcW w:w="8282" w:type="dxa"/>
            <w:shd w:val="clear" w:color="auto" w:fill="auto"/>
            <w:tcMar>
              <w:top w:w="0" w:type="dxa"/>
              <w:left w:w="57" w:type="dxa"/>
              <w:bottom w:w="0" w:type="dxa"/>
              <w:right w:w="57" w:type="dxa"/>
            </w:tcMar>
          </w:tcPr>
          <w:p w14:paraId="4EC4A2B3" w14:textId="77777777" w:rsidR="009C2284" w:rsidRPr="006C0A8A" w:rsidRDefault="00A61CBC" w:rsidP="00FB2AD1">
            <w:pPr>
              <w:spacing w:after="60"/>
            </w:pPr>
            <w:r w:rsidRPr="006C0A8A">
              <w:t>Numbering, Naming, Identifiers, Services, Routeing, Telecommunications Management, Fraud Management.</w:t>
            </w:r>
          </w:p>
        </w:tc>
      </w:tr>
      <w:tr w:rsidR="009C2284" w:rsidRPr="006C0A8A" w14:paraId="64ED74DE" w14:textId="77777777">
        <w:trPr>
          <w:cantSplit/>
        </w:trPr>
        <w:tc>
          <w:tcPr>
            <w:tcW w:w="1641" w:type="dxa"/>
            <w:shd w:val="clear" w:color="auto" w:fill="auto"/>
            <w:tcMar>
              <w:top w:w="0" w:type="dxa"/>
              <w:left w:w="57" w:type="dxa"/>
              <w:bottom w:w="0" w:type="dxa"/>
              <w:right w:w="57" w:type="dxa"/>
            </w:tcMar>
          </w:tcPr>
          <w:p w14:paraId="4044AB7D" w14:textId="77777777" w:rsidR="009C2284" w:rsidRPr="006C0A8A" w:rsidRDefault="00510A90" w:rsidP="00FB2AD1">
            <w:pPr>
              <w:spacing w:after="60"/>
              <w:rPr>
                <w:b/>
                <w:bCs/>
              </w:rPr>
            </w:pPr>
            <w:r w:rsidRPr="006C0A8A">
              <w:rPr>
                <w:b/>
                <w:bCs/>
              </w:rPr>
              <w:t>Abstract:</w:t>
            </w:r>
          </w:p>
        </w:tc>
        <w:tc>
          <w:tcPr>
            <w:tcW w:w="8282" w:type="dxa"/>
            <w:shd w:val="clear" w:color="auto" w:fill="auto"/>
            <w:tcMar>
              <w:top w:w="0" w:type="dxa"/>
              <w:left w:w="57" w:type="dxa"/>
              <w:bottom w:w="0" w:type="dxa"/>
              <w:right w:w="57" w:type="dxa"/>
            </w:tcMar>
          </w:tcPr>
          <w:p w14:paraId="2573C230" w14:textId="29085308" w:rsidR="009C2284" w:rsidRPr="006C0A8A" w:rsidRDefault="00A61CBC" w:rsidP="00921F96">
            <w:pPr>
              <w:spacing w:after="60"/>
            </w:pPr>
            <w:r w:rsidRPr="006C0A8A">
              <w:t xml:space="preserve">This </w:t>
            </w:r>
            <w:r w:rsidR="00BD0968" w:rsidRPr="006C0A8A">
              <w:t xml:space="preserve">liaison </w:t>
            </w:r>
            <w:r w:rsidRPr="006C0A8A">
              <w:t>contains the report of the ITU-T SG2 on lead study group activities (</w:t>
            </w:r>
            <w:r w:rsidR="003A104F" w:rsidRPr="006C0A8A">
              <w:t xml:space="preserve">September </w:t>
            </w:r>
            <w:r w:rsidR="009766C3">
              <w:t xml:space="preserve">to December </w:t>
            </w:r>
            <w:r w:rsidR="000C4528" w:rsidRPr="006C0A8A">
              <w:t>2020</w:t>
            </w:r>
            <w:r w:rsidRPr="006C0A8A">
              <w:t>).</w:t>
            </w:r>
          </w:p>
        </w:tc>
      </w:tr>
    </w:tbl>
    <w:p w14:paraId="04A942CB" w14:textId="77777777" w:rsidR="00A61CBC" w:rsidRPr="006C0A8A" w:rsidRDefault="00A61CBC" w:rsidP="00A61CBC">
      <w:pPr>
        <w:pStyle w:val="Heading1"/>
        <w:numPr>
          <w:ilvl w:val="0"/>
          <w:numId w:val="4"/>
        </w:numPr>
        <w:tabs>
          <w:tab w:val="clear" w:pos="794"/>
          <w:tab w:val="left" w:pos="294"/>
        </w:tabs>
        <w:suppressAutoHyphens w:val="0"/>
        <w:adjustRightInd w:val="0"/>
        <w:ind w:left="426" w:hanging="426"/>
        <w:textAlignment w:val="auto"/>
      </w:pPr>
      <w:r w:rsidRPr="006C0A8A">
        <w:t>Background</w:t>
      </w:r>
    </w:p>
    <w:p w14:paraId="6C740690" w14:textId="77777777" w:rsidR="00A61CBC" w:rsidRPr="006C0A8A" w:rsidRDefault="00A61CBC" w:rsidP="00A61CBC">
      <w:r w:rsidRPr="006C0A8A">
        <w:t>According to Resolution 2 of WTSA-16, ITU-T SG2 is the lead study group on:</w:t>
      </w:r>
    </w:p>
    <w:p w14:paraId="3A2CB195" w14:textId="77777777" w:rsidR="00A61CBC" w:rsidRPr="006C0A8A" w:rsidRDefault="00B83EC6" w:rsidP="00B83EC6">
      <w:pPr>
        <w:pStyle w:val="enumlev1"/>
      </w:pPr>
      <w:r w:rsidRPr="006C0A8A">
        <w:t>–</w:t>
      </w:r>
      <w:r w:rsidRPr="006C0A8A">
        <w:tab/>
      </w:r>
      <w:r w:rsidR="00A61CBC" w:rsidRPr="006C0A8A">
        <w:t xml:space="preserve">Lead study group on numbering, naming, addressing, identification and routing </w:t>
      </w:r>
    </w:p>
    <w:p w14:paraId="5FA570ED" w14:textId="77777777" w:rsidR="00A61CBC" w:rsidRPr="006C0A8A" w:rsidRDefault="00B83EC6" w:rsidP="00B83EC6">
      <w:pPr>
        <w:pStyle w:val="enumlev1"/>
      </w:pPr>
      <w:r w:rsidRPr="006C0A8A">
        <w:t>–</w:t>
      </w:r>
      <w:r w:rsidRPr="006C0A8A">
        <w:tab/>
      </w:r>
      <w:r w:rsidR="00A61CBC" w:rsidRPr="006C0A8A">
        <w:t>Lead study group on service</w:t>
      </w:r>
      <w:r w:rsidR="00A61CBC" w:rsidRPr="006C0A8A">
        <w:rPr>
          <w:spacing w:val="-4"/>
        </w:rPr>
        <w:t xml:space="preserve"> </w:t>
      </w:r>
      <w:r w:rsidR="00A61CBC" w:rsidRPr="006C0A8A">
        <w:t>definition</w:t>
      </w:r>
    </w:p>
    <w:p w14:paraId="68EA1F18" w14:textId="77777777" w:rsidR="00A61CBC" w:rsidRPr="006C0A8A" w:rsidRDefault="00B83EC6" w:rsidP="00B83EC6">
      <w:pPr>
        <w:pStyle w:val="enumlev1"/>
      </w:pPr>
      <w:r w:rsidRPr="006C0A8A">
        <w:t>–</w:t>
      </w:r>
      <w:r w:rsidRPr="006C0A8A">
        <w:tab/>
      </w:r>
      <w:r w:rsidR="00A61CBC" w:rsidRPr="006C0A8A">
        <w:t>Lead study group on telecommunications for disaster relief/early warning, network resilience and recovery</w:t>
      </w:r>
    </w:p>
    <w:p w14:paraId="78B7C43E" w14:textId="77777777" w:rsidR="00A61CBC" w:rsidRPr="006C0A8A" w:rsidRDefault="00B83EC6" w:rsidP="00B83EC6">
      <w:pPr>
        <w:pStyle w:val="enumlev1"/>
      </w:pPr>
      <w:r w:rsidRPr="006C0A8A">
        <w:t>–</w:t>
      </w:r>
      <w:r w:rsidRPr="006C0A8A">
        <w:tab/>
      </w:r>
      <w:r w:rsidR="00A61CBC" w:rsidRPr="006C0A8A">
        <w:t>Lead study group on telecommunication management</w:t>
      </w:r>
    </w:p>
    <w:p w14:paraId="3CF06746" w14:textId="5DCD547A" w:rsidR="00A61CBC" w:rsidRPr="006C0A8A" w:rsidRDefault="00A61CBC" w:rsidP="00921F96">
      <w:pPr>
        <w:pStyle w:val="Heading1"/>
        <w:numPr>
          <w:ilvl w:val="0"/>
          <w:numId w:val="4"/>
        </w:numPr>
        <w:tabs>
          <w:tab w:val="clear" w:pos="794"/>
          <w:tab w:val="left" w:pos="360"/>
        </w:tabs>
        <w:suppressAutoHyphens w:val="0"/>
        <w:adjustRightInd w:val="0"/>
        <w:ind w:left="426" w:hanging="426"/>
        <w:textAlignment w:val="auto"/>
      </w:pPr>
      <w:r w:rsidRPr="006C0A8A">
        <w:t>Report of ITU-T SG2 on lead study group activities (</w:t>
      </w:r>
      <w:r w:rsidR="003A104F" w:rsidRPr="006C0A8A">
        <w:t xml:space="preserve">September </w:t>
      </w:r>
      <w:r w:rsidR="00482C0C">
        <w:t xml:space="preserve">– December </w:t>
      </w:r>
      <w:r w:rsidR="000C4528" w:rsidRPr="006C0A8A">
        <w:t>2020</w:t>
      </w:r>
      <w:r w:rsidRPr="006C0A8A">
        <w:t>)</w:t>
      </w:r>
    </w:p>
    <w:p w14:paraId="6DB6BFDE" w14:textId="77777777" w:rsidR="00A61CBC" w:rsidRPr="006C0A8A" w:rsidRDefault="00A61CBC" w:rsidP="00A61CBC">
      <w:pPr>
        <w:pStyle w:val="Heading2"/>
        <w:tabs>
          <w:tab w:val="clear" w:pos="794"/>
          <w:tab w:val="left" w:pos="0"/>
        </w:tabs>
        <w:ind w:left="0" w:firstLine="0"/>
      </w:pPr>
      <w:r w:rsidRPr="006C0A8A">
        <w:t>2.1 Allocation of Global Resources</w:t>
      </w:r>
    </w:p>
    <w:p w14:paraId="16EBA6E1" w14:textId="68181A48" w:rsidR="00A61CBC" w:rsidRPr="00B47661" w:rsidRDefault="00A61CBC" w:rsidP="00B83EC6">
      <w:r w:rsidRPr="006C0A8A">
        <w:t xml:space="preserve">These resources are assigned by the Director of the TSB in accordance with the criteria detailed in the relevant ITU-T Recommendations that are under the responsibility of </w:t>
      </w:r>
      <w:r w:rsidR="00CA1499" w:rsidRPr="006C0A8A">
        <w:t xml:space="preserve">ITU-T </w:t>
      </w:r>
      <w:r w:rsidRPr="006C0A8A">
        <w:t xml:space="preserve">SG2. These criteria </w:t>
      </w:r>
      <w:r w:rsidR="00CA1499" w:rsidRPr="006C0A8A">
        <w:t xml:space="preserve">are </w:t>
      </w:r>
      <w:r w:rsidRPr="006C0A8A">
        <w:t>both</w:t>
      </w:r>
      <w:r w:rsidR="00CA1499" w:rsidRPr="006C0A8A">
        <w:t xml:space="preserve"> </w:t>
      </w:r>
      <w:r w:rsidRPr="006C0A8A">
        <w:t>service based and network based.</w:t>
      </w:r>
      <w:r w:rsidRPr="00B47661">
        <w:t xml:space="preserve"> </w:t>
      </w:r>
    </w:p>
    <w:p w14:paraId="696DC9B2" w14:textId="57E4DC9F" w:rsidR="00A61CBC" w:rsidRPr="00593EEF" w:rsidRDefault="00A61CBC" w:rsidP="006F5457">
      <w:pPr>
        <w:pStyle w:val="ListParagraph"/>
        <w:keepNext/>
        <w:keepLines/>
        <w:snapToGrid w:val="0"/>
        <w:spacing w:before="240" w:after="120"/>
        <w:ind w:left="0"/>
      </w:pPr>
      <w:r w:rsidRPr="00B47661">
        <w:rPr>
          <w:bCs/>
        </w:rPr>
        <w:lastRenderedPageBreak/>
        <w:t>T</w:t>
      </w:r>
      <w:r w:rsidRPr="00B47661">
        <w:t xml:space="preserve">he activity in support of allocations for service </w:t>
      </w:r>
      <w:r w:rsidRPr="00C14E86">
        <w:t>based allocations, for the period between SG2 meetings</w:t>
      </w:r>
      <w:r w:rsidR="00B11FAE" w:rsidRPr="00C14E86">
        <w:t xml:space="preserve"> </w:t>
      </w:r>
      <w:r w:rsidRPr="00C14E86">
        <w:t>(</w:t>
      </w:r>
      <w:r w:rsidR="00482C0C" w:rsidRPr="006C0A8A">
        <w:t xml:space="preserve">September </w:t>
      </w:r>
      <w:r w:rsidR="00482C0C">
        <w:t xml:space="preserve">– </w:t>
      </w:r>
      <w:r w:rsidR="00482C0C" w:rsidRPr="00593EEF">
        <w:t>December 2020</w:t>
      </w:r>
      <w:r w:rsidRPr="00593EEF">
        <w:t>), is as follows: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36"/>
        <w:gridCol w:w="987"/>
      </w:tblGrid>
      <w:tr w:rsidR="00593EEF" w:rsidRPr="00593EEF" w14:paraId="35C8F0E2" w14:textId="77777777" w:rsidTr="00A9129B">
        <w:trPr>
          <w:trHeight w:val="2022"/>
        </w:trPr>
        <w:tc>
          <w:tcPr>
            <w:tcW w:w="8642" w:type="dxa"/>
            <w:shd w:val="clear" w:color="auto" w:fill="auto"/>
            <w:hideMark/>
          </w:tcPr>
          <w:p w14:paraId="2C7ABAE6" w14:textId="77777777" w:rsidR="00593EEF" w:rsidRPr="00593EEF" w:rsidRDefault="00593EEF" w:rsidP="00A9129B">
            <w:pPr>
              <w:tabs>
                <w:tab w:val="left" w:pos="851"/>
                <w:tab w:val="right" w:pos="7938"/>
              </w:tabs>
              <w:spacing w:before="240"/>
              <w:rPr>
                <w:rFonts w:asciiTheme="majorBidi" w:hAnsiTheme="majorBidi" w:cstheme="majorBidi"/>
                <w:bCs/>
                <w:lang w:val="en-US"/>
              </w:rPr>
            </w:pPr>
            <w:r w:rsidRPr="00593EEF">
              <w:rPr>
                <w:b/>
                <w:bCs/>
              </w:rPr>
              <w:t xml:space="preserve">Number of processed requests for UIFN = </w:t>
            </w:r>
            <w:r w:rsidRPr="00593EEF">
              <w:rPr>
                <w:b/>
                <w:bCs/>
              </w:rPr>
              <w:br/>
            </w:r>
            <w:r w:rsidRPr="00593EEF">
              <w:rPr>
                <w:rFonts w:asciiTheme="majorBidi" w:hAnsiTheme="majorBidi" w:cstheme="majorBidi"/>
                <w:bCs/>
                <w:lang w:val="en-US"/>
              </w:rPr>
              <w:tab/>
              <w:t xml:space="preserve">(A) - Number of Assigned and implemented UIFN = </w:t>
            </w:r>
            <w:r w:rsidRPr="00593EEF">
              <w:rPr>
                <w:rFonts w:asciiTheme="majorBidi" w:hAnsiTheme="majorBidi" w:cstheme="majorBidi"/>
                <w:bCs/>
                <w:lang w:val="en-US"/>
              </w:rPr>
              <w:tab/>
            </w:r>
            <w:r w:rsidRPr="00593EEF">
              <w:rPr>
                <w:rFonts w:asciiTheme="majorBidi" w:hAnsiTheme="majorBidi" w:cstheme="majorBidi"/>
                <w:bCs/>
                <w:color w:val="000000" w:themeColor="text1"/>
                <w:lang w:val="en-US"/>
              </w:rPr>
              <w:t>85</w:t>
            </w:r>
          </w:p>
          <w:p w14:paraId="7B60CFAF" w14:textId="77777777"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(C) - Number of Cancelled UIFN = </w:t>
            </w:r>
            <w:r w:rsidRPr="00593EEF">
              <w:rPr>
                <w:rFonts w:asciiTheme="majorBidi" w:hAnsiTheme="majorBidi" w:cstheme="majorBidi"/>
                <w:bCs/>
                <w:lang w:val="en-US"/>
              </w:rPr>
              <w:tab/>
              <w:t>2</w:t>
            </w:r>
          </w:p>
          <w:p w14:paraId="4C0C6D60" w14:textId="77777777"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(D) - Number of Disconnected UIFN = </w:t>
            </w:r>
            <w:r w:rsidRPr="00593EEF">
              <w:rPr>
                <w:rFonts w:asciiTheme="majorBidi" w:hAnsiTheme="majorBidi" w:cstheme="majorBidi"/>
                <w:bCs/>
                <w:lang w:val="en-US"/>
              </w:rPr>
              <w:tab/>
              <w:t>101</w:t>
            </w:r>
          </w:p>
          <w:p w14:paraId="13CCDF02" w14:textId="77777777"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(M) - Number of Modified UIFN’s Details = </w:t>
            </w:r>
            <w:r w:rsidRPr="00593EEF">
              <w:rPr>
                <w:rFonts w:asciiTheme="majorBidi" w:hAnsiTheme="majorBidi" w:cstheme="majorBidi"/>
                <w:bCs/>
                <w:lang w:val="en-US"/>
              </w:rPr>
              <w:tab/>
              <w:t>33</w:t>
            </w:r>
          </w:p>
          <w:p w14:paraId="35940F1E" w14:textId="77777777"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(O) - Number of UIFN Operated by a secondary operator = </w:t>
            </w:r>
            <w:r w:rsidRPr="00593EEF">
              <w:rPr>
                <w:rFonts w:asciiTheme="majorBidi" w:hAnsiTheme="majorBidi" w:cstheme="majorBidi"/>
                <w:bCs/>
                <w:lang w:val="en-US"/>
              </w:rPr>
              <w:tab/>
              <w:t>15</w:t>
            </w:r>
          </w:p>
          <w:p w14:paraId="0C14BF01" w14:textId="77777777"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(X) - Number of UIFN Disconnected by a secondary operator = </w:t>
            </w:r>
            <w:r w:rsidRPr="00593EEF">
              <w:rPr>
                <w:rFonts w:asciiTheme="majorBidi" w:hAnsiTheme="majorBidi" w:cstheme="majorBidi"/>
                <w:bCs/>
                <w:lang w:val="en-US"/>
              </w:rPr>
              <w:tab/>
              <w:t>5</w:t>
            </w:r>
          </w:p>
          <w:p w14:paraId="12F03952" w14:textId="77777777"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(R) - Number of Reserved UIFN = </w:t>
            </w:r>
            <w:r w:rsidRPr="00593EEF">
              <w:rPr>
                <w:rFonts w:asciiTheme="majorBidi" w:hAnsiTheme="majorBidi" w:cstheme="majorBidi"/>
                <w:bCs/>
                <w:lang w:val="en-US"/>
              </w:rPr>
              <w:tab/>
              <w:t>99</w:t>
            </w:r>
          </w:p>
          <w:p w14:paraId="24D3BBDC" w14:textId="77777777"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(S) - Number of Temporary Reserved UIFN =</w:t>
            </w:r>
            <w:r w:rsidRPr="00593EEF">
              <w:rPr>
                <w:rFonts w:asciiTheme="majorBidi" w:hAnsiTheme="majorBidi" w:cstheme="majorBidi"/>
                <w:bCs/>
                <w:lang w:val="en-US"/>
              </w:rPr>
              <w:tab/>
              <w:t>36</w:t>
            </w:r>
          </w:p>
          <w:p w14:paraId="69DA9BD2" w14:textId="77777777" w:rsidR="00593EEF" w:rsidRPr="00593EEF" w:rsidRDefault="00593EEF" w:rsidP="00A9129B">
            <w:pPr>
              <w:tabs>
                <w:tab w:val="left" w:pos="851"/>
                <w:tab w:val="right" w:pos="7938"/>
              </w:tabs>
              <w:spacing w:before="80"/>
              <w:rPr>
                <w:rFonts w:asciiTheme="majorBidi" w:hAnsiTheme="majorBidi" w:cstheme="majorBidi"/>
                <w:bCs/>
                <w:lang w:val="en-US"/>
              </w:rPr>
            </w:pPr>
            <w:r w:rsidRPr="00593EEF">
              <w:rPr>
                <w:rFonts w:asciiTheme="majorBidi" w:hAnsiTheme="majorBidi" w:cstheme="majorBidi"/>
                <w:bCs/>
                <w:lang w:val="en-US"/>
              </w:rPr>
              <w:tab/>
              <w:t xml:space="preserve">(Y) + </w:t>
            </w:r>
            <w:r w:rsidRPr="00593EEF">
              <w:rPr>
                <w:rFonts w:asciiTheme="majorBidi" w:hAnsiTheme="majorBidi" w:cstheme="majorBidi"/>
                <w:bCs/>
                <w:color w:val="000000"/>
                <w:lang w:val="en-US"/>
              </w:rPr>
              <w:t>(Z) -</w:t>
            </w:r>
            <w:r w:rsidRPr="00593EEF">
              <w:rPr>
                <w:rFonts w:asciiTheme="majorBidi" w:hAnsiTheme="majorBidi" w:cstheme="majorBidi"/>
                <w:bCs/>
                <w:lang w:val="en-US"/>
              </w:rPr>
              <w:t xml:space="preserve"> Number of Transferred UIFN to another ROA =</w:t>
            </w:r>
            <w:r w:rsidRPr="00593EEF">
              <w:rPr>
                <w:rFonts w:asciiTheme="majorBidi" w:hAnsiTheme="majorBidi" w:cstheme="majorBidi"/>
                <w:bCs/>
                <w:lang w:val="en-US"/>
              </w:rPr>
              <w:tab/>
              <w:t>20</w:t>
            </w:r>
          </w:p>
        </w:tc>
        <w:tc>
          <w:tcPr>
            <w:tcW w:w="987" w:type="dxa"/>
            <w:shd w:val="clear" w:color="auto" w:fill="auto"/>
            <w:hideMark/>
          </w:tcPr>
          <w:p w14:paraId="0298AA46" w14:textId="77777777" w:rsidR="00593EEF" w:rsidRPr="00593EEF" w:rsidRDefault="00593EEF" w:rsidP="00A9129B">
            <w:pPr>
              <w:spacing w:before="240"/>
              <w:rPr>
                <w:b/>
                <w:bCs/>
              </w:rPr>
            </w:pPr>
            <w:r w:rsidRPr="00593EEF">
              <w:rPr>
                <w:rFonts w:asciiTheme="majorBidi" w:hAnsiTheme="majorBidi" w:cstheme="majorBidi"/>
                <w:b/>
                <w:bCs/>
                <w:color w:val="000000" w:themeColor="text1"/>
                <w:lang w:val="en-US"/>
              </w:rPr>
              <w:t>396</w:t>
            </w:r>
            <w:r w:rsidRPr="00593EEF">
              <w:rPr>
                <w:b/>
                <w:bCs/>
                <w:color w:val="000000"/>
              </w:rPr>
              <w:br/>
            </w:r>
          </w:p>
        </w:tc>
      </w:tr>
      <w:tr w:rsidR="00593EEF" w:rsidRPr="00593EEF" w14:paraId="207D3D08" w14:textId="77777777" w:rsidTr="00A9129B">
        <w:tc>
          <w:tcPr>
            <w:tcW w:w="8642" w:type="dxa"/>
            <w:shd w:val="clear" w:color="auto" w:fill="auto"/>
            <w:hideMark/>
          </w:tcPr>
          <w:p w14:paraId="78CDE372"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Number of processed requests for Universal International Premium Rate Number</w:t>
            </w:r>
          </w:p>
        </w:tc>
        <w:tc>
          <w:tcPr>
            <w:tcW w:w="987" w:type="dxa"/>
            <w:shd w:val="clear" w:color="auto" w:fill="auto"/>
            <w:hideMark/>
          </w:tcPr>
          <w:p w14:paraId="0D9B78FD"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0</w:t>
            </w:r>
          </w:p>
        </w:tc>
      </w:tr>
      <w:tr w:rsidR="00593EEF" w:rsidRPr="00593EEF" w14:paraId="3F55934B" w14:textId="77777777" w:rsidTr="00A9129B">
        <w:tc>
          <w:tcPr>
            <w:tcW w:w="8642" w:type="dxa"/>
            <w:shd w:val="clear" w:color="auto" w:fill="auto"/>
            <w:hideMark/>
          </w:tcPr>
          <w:p w14:paraId="7F9B1B71"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Number of processed requests for Universal International Shared Cost Number</w:t>
            </w:r>
          </w:p>
        </w:tc>
        <w:tc>
          <w:tcPr>
            <w:tcW w:w="987" w:type="dxa"/>
            <w:shd w:val="clear" w:color="auto" w:fill="auto"/>
            <w:hideMark/>
          </w:tcPr>
          <w:p w14:paraId="7C78BF73"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0</w:t>
            </w:r>
          </w:p>
        </w:tc>
      </w:tr>
      <w:tr w:rsidR="00593EEF" w:rsidRPr="00593EEF" w14:paraId="2FB3F8C3" w14:textId="77777777" w:rsidTr="00A9129B">
        <w:tc>
          <w:tcPr>
            <w:tcW w:w="8642" w:type="dxa"/>
            <w:shd w:val="clear" w:color="auto" w:fill="auto"/>
            <w:hideMark/>
          </w:tcPr>
          <w:p w14:paraId="5100691B"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Number of processed requests for ITU International Network Designator ATM End System Address</w:t>
            </w:r>
          </w:p>
        </w:tc>
        <w:tc>
          <w:tcPr>
            <w:tcW w:w="987" w:type="dxa"/>
            <w:shd w:val="clear" w:color="auto" w:fill="auto"/>
            <w:hideMark/>
          </w:tcPr>
          <w:p w14:paraId="17CD07E1" w14:textId="77777777" w:rsidR="00593EEF" w:rsidRPr="00593EEF" w:rsidRDefault="00593EEF" w:rsidP="00A9129B">
            <w:pPr>
              <w:keepNext/>
              <w:keepLines/>
              <w:tabs>
                <w:tab w:val="left" w:pos="1134"/>
                <w:tab w:val="right" w:pos="7938"/>
              </w:tabs>
              <w:autoSpaceDN/>
              <w:spacing w:before="0"/>
              <w:textAlignment w:val="auto"/>
              <w:rPr>
                <w:rFonts w:eastAsia="DengXian"/>
                <w:b/>
                <w:bCs/>
              </w:rPr>
            </w:pPr>
            <w:r w:rsidRPr="00593EEF">
              <w:rPr>
                <w:rFonts w:eastAsia="DengXian"/>
                <w:b/>
                <w:bCs/>
              </w:rPr>
              <w:t>0</w:t>
            </w:r>
          </w:p>
        </w:tc>
      </w:tr>
    </w:tbl>
    <w:p w14:paraId="500E10AD" w14:textId="77777777" w:rsidR="00A61CBC" w:rsidRPr="009766C3" w:rsidRDefault="00A61CBC" w:rsidP="00B83EC6">
      <w:r w:rsidRPr="00593EEF">
        <w:t>In addition</w:t>
      </w:r>
      <w:r w:rsidR="00CA1499" w:rsidRPr="00593EEF">
        <w:t>,</w:t>
      </w:r>
      <w:r w:rsidRPr="00593EEF">
        <w:t xml:space="preserve"> the following resources were allocated to networks</w:t>
      </w:r>
      <w:r w:rsidR="00B11FAE" w:rsidRPr="009766C3">
        <w:t>:</w:t>
      </w:r>
      <w:r w:rsidRPr="009766C3">
        <w:t xml:space="preserve"> </w:t>
      </w:r>
    </w:p>
    <w:p w14:paraId="4E481D53" w14:textId="0E0ECB9E" w:rsidR="00F53415" w:rsidRPr="009766C3" w:rsidRDefault="00F53415" w:rsidP="000C4528">
      <w:pPr>
        <w:keepNext/>
        <w:keepLines/>
        <w:rPr>
          <w:b/>
          <w:bCs/>
        </w:rPr>
      </w:pPr>
      <w:r w:rsidRPr="009766C3">
        <w:rPr>
          <w:b/>
          <w:bCs/>
        </w:rPr>
        <w:t>Applications for E.164 and E.212 shared codes</w:t>
      </w:r>
    </w:p>
    <w:p w14:paraId="7565569A" w14:textId="04C680CE" w:rsidR="00A61CBC" w:rsidRPr="009766C3" w:rsidRDefault="00A61CBC" w:rsidP="000C4528">
      <w:pPr>
        <w:keepNext/>
        <w:keepLines/>
      </w:pPr>
      <w:r w:rsidRPr="009766C3">
        <w:t>The following applications for global resources are still being progressed</w:t>
      </w:r>
      <w:r w:rsidR="00B11FAE" w:rsidRPr="009766C3">
        <w: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9"/>
        <w:gridCol w:w="7342"/>
      </w:tblGrid>
      <w:tr w:rsidR="00A61CBC" w:rsidRPr="009766C3" w14:paraId="17B39A71" w14:textId="77777777" w:rsidTr="006C0A8A">
        <w:tc>
          <w:tcPr>
            <w:tcW w:w="2689" w:type="dxa"/>
            <w:shd w:val="clear" w:color="auto" w:fill="auto"/>
            <w:vAlign w:val="center"/>
            <w:hideMark/>
          </w:tcPr>
          <w:p w14:paraId="4BB85645" w14:textId="77777777" w:rsidR="00A61CBC" w:rsidRPr="009766C3" w:rsidRDefault="00A61CBC" w:rsidP="009766C3">
            <w:pPr>
              <w:keepNext/>
              <w:keepLines/>
              <w:spacing w:before="60" w:after="60"/>
              <w:jc w:val="center"/>
              <w:rPr>
                <w:b/>
                <w:sz w:val="22"/>
              </w:rPr>
            </w:pPr>
            <w:r w:rsidRPr="009766C3">
              <w:rPr>
                <w:b/>
                <w:sz w:val="22"/>
              </w:rPr>
              <w:t>Applicant</w:t>
            </w:r>
          </w:p>
        </w:tc>
        <w:tc>
          <w:tcPr>
            <w:tcW w:w="7342" w:type="dxa"/>
            <w:shd w:val="clear" w:color="auto" w:fill="auto"/>
            <w:vAlign w:val="center"/>
            <w:hideMark/>
          </w:tcPr>
          <w:p w14:paraId="79D26683" w14:textId="77777777" w:rsidR="00A61CBC" w:rsidRPr="009766C3" w:rsidRDefault="00A61CBC" w:rsidP="009766C3">
            <w:pPr>
              <w:keepNext/>
              <w:keepLines/>
              <w:spacing w:before="60" w:after="60"/>
              <w:jc w:val="center"/>
              <w:rPr>
                <w:b/>
                <w:sz w:val="22"/>
              </w:rPr>
            </w:pPr>
            <w:r w:rsidRPr="009766C3">
              <w:rPr>
                <w:b/>
                <w:sz w:val="22"/>
              </w:rPr>
              <w:t>Request/</w:t>
            </w:r>
            <w:r w:rsidR="00CA1499" w:rsidRPr="009766C3">
              <w:rPr>
                <w:b/>
                <w:sz w:val="22"/>
              </w:rPr>
              <w:t>application</w:t>
            </w:r>
          </w:p>
        </w:tc>
      </w:tr>
      <w:tr w:rsidR="000C4528" w:rsidRPr="009766C3" w14:paraId="5A4B8E03" w14:textId="77777777" w:rsidTr="006C0A8A">
        <w:tc>
          <w:tcPr>
            <w:tcW w:w="2689" w:type="dxa"/>
            <w:shd w:val="clear" w:color="auto" w:fill="auto"/>
            <w:vAlign w:val="center"/>
          </w:tcPr>
          <w:p w14:paraId="78E71966" w14:textId="04271E58" w:rsidR="000C4528" w:rsidRPr="009766C3" w:rsidRDefault="009753BF" w:rsidP="009766C3">
            <w:pPr>
              <w:spacing w:before="60" w:after="60"/>
              <w:jc w:val="center"/>
              <w:rPr>
                <w:sz w:val="22"/>
              </w:rPr>
            </w:pPr>
            <w:r w:rsidRPr="009766C3">
              <w:rPr>
                <w:rFonts w:asciiTheme="majorBidi" w:hAnsiTheme="majorBidi" w:cstheme="majorBidi"/>
                <w:sz w:val="22"/>
                <w:szCs w:val="22"/>
              </w:rPr>
              <w:t>Nokia</w:t>
            </w:r>
          </w:p>
        </w:tc>
        <w:tc>
          <w:tcPr>
            <w:tcW w:w="7342" w:type="dxa"/>
            <w:shd w:val="clear" w:color="auto" w:fill="auto"/>
            <w:vAlign w:val="center"/>
          </w:tcPr>
          <w:p w14:paraId="54C66633" w14:textId="6ABE8486" w:rsidR="000C4528" w:rsidRPr="009766C3" w:rsidRDefault="000C4528" w:rsidP="009766C3">
            <w:pPr>
              <w:spacing w:before="60" w:after="60"/>
              <w:rPr>
                <w:color w:val="000000"/>
                <w:sz w:val="22"/>
              </w:rPr>
            </w:pPr>
            <w:r w:rsidRPr="009766C3">
              <w:rPr>
                <w:rFonts w:asciiTheme="majorBidi" w:hAnsiTheme="majorBidi" w:cstheme="majorBidi"/>
                <w:sz w:val="22"/>
                <w:szCs w:val="22"/>
              </w:rPr>
              <w:t xml:space="preserve">Request for an E.212 shared MCC and MNC and an E.164 shared CC and IC for </w:t>
            </w:r>
            <w:r w:rsidR="009753BF" w:rsidRPr="009766C3">
              <w:rPr>
                <w:rFonts w:asciiTheme="majorBidi" w:hAnsiTheme="majorBidi" w:cstheme="majorBidi"/>
                <w:sz w:val="22"/>
                <w:szCs w:val="22"/>
              </w:rPr>
              <w:t>Nokia</w:t>
            </w:r>
          </w:p>
        </w:tc>
      </w:tr>
      <w:tr w:rsidR="00F53415" w:rsidRPr="009766C3" w14:paraId="172B3575" w14:textId="77777777" w:rsidTr="006C0A8A">
        <w:tc>
          <w:tcPr>
            <w:tcW w:w="2689" w:type="dxa"/>
            <w:shd w:val="clear" w:color="auto" w:fill="auto"/>
            <w:vAlign w:val="center"/>
          </w:tcPr>
          <w:p w14:paraId="7390D98D" w14:textId="1B68D95F" w:rsidR="00F53415" w:rsidRPr="009766C3" w:rsidRDefault="00F53415" w:rsidP="009766C3">
            <w:pPr>
              <w:spacing w:before="60" w:after="60"/>
              <w:jc w:val="center"/>
              <w:rPr>
                <w:rFonts w:asciiTheme="majorBidi" w:hAnsiTheme="majorBidi" w:cstheme="majorBidi"/>
                <w:sz w:val="22"/>
                <w:szCs w:val="22"/>
              </w:rPr>
            </w:pPr>
            <w:proofErr w:type="spellStart"/>
            <w:r w:rsidRPr="009766C3">
              <w:rPr>
                <w:rFonts w:asciiTheme="majorBidi" w:hAnsiTheme="majorBidi" w:cstheme="majorBidi"/>
                <w:sz w:val="22"/>
                <w:szCs w:val="22"/>
              </w:rPr>
              <w:t>Afinna</w:t>
            </w:r>
            <w:proofErr w:type="spellEnd"/>
            <w:r w:rsidRPr="009766C3">
              <w:rPr>
                <w:rFonts w:asciiTheme="majorBidi" w:hAnsiTheme="majorBidi" w:cstheme="majorBidi"/>
                <w:sz w:val="22"/>
                <w:szCs w:val="22"/>
              </w:rPr>
              <w:t xml:space="preserve"> One </w:t>
            </w:r>
            <w:proofErr w:type="spellStart"/>
            <w:r w:rsidRPr="009766C3">
              <w:rPr>
                <w:rFonts w:asciiTheme="majorBidi" w:hAnsiTheme="majorBidi" w:cstheme="majorBidi"/>
                <w:sz w:val="22"/>
                <w:szCs w:val="22"/>
              </w:rPr>
              <w:t>Srl</w:t>
            </w:r>
            <w:proofErr w:type="spellEnd"/>
          </w:p>
        </w:tc>
        <w:tc>
          <w:tcPr>
            <w:tcW w:w="7342" w:type="dxa"/>
            <w:shd w:val="clear" w:color="auto" w:fill="auto"/>
            <w:vAlign w:val="center"/>
          </w:tcPr>
          <w:p w14:paraId="16F6DA8E" w14:textId="711B90BD" w:rsidR="00F53415" w:rsidRPr="009766C3" w:rsidRDefault="00F53415" w:rsidP="009766C3">
            <w:pPr>
              <w:spacing w:before="60" w:after="60"/>
              <w:rPr>
                <w:rFonts w:asciiTheme="majorBidi" w:hAnsiTheme="majorBidi" w:cstheme="majorBidi"/>
                <w:sz w:val="22"/>
                <w:szCs w:val="22"/>
              </w:rPr>
            </w:pPr>
            <w:r w:rsidRPr="009766C3">
              <w:rPr>
                <w:rFonts w:asciiTheme="majorBidi" w:hAnsiTheme="majorBidi" w:cstheme="majorBidi"/>
                <w:sz w:val="22"/>
                <w:szCs w:val="22"/>
              </w:rPr>
              <w:t xml:space="preserve">Request for an E.164 shared CC and IC for </w:t>
            </w:r>
            <w:proofErr w:type="spellStart"/>
            <w:r w:rsidRPr="009766C3">
              <w:rPr>
                <w:rFonts w:asciiTheme="majorBidi" w:hAnsiTheme="majorBidi" w:cstheme="majorBidi"/>
                <w:sz w:val="22"/>
                <w:szCs w:val="22"/>
              </w:rPr>
              <w:t>Afinna</w:t>
            </w:r>
            <w:proofErr w:type="spellEnd"/>
            <w:r w:rsidRPr="009766C3">
              <w:rPr>
                <w:rFonts w:asciiTheme="majorBidi" w:hAnsiTheme="majorBidi" w:cstheme="majorBidi"/>
                <w:sz w:val="22"/>
                <w:szCs w:val="22"/>
              </w:rPr>
              <w:t xml:space="preserve"> One </w:t>
            </w:r>
            <w:proofErr w:type="spellStart"/>
            <w:r w:rsidRPr="009766C3">
              <w:rPr>
                <w:rFonts w:asciiTheme="majorBidi" w:hAnsiTheme="majorBidi" w:cstheme="majorBidi"/>
                <w:sz w:val="22"/>
                <w:szCs w:val="22"/>
              </w:rPr>
              <w:t>Srl</w:t>
            </w:r>
            <w:proofErr w:type="spellEnd"/>
          </w:p>
        </w:tc>
      </w:tr>
      <w:tr w:rsidR="00F53415" w:rsidRPr="009766C3" w14:paraId="1580A9AB" w14:textId="77777777" w:rsidTr="006C0A8A">
        <w:tc>
          <w:tcPr>
            <w:tcW w:w="2689" w:type="dxa"/>
            <w:shd w:val="clear" w:color="auto" w:fill="auto"/>
            <w:vAlign w:val="center"/>
          </w:tcPr>
          <w:p w14:paraId="18A01451" w14:textId="0E7E32F0" w:rsidR="00F53415" w:rsidRPr="009766C3" w:rsidRDefault="00F53415" w:rsidP="009766C3">
            <w:pPr>
              <w:spacing w:before="60" w:after="60"/>
              <w:jc w:val="center"/>
              <w:rPr>
                <w:rFonts w:asciiTheme="majorBidi" w:hAnsiTheme="majorBidi" w:cstheme="majorBidi"/>
                <w:sz w:val="22"/>
                <w:szCs w:val="22"/>
              </w:rPr>
            </w:pPr>
            <w:r w:rsidRPr="009766C3">
              <w:rPr>
                <w:rFonts w:asciiTheme="majorBidi" w:hAnsiTheme="majorBidi" w:cstheme="majorBidi"/>
                <w:sz w:val="22"/>
                <w:szCs w:val="22"/>
              </w:rPr>
              <w:t>Flo Live Limited</w:t>
            </w:r>
          </w:p>
        </w:tc>
        <w:tc>
          <w:tcPr>
            <w:tcW w:w="7342" w:type="dxa"/>
            <w:shd w:val="clear" w:color="auto" w:fill="auto"/>
            <w:vAlign w:val="center"/>
          </w:tcPr>
          <w:p w14:paraId="503828C3" w14:textId="3D7A3A25" w:rsidR="00F53415" w:rsidRPr="009766C3" w:rsidRDefault="00F53415" w:rsidP="009766C3">
            <w:pPr>
              <w:spacing w:before="60" w:after="60"/>
              <w:rPr>
                <w:rFonts w:asciiTheme="majorBidi" w:hAnsiTheme="majorBidi" w:cstheme="majorBidi"/>
                <w:sz w:val="22"/>
                <w:szCs w:val="22"/>
              </w:rPr>
            </w:pPr>
            <w:r w:rsidRPr="009766C3">
              <w:rPr>
                <w:rFonts w:asciiTheme="majorBidi" w:hAnsiTheme="majorBidi" w:cstheme="majorBidi"/>
                <w:sz w:val="22"/>
                <w:szCs w:val="22"/>
              </w:rPr>
              <w:t>Request for an E.212 shared MCC and MNC for Flo Live Limited</w:t>
            </w:r>
          </w:p>
        </w:tc>
      </w:tr>
    </w:tbl>
    <w:p w14:paraId="5B743434" w14:textId="55089E19" w:rsidR="00A61CBC" w:rsidRPr="009766C3" w:rsidRDefault="00A61CBC" w:rsidP="00CA1499">
      <w:r w:rsidRPr="009766C3">
        <w:t xml:space="preserve">The following applications were reviewed and progressed at the SG2 meeting </w:t>
      </w:r>
      <w:r w:rsidR="00112D2D" w:rsidRPr="009766C3">
        <w:t xml:space="preserve">in </w:t>
      </w:r>
      <w:r w:rsidR="007F0E98" w:rsidRPr="009766C3">
        <w:t>September</w:t>
      </w:r>
      <w:r w:rsidR="003D771B" w:rsidRPr="009766C3">
        <w:t xml:space="preserve"> 2020</w:t>
      </w:r>
      <w:r w:rsidRPr="009766C3">
        <w:t xml:space="preserve"> as the request was deemed to be outside of current criteria</w:t>
      </w:r>
      <w:r w:rsidR="00B47661" w:rsidRPr="009766C3">
        <w:t>, or the request required guidance from the study group</w:t>
      </w:r>
      <w:r w:rsidRPr="009766C3">
        <w: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9"/>
        <w:gridCol w:w="7342"/>
      </w:tblGrid>
      <w:tr w:rsidR="00A61CBC" w:rsidRPr="009766C3" w14:paraId="0DD4481D" w14:textId="77777777" w:rsidTr="006C0A8A">
        <w:tc>
          <w:tcPr>
            <w:tcW w:w="2689" w:type="dxa"/>
            <w:shd w:val="clear" w:color="auto" w:fill="auto"/>
            <w:vAlign w:val="center"/>
            <w:hideMark/>
          </w:tcPr>
          <w:p w14:paraId="14039578" w14:textId="77777777" w:rsidR="00A61CBC" w:rsidRPr="009766C3" w:rsidRDefault="00A61CBC" w:rsidP="009766C3">
            <w:pPr>
              <w:spacing w:before="60" w:after="60"/>
              <w:jc w:val="center"/>
              <w:rPr>
                <w:b/>
                <w:sz w:val="22"/>
              </w:rPr>
            </w:pPr>
            <w:r w:rsidRPr="009766C3">
              <w:rPr>
                <w:b/>
                <w:sz w:val="22"/>
              </w:rPr>
              <w:t>Applicant</w:t>
            </w:r>
          </w:p>
        </w:tc>
        <w:tc>
          <w:tcPr>
            <w:tcW w:w="7342" w:type="dxa"/>
            <w:shd w:val="clear" w:color="auto" w:fill="auto"/>
            <w:vAlign w:val="center"/>
            <w:hideMark/>
          </w:tcPr>
          <w:p w14:paraId="6889E99E" w14:textId="77777777" w:rsidR="00A61CBC" w:rsidRPr="009766C3" w:rsidRDefault="00A61CBC" w:rsidP="009766C3">
            <w:pPr>
              <w:spacing w:before="60" w:after="60"/>
              <w:jc w:val="center"/>
              <w:rPr>
                <w:b/>
                <w:sz w:val="22"/>
              </w:rPr>
            </w:pPr>
            <w:r w:rsidRPr="009766C3">
              <w:rPr>
                <w:b/>
                <w:sz w:val="22"/>
              </w:rPr>
              <w:t>Request/Application</w:t>
            </w:r>
          </w:p>
        </w:tc>
      </w:tr>
      <w:tr w:rsidR="000C4528" w:rsidRPr="009766C3" w14:paraId="5B580388" w14:textId="77777777" w:rsidTr="006C0A8A">
        <w:tc>
          <w:tcPr>
            <w:tcW w:w="2689" w:type="dxa"/>
            <w:shd w:val="clear" w:color="auto" w:fill="auto"/>
            <w:vAlign w:val="center"/>
            <w:hideMark/>
          </w:tcPr>
          <w:p w14:paraId="4831ECC4" w14:textId="5053F7D3" w:rsidR="000C4528" w:rsidRPr="009766C3" w:rsidRDefault="000C4528" w:rsidP="009766C3">
            <w:pPr>
              <w:spacing w:before="60" w:after="60"/>
              <w:jc w:val="center"/>
              <w:rPr>
                <w:sz w:val="22"/>
                <w:szCs w:val="22"/>
              </w:rPr>
            </w:pPr>
            <w:r w:rsidRPr="009766C3">
              <w:rPr>
                <w:rFonts w:asciiTheme="majorBidi" w:hAnsiTheme="majorBidi" w:cstheme="majorBidi"/>
                <w:sz w:val="22"/>
                <w:szCs w:val="22"/>
              </w:rPr>
              <w:t>WGT (</w:t>
            </w:r>
            <w:r w:rsidRPr="009766C3">
              <w:rPr>
                <w:sz w:val="22"/>
                <w:szCs w:val="22"/>
              </w:rPr>
              <w:t>World’s Global Telecom)</w:t>
            </w:r>
          </w:p>
        </w:tc>
        <w:tc>
          <w:tcPr>
            <w:tcW w:w="7342" w:type="dxa"/>
            <w:shd w:val="clear" w:color="auto" w:fill="auto"/>
            <w:vAlign w:val="center"/>
            <w:hideMark/>
          </w:tcPr>
          <w:p w14:paraId="3E54EEC0" w14:textId="6E1146EA" w:rsidR="000C4528" w:rsidRPr="009766C3" w:rsidRDefault="000C4528" w:rsidP="009766C3">
            <w:pPr>
              <w:spacing w:before="60" w:after="60"/>
              <w:rPr>
                <w:sz w:val="22"/>
                <w:szCs w:val="22"/>
              </w:rPr>
            </w:pPr>
            <w:r w:rsidRPr="009766C3">
              <w:rPr>
                <w:sz w:val="22"/>
                <w:szCs w:val="22"/>
              </w:rPr>
              <w:t>WGT's initiative of global mobile digital platform for people with disabilities (GLEOSS)</w:t>
            </w:r>
          </w:p>
        </w:tc>
      </w:tr>
    </w:tbl>
    <w:p w14:paraId="47C0BBFD" w14:textId="2690A4C9" w:rsidR="007D1309" w:rsidRDefault="007D1309" w:rsidP="006D3A6A">
      <w:r w:rsidRPr="009766C3">
        <w:t>The following applications are awaiting a response from the applicant</w:t>
      </w:r>
      <w:r w:rsidR="003A104F" w:rsidRPr="009766C3">
        <w: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89"/>
        <w:gridCol w:w="7342"/>
      </w:tblGrid>
      <w:tr w:rsidR="009766C3" w:rsidRPr="009766C3" w14:paraId="35BE2A88" w14:textId="77777777" w:rsidTr="009766C3">
        <w:tc>
          <w:tcPr>
            <w:tcW w:w="2689" w:type="dxa"/>
            <w:shd w:val="clear" w:color="auto" w:fill="auto"/>
            <w:vAlign w:val="center"/>
            <w:hideMark/>
          </w:tcPr>
          <w:p w14:paraId="1C3643FD" w14:textId="77777777" w:rsidR="009766C3" w:rsidRPr="009766C3" w:rsidRDefault="009766C3" w:rsidP="009766C3">
            <w:pPr>
              <w:spacing w:before="60" w:after="60"/>
              <w:jc w:val="center"/>
              <w:rPr>
                <w:b/>
                <w:sz w:val="22"/>
              </w:rPr>
            </w:pPr>
            <w:r w:rsidRPr="009766C3">
              <w:rPr>
                <w:b/>
                <w:sz w:val="22"/>
              </w:rPr>
              <w:t>Applicant</w:t>
            </w:r>
          </w:p>
        </w:tc>
        <w:tc>
          <w:tcPr>
            <w:tcW w:w="7342" w:type="dxa"/>
            <w:shd w:val="clear" w:color="auto" w:fill="auto"/>
            <w:vAlign w:val="center"/>
            <w:hideMark/>
          </w:tcPr>
          <w:p w14:paraId="68DB0791" w14:textId="77777777" w:rsidR="009766C3" w:rsidRPr="009766C3" w:rsidRDefault="009766C3" w:rsidP="009766C3">
            <w:pPr>
              <w:spacing w:before="60" w:after="60"/>
              <w:jc w:val="center"/>
              <w:rPr>
                <w:b/>
                <w:sz w:val="22"/>
              </w:rPr>
            </w:pPr>
            <w:r w:rsidRPr="009766C3">
              <w:rPr>
                <w:b/>
                <w:sz w:val="22"/>
              </w:rPr>
              <w:t>Request/Application</w:t>
            </w:r>
          </w:p>
        </w:tc>
      </w:tr>
      <w:tr w:rsidR="009766C3" w:rsidRPr="009766C3" w14:paraId="54CE30C0" w14:textId="77777777" w:rsidTr="009766C3">
        <w:tc>
          <w:tcPr>
            <w:tcW w:w="2689" w:type="dxa"/>
            <w:shd w:val="clear" w:color="auto" w:fill="auto"/>
            <w:vAlign w:val="center"/>
          </w:tcPr>
          <w:p w14:paraId="4ACF9EB6" w14:textId="6C234584" w:rsidR="009766C3" w:rsidRPr="009766C3" w:rsidRDefault="009766C3" w:rsidP="009766C3">
            <w:pPr>
              <w:spacing w:before="60" w:after="60"/>
              <w:jc w:val="center"/>
              <w:rPr>
                <w:sz w:val="22"/>
                <w:szCs w:val="22"/>
              </w:rPr>
            </w:pPr>
            <w:r w:rsidRPr="009766C3">
              <w:rPr>
                <w:sz w:val="22"/>
                <w:szCs w:val="22"/>
              </w:rPr>
              <w:t>Athalos PRS-Telecom</w:t>
            </w:r>
          </w:p>
        </w:tc>
        <w:tc>
          <w:tcPr>
            <w:tcW w:w="7342" w:type="dxa"/>
            <w:shd w:val="clear" w:color="auto" w:fill="auto"/>
            <w:vAlign w:val="center"/>
          </w:tcPr>
          <w:p w14:paraId="1A088B21" w14:textId="202EB737" w:rsidR="009766C3" w:rsidRPr="009766C3" w:rsidRDefault="009766C3" w:rsidP="009766C3">
            <w:pPr>
              <w:spacing w:before="60" w:after="60"/>
              <w:rPr>
                <w:sz w:val="22"/>
                <w:szCs w:val="22"/>
              </w:rPr>
            </w:pPr>
            <w:r w:rsidRPr="009766C3">
              <w:rPr>
                <w:sz w:val="22"/>
                <w:szCs w:val="22"/>
              </w:rPr>
              <w:t>Request for an E.164 shared CC and IC for Athalos</w:t>
            </w:r>
          </w:p>
        </w:tc>
      </w:tr>
      <w:tr w:rsidR="009766C3" w:rsidRPr="009766C3" w14:paraId="49A94B2E" w14:textId="77777777" w:rsidTr="009766C3">
        <w:tc>
          <w:tcPr>
            <w:tcW w:w="2689" w:type="dxa"/>
            <w:shd w:val="clear" w:color="auto" w:fill="auto"/>
            <w:vAlign w:val="center"/>
          </w:tcPr>
          <w:p w14:paraId="053125B2" w14:textId="3B377FF0" w:rsidR="009766C3" w:rsidRPr="009766C3" w:rsidRDefault="009766C3" w:rsidP="009766C3">
            <w:pPr>
              <w:spacing w:before="60" w:after="60"/>
              <w:jc w:val="center"/>
              <w:rPr>
                <w:sz w:val="22"/>
                <w:szCs w:val="22"/>
              </w:rPr>
            </w:pPr>
            <w:r w:rsidRPr="009766C3">
              <w:rPr>
                <w:sz w:val="22"/>
                <w:szCs w:val="22"/>
              </w:rPr>
              <w:t>OCHA</w:t>
            </w:r>
          </w:p>
        </w:tc>
        <w:tc>
          <w:tcPr>
            <w:tcW w:w="7342" w:type="dxa"/>
            <w:shd w:val="clear" w:color="auto" w:fill="auto"/>
            <w:vAlign w:val="center"/>
          </w:tcPr>
          <w:p w14:paraId="497FDF60" w14:textId="5B33F48D" w:rsidR="009766C3" w:rsidRPr="009766C3" w:rsidRDefault="009766C3" w:rsidP="009766C3">
            <w:pPr>
              <w:spacing w:before="60" w:after="60"/>
              <w:rPr>
                <w:sz w:val="22"/>
                <w:szCs w:val="22"/>
              </w:rPr>
            </w:pPr>
            <w:r w:rsidRPr="009766C3">
              <w:rPr>
                <w:sz w:val="22"/>
                <w:szCs w:val="22"/>
              </w:rPr>
              <w:t>Reservation of E.164 CC 888 and E.212 MCC and MNC 901 88 for humanitarian purposes to OCHA</w:t>
            </w:r>
          </w:p>
        </w:tc>
      </w:tr>
      <w:tr w:rsidR="009766C3" w:rsidRPr="009766C3" w14:paraId="7A2106FB" w14:textId="77777777" w:rsidTr="009766C3">
        <w:tc>
          <w:tcPr>
            <w:tcW w:w="2689" w:type="dxa"/>
            <w:shd w:val="clear" w:color="auto" w:fill="auto"/>
            <w:vAlign w:val="center"/>
          </w:tcPr>
          <w:p w14:paraId="5B72699D" w14:textId="7339A14F" w:rsidR="009766C3" w:rsidRPr="009766C3" w:rsidRDefault="009766C3" w:rsidP="009766C3">
            <w:pPr>
              <w:spacing w:before="60" w:after="60"/>
              <w:jc w:val="center"/>
              <w:rPr>
                <w:sz w:val="22"/>
                <w:szCs w:val="22"/>
              </w:rPr>
            </w:pPr>
            <w:r w:rsidRPr="009766C3">
              <w:rPr>
                <w:sz w:val="22"/>
                <w:szCs w:val="22"/>
              </w:rPr>
              <w:t>G3ict</w:t>
            </w:r>
          </w:p>
        </w:tc>
        <w:tc>
          <w:tcPr>
            <w:tcW w:w="7342" w:type="dxa"/>
            <w:shd w:val="clear" w:color="auto" w:fill="auto"/>
            <w:vAlign w:val="center"/>
          </w:tcPr>
          <w:p w14:paraId="4F4A8D71" w14:textId="04EE369C" w:rsidR="009766C3" w:rsidRPr="009766C3" w:rsidRDefault="009766C3" w:rsidP="009766C3">
            <w:pPr>
              <w:spacing w:before="60" w:after="60"/>
              <w:rPr>
                <w:sz w:val="22"/>
                <w:szCs w:val="22"/>
              </w:rPr>
            </w:pPr>
            <w:r w:rsidRPr="009766C3">
              <w:rPr>
                <w:sz w:val="22"/>
                <w:szCs w:val="22"/>
              </w:rPr>
              <w:t>Application for the allocation by ITU of the 887 Country Code to G3ict to establish a global telecommunication service for Persons with Disabilities in cooperation with WGT</w:t>
            </w:r>
          </w:p>
        </w:tc>
      </w:tr>
    </w:tbl>
    <w:p w14:paraId="080B29C9" w14:textId="77777777" w:rsidR="00E37F13" w:rsidRPr="00B1498B" w:rsidRDefault="00E37F13" w:rsidP="00E37F13">
      <w:pPr>
        <w:keepNext/>
        <w:keepLines/>
      </w:pPr>
      <w:r w:rsidRPr="00B1498B">
        <w:lastRenderedPageBreak/>
        <w:t>An inquiry regarding the assignment of 4-digit IINs was received by TSB and, in light of the ongoing work to update Recommendation ITU-T E.118, was submitted to the NCT for consideration at its meeting held on 23 November. The NCT’s response is repeated below.</w:t>
      </w:r>
    </w:p>
    <w:p w14:paraId="2F4EC6C8" w14:textId="77777777" w:rsidR="00E37F13" w:rsidRPr="00B1498B" w:rsidRDefault="00E37F13" w:rsidP="00E37F13">
      <w:pPr>
        <w:keepNext/>
        <w:keepLines/>
        <w:ind w:left="720"/>
        <w:rPr>
          <w:i/>
          <w:iCs/>
        </w:rPr>
      </w:pPr>
      <w:r w:rsidRPr="00B1498B">
        <w:rPr>
          <w:i/>
          <w:iCs/>
        </w:rPr>
        <w:t>A request from an industry consortium on the role of E.118 identifiers was brought to the attention of the NCT, specifically who did the E.118 identifiers identify? And were card manufacturers able to use the identifiers?</w:t>
      </w:r>
    </w:p>
    <w:p w14:paraId="7C2CBA6C" w14:textId="77777777" w:rsidR="00E37F13" w:rsidRPr="00B1498B" w:rsidRDefault="00E37F13" w:rsidP="00E37F13">
      <w:pPr>
        <w:ind w:left="720"/>
        <w:rPr>
          <w:i/>
          <w:iCs/>
        </w:rPr>
      </w:pPr>
      <w:r w:rsidRPr="00B1498B">
        <w:rPr>
          <w:i/>
          <w:iCs/>
        </w:rPr>
        <w:t>An initial discussion on the questions raised several issues.</w:t>
      </w:r>
    </w:p>
    <w:p w14:paraId="5AF8C448" w14:textId="3B3822ED" w:rsidR="00E37F13" w:rsidRPr="00B1498B" w:rsidRDefault="00E37F13" w:rsidP="00E37F13">
      <w:pPr>
        <w:ind w:left="720"/>
        <w:rPr>
          <w:i/>
          <w:iCs/>
        </w:rPr>
      </w:pPr>
      <w:r w:rsidRPr="00B1498B">
        <w:rPr>
          <w:i/>
          <w:iCs/>
        </w:rPr>
        <w:t>E.118 identifiers were originally associated with the home country direct service and were used by operators/service providers for the purpose of accounting.</w:t>
      </w:r>
      <w:r w:rsidR="00365340" w:rsidRPr="00B1498B">
        <w:rPr>
          <w:i/>
          <w:iCs/>
        </w:rPr>
        <w:t xml:space="preserve"> </w:t>
      </w:r>
      <w:r w:rsidRPr="00B1498B">
        <w:rPr>
          <w:i/>
          <w:iCs/>
        </w:rPr>
        <w:t>Over time the use of E.118 identifiers have evolved to other uses, such as identifiers on SIM cards in mobile phones.</w:t>
      </w:r>
      <w:r w:rsidR="00365340" w:rsidRPr="00B1498B">
        <w:rPr>
          <w:i/>
          <w:iCs/>
        </w:rPr>
        <w:t xml:space="preserve"> </w:t>
      </w:r>
      <w:r w:rsidRPr="00B1498B">
        <w:rPr>
          <w:i/>
          <w:iCs/>
        </w:rPr>
        <w:t>In both cases the principle intended use of the identifiers has been maintained.</w:t>
      </w:r>
    </w:p>
    <w:p w14:paraId="148EF286" w14:textId="463BFFA3" w:rsidR="00E37F13" w:rsidRPr="00B1498B" w:rsidRDefault="00E37F13" w:rsidP="00E37F13">
      <w:pPr>
        <w:ind w:left="720"/>
        <w:rPr>
          <w:i/>
          <w:iCs/>
        </w:rPr>
      </w:pPr>
      <w:r w:rsidRPr="00B1498B">
        <w:rPr>
          <w:i/>
          <w:iCs/>
        </w:rPr>
        <w:t>That said there are examples of some Member States assigning such resources to chip manufacturers.</w:t>
      </w:r>
      <w:r w:rsidR="00365340" w:rsidRPr="00B1498B">
        <w:rPr>
          <w:i/>
          <w:iCs/>
        </w:rPr>
        <w:t xml:space="preserve"> </w:t>
      </w:r>
      <w:r w:rsidRPr="00B1498B">
        <w:rPr>
          <w:i/>
          <w:iCs/>
        </w:rPr>
        <w:t>Such an approach by Member States reflects reality, namely that Member States can utilise the resources to their own requirements.</w:t>
      </w:r>
      <w:r w:rsidR="00365340" w:rsidRPr="00B1498B">
        <w:rPr>
          <w:i/>
          <w:iCs/>
        </w:rPr>
        <w:t xml:space="preserve"> </w:t>
      </w:r>
      <w:r w:rsidRPr="00B1498B">
        <w:rPr>
          <w:i/>
          <w:iCs/>
        </w:rPr>
        <w:t>Such an approach brings with it responsibility.</w:t>
      </w:r>
    </w:p>
    <w:p w14:paraId="4189C724" w14:textId="33E07179" w:rsidR="009766C3" w:rsidRPr="00E37F13" w:rsidRDefault="00E37F13" w:rsidP="00E37F13">
      <w:pPr>
        <w:ind w:left="720"/>
        <w:rPr>
          <w:i/>
          <w:iCs/>
        </w:rPr>
      </w:pPr>
      <w:r w:rsidRPr="00B1498B">
        <w:rPr>
          <w:i/>
          <w:iCs/>
        </w:rPr>
        <w:t>Setting aside the proposed amendments to the current Recommendation ITU-T E.118, which reflect an approach by the GSMA to assign UICC identifiers, the assignment of the resource is by Member States, and they can make such assignments according to their national requirements.</w:t>
      </w:r>
      <w:r w:rsidR="00365340" w:rsidRPr="00B1498B">
        <w:rPr>
          <w:i/>
          <w:iCs/>
        </w:rPr>
        <w:t xml:space="preserve"> </w:t>
      </w:r>
      <w:r w:rsidRPr="00B1498B">
        <w:rPr>
          <w:i/>
          <w:iCs/>
        </w:rPr>
        <w:t>That said were such an assignment be made to a consortium then the question over the proposed use and how overall control of the resource would be exercised were identified as initial comments.</w:t>
      </w:r>
    </w:p>
    <w:p w14:paraId="3145FCCC" w14:textId="1FB7D030" w:rsidR="00A61CBC" w:rsidRPr="009766C3" w:rsidRDefault="0000351C" w:rsidP="0000351C">
      <w:pPr>
        <w:pStyle w:val="Heading2"/>
      </w:pPr>
      <w:r w:rsidRPr="009766C3">
        <w:t>2.2</w:t>
      </w:r>
      <w:r w:rsidRPr="009766C3">
        <w:tab/>
      </w:r>
      <w:r w:rsidR="00A61CBC" w:rsidRPr="009766C3">
        <w:t xml:space="preserve">Reports of </w:t>
      </w:r>
      <w:r w:rsidR="00CA1499" w:rsidRPr="009766C3">
        <w:t>misuse</w:t>
      </w:r>
    </w:p>
    <w:p w14:paraId="51C374FA" w14:textId="3F3D567A" w:rsidR="006D73B8" w:rsidRPr="00B47661" w:rsidRDefault="00482C0C" w:rsidP="00A61CBC">
      <w:r w:rsidRPr="009766C3">
        <w:rPr>
          <w:lang w:eastAsia="en-US"/>
        </w:rPr>
        <w:t>No reports of misuse were received by TSB during the period September – December 2020</w:t>
      </w:r>
      <w:r>
        <w:rPr>
          <w:lang w:eastAsia="en-US"/>
        </w:rPr>
        <w:t>.</w:t>
      </w:r>
    </w:p>
    <w:p w14:paraId="0837482C" w14:textId="77777777" w:rsidR="00A61CBC" w:rsidRPr="00B47661" w:rsidRDefault="0000351C" w:rsidP="003D771B">
      <w:pPr>
        <w:pStyle w:val="Heading2"/>
      </w:pPr>
      <w:r w:rsidRPr="00B47661">
        <w:t>2.3</w:t>
      </w:r>
      <w:r w:rsidRPr="00B47661">
        <w:tab/>
      </w:r>
      <w:r w:rsidR="00112D2D" w:rsidRPr="00B47661">
        <w:t>Recommendations</w:t>
      </w:r>
      <w:r w:rsidR="00A61CBC" w:rsidRPr="00B47661">
        <w:t xml:space="preserve"> </w:t>
      </w:r>
    </w:p>
    <w:p w14:paraId="4BD868D2" w14:textId="37A9D5CF" w:rsidR="00A61CBC" w:rsidRPr="00B47661" w:rsidRDefault="00A61CBC" w:rsidP="003D771B">
      <w:pPr>
        <w:keepNext/>
        <w:keepLines/>
        <w:rPr>
          <w:b/>
        </w:rPr>
      </w:pPr>
      <w:r w:rsidRPr="00B47661">
        <w:t>At its last meeting</w:t>
      </w:r>
      <w:r w:rsidR="006C0A8A">
        <w:t xml:space="preserve"> (</w:t>
      </w:r>
      <w:r w:rsidR="00482C0C">
        <w:t>December 2020</w:t>
      </w:r>
      <w:r w:rsidR="006C0A8A">
        <w:t>)</w:t>
      </w:r>
      <w:r w:rsidR="0024472C">
        <w:t>,</w:t>
      </w:r>
      <w:r w:rsidRPr="00B47661">
        <w:t xml:space="preserve"> SG2 took the foll</w:t>
      </w:r>
      <w:r w:rsidR="0024472C">
        <w:t>owing decisions with respect to:</w:t>
      </w:r>
    </w:p>
    <w:p w14:paraId="483A19E7" w14:textId="25A851F1" w:rsidR="00D84219" w:rsidRPr="00B47661" w:rsidRDefault="00D84219" w:rsidP="003D771B">
      <w:pPr>
        <w:pStyle w:val="TableNotitle"/>
        <w:spacing w:before="240"/>
        <w:jc w:val="left"/>
      </w:pPr>
      <w:r w:rsidRPr="00B47661">
        <w:t>Recommendations</w:t>
      </w:r>
      <w:r w:rsidR="00482C0C" w:rsidRPr="00482C0C">
        <w:t xml:space="preserve"> </w:t>
      </w:r>
      <w:r w:rsidR="00482C0C" w:rsidRPr="00B47661">
        <w:t>Approved</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667"/>
        <w:gridCol w:w="1998"/>
      </w:tblGrid>
      <w:tr w:rsidR="00D84219" w:rsidRPr="002132E3" w14:paraId="510A2446" w14:textId="77777777" w:rsidTr="009766C3">
        <w:tc>
          <w:tcPr>
            <w:tcW w:w="1980" w:type="dxa"/>
            <w:shd w:val="clear" w:color="auto" w:fill="auto"/>
            <w:vAlign w:val="center"/>
            <w:hideMark/>
          </w:tcPr>
          <w:p w14:paraId="7800960C" w14:textId="77777777" w:rsidR="00D84219" w:rsidRPr="002132E3" w:rsidRDefault="00D84219" w:rsidP="003D771B">
            <w:pPr>
              <w:pStyle w:val="Tablehead"/>
              <w:keepLines/>
              <w:rPr>
                <w:szCs w:val="22"/>
              </w:rPr>
            </w:pPr>
            <w:r w:rsidRPr="002132E3">
              <w:rPr>
                <w:szCs w:val="22"/>
              </w:rPr>
              <w:t>Rec. #</w:t>
            </w:r>
          </w:p>
        </w:tc>
        <w:tc>
          <w:tcPr>
            <w:tcW w:w="5667" w:type="dxa"/>
            <w:shd w:val="clear" w:color="auto" w:fill="auto"/>
            <w:vAlign w:val="center"/>
            <w:hideMark/>
          </w:tcPr>
          <w:p w14:paraId="4989301D" w14:textId="77777777" w:rsidR="00D84219" w:rsidRPr="002132E3" w:rsidRDefault="00D84219" w:rsidP="003D771B">
            <w:pPr>
              <w:pStyle w:val="Tablehead"/>
              <w:keepLines/>
              <w:rPr>
                <w:szCs w:val="22"/>
              </w:rPr>
            </w:pPr>
            <w:r w:rsidRPr="002132E3">
              <w:rPr>
                <w:szCs w:val="22"/>
              </w:rPr>
              <w:t>Rec. title</w:t>
            </w:r>
          </w:p>
        </w:tc>
        <w:tc>
          <w:tcPr>
            <w:tcW w:w="1998" w:type="dxa"/>
            <w:shd w:val="clear" w:color="auto" w:fill="auto"/>
            <w:vAlign w:val="center"/>
            <w:hideMark/>
          </w:tcPr>
          <w:p w14:paraId="2F0795CA" w14:textId="394CB799" w:rsidR="00D84219" w:rsidRPr="002132E3" w:rsidRDefault="00D84219" w:rsidP="003D771B">
            <w:pPr>
              <w:pStyle w:val="Tablehead"/>
              <w:keepLines/>
              <w:rPr>
                <w:szCs w:val="22"/>
              </w:rPr>
            </w:pPr>
            <w:r w:rsidRPr="002132E3">
              <w:rPr>
                <w:szCs w:val="22"/>
              </w:rPr>
              <w:t>Documents</w:t>
            </w:r>
          </w:p>
        </w:tc>
      </w:tr>
      <w:tr w:rsidR="006C0A8A" w:rsidRPr="005C1C08" w14:paraId="6BECA46D" w14:textId="77777777" w:rsidTr="009766C3">
        <w:tc>
          <w:tcPr>
            <w:tcW w:w="1980" w:type="dxa"/>
            <w:shd w:val="clear" w:color="auto" w:fill="auto"/>
            <w:vAlign w:val="center"/>
          </w:tcPr>
          <w:p w14:paraId="0BD2A74F" w14:textId="14A4022D" w:rsidR="006C0A8A" w:rsidRPr="001B3657" w:rsidRDefault="00E304B6" w:rsidP="003D771B">
            <w:pPr>
              <w:spacing w:before="40" w:after="40"/>
              <w:jc w:val="center"/>
              <w:rPr>
                <w:sz w:val="22"/>
                <w:szCs w:val="22"/>
              </w:rPr>
            </w:pPr>
            <w:r w:rsidRPr="001B3657">
              <w:rPr>
                <w:sz w:val="22"/>
                <w:szCs w:val="22"/>
              </w:rPr>
              <w:t>ITU-T E.212 (2016) Amd.3</w:t>
            </w:r>
          </w:p>
        </w:tc>
        <w:tc>
          <w:tcPr>
            <w:tcW w:w="5667" w:type="dxa"/>
            <w:shd w:val="clear" w:color="auto" w:fill="auto"/>
            <w:vAlign w:val="center"/>
          </w:tcPr>
          <w:p w14:paraId="2B693E9E" w14:textId="2ABD00A0" w:rsidR="006C0A8A" w:rsidRPr="001B3657" w:rsidRDefault="00482C0C" w:rsidP="003D771B">
            <w:pPr>
              <w:spacing w:before="40" w:after="40"/>
              <w:rPr>
                <w:sz w:val="22"/>
                <w:szCs w:val="22"/>
              </w:rPr>
            </w:pPr>
            <w:r w:rsidRPr="001B3657">
              <w:rPr>
                <w:sz w:val="22"/>
                <w:szCs w:val="22"/>
              </w:rPr>
              <w:t>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w:t>
            </w:r>
          </w:p>
        </w:tc>
        <w:tc>
          <w:tcPr>
            <w:tcW w:w="1998" w:type="dxa"/>
            <w:shd w:val="clear" w:color="auto" w:fill="auto"/>
            <w:vAlign w:val="center"/>
          </w:tcPr>
          <w:p w14:paraId="7F9400B9" w14:textId="2066CCA6" w:rsidR="00482C0C" w:rsidRPr="001B3657" w:rsidRDefault="00D816A3" w:rsidP="009766C3">
            <w:pPr>
              <w:spacing w:before="40" w:after="40"/>
              <w:jc w:val="center"/>
              <w:rPr>
                <w:bCs/>
                <w:color w:val="0000FF"/>
                <w:szCs w:val="22"/>
                <w:u w:val="single"/>
                <w:lang w:val="en-US"/>
              </w:rPr>
            </w:pPr>
            <w:hyperlink r:id="rId13" w:history="1">
              <w:r w:rsidR="00482C0C" w:rsidRPr="001B3657">
                <w:rPr>
                  <w:rStyle w:val="Hyperlink"/>
                  <w:bCs/>
                  <w:szCs w:val="22"/>
                  <w:lang w:val="en-US"/>
                </w:rPr>
                <w:t>SG2-TD1230</w:t>
              </w:r>
              <w:r w:rsidR="005C1C08" w:rsidRPr="001B3657">
                <w:rPr>
                  <w:rStyle w:val="Hyperlink"/>
                  <w:bCs/>
                  <w:szCs w:val="22"/>
                  <w:lang w:val="en-US"/>
                </w:rPr>
                <w:t>-R1</w:t>
              </w:r>
            </w:hyperlink>
          </w:p>
        </w:tc>
      </w:tr>
    </w:tbl>
    <w:p w14:paraId="0DC1C9AD" w14:textId="77777777" w:rsidR="00D84219" w:rsidRPr="00B47661" w:rsidRDefault="00D84219" w:rsidP="00D84219">
      <w:pPr>
        <w:pStyle w:val="TableNotitle"/>
        <w:jc w:val="left"/>
      </w:pPr>
      <w:r w:rsidRPr="00B47661">
        <w:t>Recommendations Determined under TAP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5667"/>
        <w:gridCol w:w="1998"/>
      </w:tblGrid>
      <w:tr w:rsidR="00D84219" w:rsidRPr="002132E3" w14:paraId="35339B2E" w14:textId="77777777" w:rsidTr="009766C3">
        <w:tc>
          <w:tcPr>
            <w:tcW w:w="1980" w:type="dxa"/>
            <w:shd w:val="clear" w:color="auto" w:fill="auto"/>
            <w:vAlign w:val="center"/>
            <w:hideMark/>
          </w:tcPr>
          <w:p w14:paraId="5E62A433" w14:textId="77777777" w:rsidR="00D84219" w:rsidRPr="00B47661" w:rsidRDefault="00D84219" w:rsidP="002132E3">
            <w:pPr>
              <w:pStyle w:val="Tablehead"/>
            </w:pPr>
            <w:r w:rsidRPr="00B47661">
              <w:t>Rec. #</w:t>
            </w:r>
          </w:p>
        </w:tc>
        <w:tc>
          <w:tcPr>
            <w:tcW w:w="5667" w:type="dxa"/>
            <w:shd w:val="clear" w:color="auto" w:fill="auto"/>
            <w:vAlign w:val="center"/>
            <w:hideMark/>
          </w:tcPr>
          <w:p w14:paraId="094214C5" w14:textId="77777777" w:rsidR="00D84219" w:rsidRPr="00B47661" w:rsidRDefault="00D84219" w:rsidP="002132E3">
            <w:pPr>
              <w:pStyle w:val="Tablehead"/>
            </w:pPr>
            <w:r w:rsidRPr="00B47661">
              <w:t>Rec. title</w:t>
            </w:r>
          </w:p>
        </w:tc>
        <w:tc>
          <w:tcPr>
            <w:tcW w:w="1998" w:type="dxa"/>
            <w:shd w:val="clear" w:color="auto" w:fill="auto"/>
            <w:vAlign w:val="center"/>
            <w:hideMark/>
          </w:tcPr>
          <w:p w14:paraId="47236DAF" w14:textId="6D84975B" w:rsidR="00D84219" w:rsidRPr="00B47661" w:rsidRDefault="00D84219" w:rsidP="002132E3">
            <w:pPr>
              <w:pStyle w:val="Tablehead"/>
            </w:pPr>
            <w:r w:rsidRPr="00B47661">
              <w:t>Documents</w:t>
            </w:r>
          </w:p>
        </w:tc>
      </w:tr>
      <w:tr w:rsidR="00482C0C" w:rsidRPr="005C1C08" w14:paraId="2BBC8C52" w14:textId="77777777" w:rsidTr="009766C3">
        <w:tc>
          <w:tcPr>
            <w:tcW w:w="1980" w:type="dxa"/>
            <w:shd w:val="clear" w:color="auto" w:fill="auto"/>
            <w:vAlign w:val="center"/>
          </w:tcPr>
          <w:p w14:paraId="778AC10B" w14:textId="1B95769A" w:rsidR="00482C0C" w:rsidRPr="001B3657" w:rsidRDefault="00482C0C" w:rsidP="00482C0C">
            <w:pPr>
              <w:spacing w:before="40" w:after="40"/>
              <w:jc w:val="center"/>
              <w:rPr>
                <w:sz w:val="22"/>
                <w:szCs w:val="22"/>
              </w:rPr>
            </w:pPr>
            <w:r w:rsidRPr="001B3657">
              <w:t>E.157 (revised)</w:t>
            </w:r>
          </w:p>
        </w:tc>
        <w:tc>
          <w:tcPr>
            <w:tcW w:w="5667" w:type="dxa"/>
            <w:shd w:val="clear" w:color="auto" w:fill="auto"/>
            <w:vAlign w:val="center"/>
          </w:tcPr>
          <w:p w14:paraId="211CC227" w14:textId="4FF3B8AD" w:rsidR="00482C0C" w:rsidRPr="001B3657" w:rsidRDefault="00482C0C" w:rsidP="00482C0C">
            <w:pPr>
              <w:spacing w:before="40" w:after="40"/>
              <w:rPr>
                <w:sz w:val="22"/>
                <w:szCs w:val="22"/>
                <w:lang w:val="en-US"/>
              </w:rPr>
            </w:pPr>
            <w:r w:rsidRPr="001B3657">
              <w:rPr>
                <w:lang w:val="en-US"/>
              </w:rPr>
              <w:t>International calling party number delivery</w:t>
            </w:r>
          </w:p>
        </w:tc>
        <w:tc>
          <w:tcPr>
            <w:tcW w:w="1998" w:type="dxa"/>
            <w:shd w:val="clear" w:color="auto" w:fill="auto"/>
            <w:vAlign w:val="center"/>
          </w:tcPr>
          <w:p w14:paraId="67510F15" w14:textId="1950FD53" w:rsidR="00482C0C" w:rsidRPr="001B3657" w:rsidRDefault="00D816A3" w:rsidP="00482C0C">
            <w:pPr>
              <w:spacing w:before="40" w:after="40"/>
              <w:jc w:val="center"/>
              <w:rPr>
                <w:sz w:val="22"/>
                <w:szCs w:val="22"/>
              </w:rPr>
            </w:pPr>
            <w:hyperlink r:id="rId14" w:history="1">
              <w:r w:rsidR="00482C0C" w:rsidRPr="001B3657">
                <w:rPr>
                  <w:rStyle w:val="Hyperlink"/>
                  <w:bCs/>
                  <w:szCs w:val="22"/>
                </w:rPr>
                <w:t>SG2-TD1246</w:t>
              </w:r>
              <w:r w:rsidR="005C1C08" w:rsidRPr="001B3657">
                <w:rPr>
                  <w:rStyle w:val="Hyperlink"/>
                  <w:bCs/>
                  <w:szCs w:val="22"/>
                </w:rPr>
                <w:t>-R1</w:t>
              </w:r>
            </w:hyperlink>
          </w:p>
        </w:tc>
      </w:tr>
    </w:tbl>
    <w:p w14:paraId="396BAD5A" w14:textId="77777777" w:rsidR="00D84219" w:rsidRPr="00B47661" w:rsidRDefault="00D84219" w:rsidP="00D84219">
      <w:pPr>
        <w:pStyle w:val="TableNotitle"/>
        <w:jc w:val="left"/>
      </w:pPr>
      <w:bookmarkStart w:id="12" w:name="_Toc118800175"/>
      <w:r w:rsidRPr="00B47661">
        <w:lastRenderedPageBreak/>
        <w:t xml:space="preserve">Recommendations </w:t>
      </w:r>
      <w:r w:rsidR="0024472C" w:rsidRPr="00B47661">
        <w:t xml:space="preserve">Consented </w:t>
      </w:r>
      <w:r w:rsidRPr="00B47661">
        <w:t>under AAP</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1"/>
        <w:gridCol w:w="5666"/>
        <w:gridCol w:w="1998"/>
      </w:tblGrid>
      <w:tr w:rsidR="00D84219" w:rsidRPr="002132E3" w14:paraId="6779E7CD" w14:textId="77777777" w:rsidTr="009766C3">
        <w:tc>
          <w:tcPr>
            <w:tcW w:w="1981" w:type="dxa"/>
            <w:shd w:val="clear" w:color="auto" w:fill="auto"/>
            <w:vAlign w:val="center"/>
            <w:hideMark/>
          </w:tcPr>
          <w:p w14:paraId="72E6262A" w14:textId="77777777" w:rsidR="00D84219" w:rsidRPr="002132E3" w:rsidRDefault="00D84219" w:rsidP="002132E3">
            <w:pPr>
              <w:pStyle w:val="Tablehead"/>
              <w:rPr>
                <w:szCs w:val="22"/>
              </w:rPr>
            </w:pPr>
            <w:r w:rsidRPr="002132E3">
              <w:rPr>
                <w:szCs w:val="22"/>
              </w:rPr>
              <w:t>Rec. #</w:t>
            </w:r>
          </w:p>
        </w:tc>
        <w:tc>
          <w:tcPr>
            <w:tcW w:w="5666" w:type="dxa"/>
            <w:shd w:val="clear" w:color="auto" w:fill="auto"/>
            <w:vAlign w:val="center"/>
            <w:hideMark/>
          </w:tcPr>
          <w:p w14:paraId="02531C9C" w14:textId="77777777" w:rsidR="00D84219" w:rsidRPr="002132E3" w:rsidRDefault="00D84219" w:rsidP="002132E3">
            <w:pPr>
              <w:pStyle w:val="Tablehead"/>
              <w:rPr>
                <w:szCs w:val="22"/>
              </w:rPr>
            </w:pPr>
            <w:r w:rsidRPr="002132E3">
              <w:rPr>
                <w:szCs w:val="22"/>
              </w:rPr>
              <w:t>Rec. title</w:t>
            </w:r>
          </w:p>
        </w:tc>
        <w:tc>
          <w:tcPr>
            <w:tcW w:w="1998" w:type="dxa"/>
            <w:shd w:val="clear" w:color="auto" w:fill="auto"/>
            <w:vAlign w:val="center"/>
            <w:hideMark/>
          </w:tcPr>
          <w:p w14:paraId="497D502F" w14:textId="3FB1D26C" w:rsidR="00D84219" w:rsidRPr="002132E3" w:rsidRDefault="00D84219" w:rsidP="002132E3">
            <w:pPr>
              <w:pStyle w:val="Tablehead"/>
              <w:rPr>
                <w:szCs w:val="22"/>
              </w:rPr>
            </w:pPr>
            <w:r w:rsidRPr="002132E3">
              <w:rPr>
                <w:szCs w:val="22"/>
              </w:rPr>
              <w:t>Document</w:t>
            </w:r>
          </w:p>
        </w:tc>
      </w:tr>
      <w:tr w:rsidR="00E304B6" w:rsidRPr="005C1C08" w14:paraId="4309CD3C" w14:textId="77777777" w:rsidTr="009766C3">
        <w:tc>
          <w:tcPr>
            <w:tcW w:w="1981" w:type="dxa"/>
            <w:shd w:val="clear" w:color="auto" w:fill="auto"/>
            <w:vAlign w:val="center"/>
          </w:tcPr>
          <w:p w14:paraId="4847F923" w14:textId="24CDF921" w:rsidR="00E304B6" w:rsidRPr="001B3657" w:rsidRDefault="009766C3" w:rsidP="00E304B6">
            <w:pPr>
              <w:spacing w:before="40" w:after="40"/>
              <w:jc w:val="center"/>
              <w:rPr>
                <w:iCs/>
                <w:lang w:val="fr-CH" w:eastAsia="zh-CN"/>
              </w:rPr>
            </w:pPr>
            <w:r w:rsidRPr="001B3657">
              <w:rPr>
                <w:iCs/>
                <w:lang w:val="fr-CH" w:eastAsia="zh-CN"/>
              </w:rPr>
              <w:t>M.3080</w:t>
            </w:r>
            <w:r w:rsidRPr="001B3657">
              <w:rPr>
                <w:iCs/>
                <w:lang w:val="fr-CH" w:eastAsia="zh-CN"/>
              </w:rPr>
              <w:br/>
              <w:t xml:space="preserve">(ex </w:t>
            </w:r>
            <w:proofErr w:type="spellStart"/>
            <w:r w:rsidR="00E304B6" w:rsidRPr="001B3657">
              <w:rPr>
                <w:iCs/>
                <w:lang w:val="fr-CH" w:eastAsia="zh-CN"/>
              </w:rPr>
              <w:t>M.AI-tom</w:t>
            </w:r>
            <w:proofErr w:type="spellEnd"/>
            <w:r w:rsidRPr="001B3657">
              <w:rPr>
                <w:iCs/>
                <w:lang w:val="fr-CH" w:eastAsia="zh-CN"/>
              </w:rPr>
              <w:t>)</w:t>
            </w:r>
          </w:p>
        </w:tc>
        <w:tc>
          <w:tcPr>
            <w:tcW w:w="5666" w:type="dxa"/>
            <w:shd w:val="clear" w:color="auto" w:fill="auto"/>
            <w:vAlign w:val="center"/>
          </w:tcPr>
          <w:p w14:paraId="0C2D7E92" w14:textId="0090BFD5" w:rsidR="00E304B6" w:rsidRPr="001B3657" w:rsidRDefault="00E304B6" w:rsidP="00E304B6">
            <w:pPr>
              <w:spacing w:before="40" w:after="40"/>
              <w:rPr>
                <w:iCs/>
              </w:rPr>
            </w:pPr>
            <w:r w:rsidRPr="001B3657">
              <w:rPr>
                <w:bCs/>
                <w:iCs/>
                <w:lang w:val="en-US"/>
              </w:rPr>
              <w:t>Framework of AI enhanced Telecom Operation and Management (AITOM)</w:t>
            </w:r>
          </w:p>
        </w:tc>
        <w:tc>
          <w:tcPr>
            <w:tcW w:w="1998" w:type="dxa"/>
            <w:shd w:val="clear" w:color="auto" w:fill="auto"/>
            <w:vAlign w:val="center"/>
          </w:tcPr>
          <w:p w14:paraId="485D6C1F" w14:textId="2598057B" w:rsidR="00E304B6" w:rsidRPr="001B3657" w:rsidRDefault="00D816A3" w:rsidP="00E304B6">
            <w:pPr>
              <w:spacing w:before="40" w:after="40"/>
              <w:jc w:val="center"/>
              <w:rPr>
                <w:iCs/>
              </w:rPr>
            </w:pPr>
            <w:hyperlink r:id="rId15" w:history="1">
              <w:r w:rsidR="00E304B6" w:rsidRPr="001B3657">
                <w:rPr>
                  <w:rStyle w:val="Hyperlink"/>
                  <w:iCs/>
                </w:rPr>
                <w:t>SG2-TD12</w:t>
              </w:r>
              <w:r w:rsidR="005C1C08" w:rsidRPr="001B3657">
                <w:rPr>
                  <w:rStyle w:val="Hyperlink"/>
                  <w:iCs/>
                </w:rPr>
                <w:t>53-R1</w:t>
              </w:r>
            </w:hyperlink>
          </w:p>
        </w:tc>
      </w:tr>
    </w:tbl>
    <w:bookmarkEnd w:id="12"/>
    <w:p w14:paraId="08AF3848" w14:textId="72FA74E8" w:rsidR="006D73B8" w:rsidRPr="001B3657" w:rsidRDefault="006D73B8" w:rsidP="001B3657">
      <w:pPr>
        <w:spacing w:after="240"/>
        <w:rPr>
          <w:b/>
          <w:bCs/>
        </w:rPr>
      </w:pPr>
      <w:r w:rsidRPr="001B3657">
        <w:rPr>
          <w:b/>
          <w:bCs/>
        </w:rPr>
        <w:t xml:space="preserve">Supplements </w:t>
      </w:r>
      <w:r w:rsidR="00482C0C" w:rsidRPr="001B3657">
        <w:rPr>
          <w:b/>
          <w:bCs/>
        </w:rPr>
        <w:t xml:space="preserve">or other non-normative texts </w:t>
      </w:r>
      <w:r w:rsidRPr="001B3657">
        <w:rPr>
          <w:b/>
          <w:bCs/>
        </w:rPr>
        <w:t>approved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9"/>
        <w:gridCol w:w="5770"/>
        <w:gridCol w:w="1930"/>
      </w:tblGrid>
      <w:tr w:rsidR="006D73B8" w:rsidRPr="005C1C08" w14:paraId="7345F4B1" w14:textId="77777777" w:rsidTr="006C0A8A">
        <w:tc>
          <w:tcPr>
            <w:tcW w:w="1909" w:type="dxa"/>
            <w:hideMark/>
          </w:tcPr>
          <w:p w14:paraId="2F8D1792" w14:textId="77777777" w:rsidR="006D73B8" w:rsidRPr="005C1C08" w:rsidRDefault="006D73B8">
            <w:pPr>
              <w:pStyle w:val="Tablehead"/>
              <w:tabs>
                <w:tab w:val="clear" w:pos="284"/>
                <w:tab w:val="clear" w:pos="567"/>
                <w:tab w:val="clear" w:pos="851"/>
                <w:tab w:val="clear" w:pos="1134"/>
                <w:tab w:val="clear" w:pos="1418"/>
                <w:tab w:val="clear" w:pos="1701"/>
                <w:tab w:val="left" w:pos="794"/>
                <w:tab w:val="left" w:pos="1191"/>
                <w:tab w:val="left" w:pos="1588"/>
              </w:tabs>
              <w:spacing w:before="60" w:after="60"/>
              <w:rPr>
                <w:bCs/>
                <w:szCs w:val="22"/>
              </w:rPr>
            </w:pPr>
            <w:r w:rsidRPr="005C1C08">
              <w:rPr>
                <w:bCs/>
                <w:szCs w:val="22"/>
              </w:rPr>
              <w:t>Supp.#</w:t>
            </w:r>
          </w:p>
        </w:tc>
        <w:tc>
          <w:tcPr>
            <w:tcW w:w="5770" w:type="dxa"/>
            <w:hideMark/>
          </w:tcPr>
          <w:p w14:paraId="52CE0086" w14:textId="77777777" w:rsidR="006D73B8" w:rsidRPr="005C1C08" w:rsidRDefault="006D73B8">
            <w:pPr>
              <w:spacing w:before="60" w:after="60"/>
              <w:jc w:val="center"/>
              <w:rPr>
                <w:b/>
                <w:bCs/>
                <w:sz w:val="22"/>
                <w:szCs w:val="22"/>
              </w:rPr>
            </w:pPr>
            <w:r w:rsidRPr="005C1C08">
              <w:rPr>
                <w:b/>
                <w:bCs/>
                <w:sz w:val="22"/>
                <w:szCs w:val="22"/>
              </w:rPr>
              <w:t>Supp. Title</w:t>
            </w:r>
          </w:p>
        </w:tc>
        <w:tc>
          <w:tcPr>
            <w:tcW w:w="1930" w:type="dxa"/>
            <w:hideMark/>
          </w:tcPr>
          <w:p w14:paraId="43F6EF45" w14:textId="77777777" w:rsidR="006D73B8" w:rsidRPr="005C1C08" w:rsidRDefault="006D73B8">
            <w:pPr>
              <w:spacing w:before="60" w:after="60"/>
              <w:jc w:val="center"/>
              <w:rPr>
                <w:b/>
                <w:bCs/>
                <w:sz w:val="22"/>
                <w:szCs w:val="22"/>
              </w:rPr>
            </w:pPr>
            <w:r w:rsidRPr="005C1C08">
              <w:rPr>
                <w:b/>
                <w:bCs/>
                <w:sz w:val="22"/>
                <w:szCs w:val="22"/>
              </w:rPr>
              <w:t>Document</w:t>
            </w:r>
          </w:p>
        </w:tc>
      </w:tr>
      <w:tr w:rsidR="00E304B6" w:rsidRPr="005C1C08" w14:paraId="7F446D91" w14:textId="77777777" w:rsidTr="00485F06">
        <w:tc>
          <w:tcPr>
            <w:tcW w:w="1909" w:type="dxa"/>
            <w:vAlign w:val="center"/>
          </w:tcPr>
          <w:p w14:paraId="342EFC1B" w14:textId="5162ED03" w:rsidR="00E304B6" w:rsidRPr="001B3657" w:rsidRDefault="00E304B6" w:rsidP="00E304B6">
            <w:pPr>
              <w:rPr>
                <w:rFonts w:eastAsia="Times New Roman"/>
                <w:sz w:val="22"/>
                <w:szCs w:val="22"/>
              </w:rPr>
            </w:pPr>
            <w:r w:rsidRPr="001B3657">
              <w:t>TR.TRAFGR</w:t>
            </w:r>
          </w:p>
        </w:tc>
        <w:tc>
          <w:tcPr>
            <w:tcW w:w="5770" w:type="dxa"/>
            <w:vAlign w:val="center"/>
          </w:tcPr>
          <w:p w14:paraId="098A56AD" w14:textId="5B2B72E4" w:rsidR="00E304B6" w:rsidRPr="001B3657" w:rsidRDefault="00E304B6" w:rsidP="00E304B6">
            <w:pPr>
              <w:rPr>
                <w:rFonts w:eastAsia="Times New Roman"/>
                <w:sz w:val="22"/>
                <w:szCs w:val="22"/>
              </w:rPr>
            </w:pPr>
            <w:r w:rsidRPr="001B3657">
              <w:t>Technical report of the analysis of F.930 for global resource assignment</w:t>
            </w:r>
          </w:p>
        </w:tc>
        <w:tc>
          <w:tcPr>
            <w:tcW w:w="1930" w:type="dxa"/>
            <w:vAlign w:val="center"/>
          </w:tcPr>
          <w:p w14:paraId="1B2BED89" w14:textId="2CE376C3" w:rsidR="00E304B6" w:rsidRPr="001B3657" w:rsidRDefault="00D816A3" w:rsidP="001B3657">
            <w:pPr>
              <w:jc w:val="center"/>
              <w:rPr>
                <w:sz w:val="22"/>
                <w:szCs w:val="22"/>
              </w:rPr>
            </w:pPr>
            <w:hyperlink r:id="rId16" w:history="1">
              <w:r w:rsidR="00E304B6" w:rsidRPr="001B3657">
                <w:rPr>
                  <w:rStyle w:val="Hyperlink"/>
                </w:rPr>
                <w:t>SG2-TD1254</w:t>
              </w:r>
            </w:hyperlink>
          </w:p>
        </w:tc>
      </w:tr>
    </w:tbl>
    <w:p w14:paraId="0DBAE119" w14:textId="5B362256" w:rsidR="00DE44D6" w:rsidRPr="00B47661" w:rsidRDefault="00DE44D6" w:rsidP="00DE44D6">
      <w:pPr>
        <w:pStyle w:val="Heading2"/>
      </w:pPr>
      <w:r w:rsidRPr="00B47661">
        <w:t>2.</w:t>
      </w:r>
      <w:r>
        <w:t>4</w:t>
      </w:r>
      <w:r w:rsidRPr="00B47661">
        <w:tab/>
      </w:r>
      <w:r>
        <w:t>Proposal to create a new focus group</w:t>
      </w:r>
    </w:p>
    <w:p w14:paraId="7D71E055" w14:textId="4F6571CD" w:rsidR="006D73B8" w:rsidRPr="00365340" w:rsidRDefault="00DE44D6" w:rsidP="00365340">
      <w:r w:rsidRPr="00365340">
        <w:t xml:space="preserve">A proposal was received to create a new Focus Group on "Artificial Intelligence for Natural Disaster Management" (FG-AI4NDM). The rationale and draft Terms of Reference for the group are contained in </w:t>
      </w:r>
      <w:hyperlink r:id="rId17" w:history="1">
        <w:r w:rsidRPr="00365340">
          <w:rPr>
            <w:rStyle w:val="Hyperlink"/>
            <w:bCs/>
            <w:i/>
            <w:iCs/>
          </w:rPr>
          <w:t>SG2-C292</w:t>
        </w:r>
      </w:hyperlink>
      <w:r w:rsidRPr="00365340">
        <w:t xml:space="preserve">, submitted by Fraunhofer HHI &amp; IIS (Germany), Monash Data Futures Institute (Australia), The University of Tokyo (Japan), TU Berlin (Germany), UNEP, Universidad Del País Vasco (Spain) , </w:t>
      </w:r>
      <w:proofErr w:type="spellStart"/>
      <w:r w:rsidRPr="00365340">
        <w:t>Université</w:t>
      </w:r>
      <w:proofErr w:type="spellEnd"/>
      <w:r w:rsidRPr="00365340">
        <w:t xml:space="preserve"> de Genève (Switzerland), WMO.</w:t>
      </w:r>
    </w:p>
    <w:p w14:paraId="01CB9E1D" w14:textId="0C0B4EE0" w:rsidR="00365340" w:rsidRPr="005C1C08" w:rsidRDefault="00365340">
      <w:r w:rsidRPr="005C1C08">
        <w:rPr>
          <w:lang w:val="en-US"/>
        </w:rPr>
        <w:t xml:space="preserve">As a result of discussions between the Chairman of ITU-T SG2 and supporters of the proposal in order to clarify the potential scope of the focus group, the Chairman of ITU-T SG2 prepared </w:t>
      </w:r>
      <w:hyperlink r:id="rId18" w:history="1">
        <w:r w:rsidRPr="001B3657">
          <w:rPr>
            <w:rStyle w:val="Hyperlink"/>
            <w:lang w:val="en-US"/>
          </w:rPr>
          <w:t>SG2</w:t>
        </w:r>
        <w:r w:rsidRPr="001B3657">
          <w:rPr>
            <w:rStyle w:val="Hyperlink"/>
            <w:lang w:val="en-US"/>
          </w:rPr>
          <w:noBreakHyphen/>
          <w:t>TD1274</w:t>
        </w:r>
      </w:hyperlink>
      <w:r w:rsidRPr="005C1C08">
        <w:rPr>
          <w:lang w:val="en-US"/>
        </w:rPr>
        <w:t>, which was put forward for a decision by the SG2 e-plenary on 18 December 2020.</w:t>
      </w:r>
    </w:p>
    <w:p w14:paraId="13B04453" w14:textId="73625B34" w:rsidR="002544C4" w:rsidRPr="00AC6495" w:rsidRDefault="005C1C08" w:rsidP="002544C4">
      <w:r w:rsidRPr="001B3657">
        <w:t xml:space="preserve">After discussion, the </w:t>
      </w:r>
      <w:r w:rsidR="00DE44D6" w:rsidRPr="001B3657">
        <w:t>study group agreed to</w:t>
      </w:r>
      <w:r w:rsidRPr="001B3657">
        <w:t xml:space="preserve"> create the new focus group using the Terms of Reference given in </w:t>
      </w:r>
      <w:hyperlink r:id="rId19" w:history="1">
        <w:r w:rsidRPr="001B3657">
          <w:rPr>
            <w:rStyle w:val="Hyperlink"/>
          </w:rPr>
          <w:t>SG2-TD1274-R1</w:t>
        </w:r>
      </w:hyperlink>
      <w:r w:rsidRPr="001B3657">
        <w:t xml:space="preserve">. </w:t>
      </w:r>
      <w:r w:rsidR="002544C4">
        <w:t>Meeting participants</w:t>
      </w:r>
      <w:r w:rsidR="002544C4" w:rsidRPr="002544C4">
        <w:t xml:space="preserve"> agreed that due all the regions of the ITU, including Developing Countries, should be broadly represented in the management team and among the participants.</w:t>
      </w:r>
      <w:r w:rsidR="002544C4">
        <w:t xml:space="preserve"> Proponents of the group committed to </w:t>
      </w:r>
      <w:r w:rsidR="002544C4" w:rsidRPr="00AC6495">
        <w:t>contribute to the work, and the decision to create the focus group was supported by the following Member States: Argentina, Burundi, Canada, China, Cyprus, Egypt, Germany, Greece, India, Korea (Republic of), Russian Federation, Sudan, Tanzania, Turkey, United Kingdom and United States.</w:t>
      </w:r>
    </w:p>
    <w:p w14:paraId="00BC7997" w14:textId="6E03E1BB" w:rsidR="00CE652D" w:rsidRDefault="00CE652D" w:rsidP="002544C4">
      <w:r w:rsidRPr="00AC6495">
        <w:t>Of the consultation carried out with the Chairs of ITU-T SGs, as required</w:t>
      </w:r>
      <w:r>
        <w:t xml:space="preserve"> by Recommendation </w:t>
      </w:r>
      <w:r w:rsidR="00E85778">
        <w:br/>
      </w:r>
      <w:r>
        <w:t>ITU-T A.7, the replies that we had were both positive and helpful.  In their responses several of the Chairs indicated potential activity to be reviewed by the FG as possible input to its work.</w:t>
      </w:r>
    </w:p>
    <w:p w14:paraId="3A6645DC" w14:textId="25F7C0F7" w:rsidR="005C1C08" w:rsidRPr="001B3657" w:rsidRDefault="005C1C08">
      <w:r w:rsidRPr="001B3657">
        <w:t>The revised Terms of Reference set a lifespan of one year from the first meeting, with the possibility for a further year subject to the agreement of the study group. The meeting appointed the following:</w:t>
      </w:r>
    </w:p>
    <w:p w14:paraId="69E15016" w14:textId="0C1DE179" w:rsidR="005C1C08" w:rsidRPr="001B3657" w:rsidRDefault="005C1C08" w:rsidP="001B3657">
      <w:pPr>
        <w:pStyle w:val="enumlev1"/>
        <w:rPr>
          <w:lang w:val="en-US"/>
        </w:rPr>
      </w:pPr>
      <w:r w:rsidRPr="001B3657">
        <w:rPr>
          <w:lang w:val="en-US"/>
        </w:rPr>
        <w:t>•</w:t>
      </w:r>
      <w:r w:rsidRPr="001B3657">
        <w:rPr>
          <w:lang w:val="en-US"/>
        </w:rPr>
        <w:tab/>
        <w:t>Chairman: Dr Monique KUGLITSCH (Ms) (Fraunhofer HHI &amp; IIS)</w:t>
      </w:r>
      <w:r>
        <w:rPr>
          <w:lang w:val="en-US"/>
        </w:rPr>
        <w:t>.</w:t>
      </w:r>
    </w:p>
    <w:p w14:paraId="055F5A6B" w14:textId="41ACCA78" w:rsidR="005C1C08" w:rsidRPr="001B3657" w:rsidRDefault="005C1C08" w:rsidP="001B3657">
      <w:pPr>
        <w:pStyle w:val="enumlev1"/>
        <w:rPr>
          <w:lang w:val="en-US"/>
        </w:rPr>
      </w:pPr>
      <w:r w:rsidRPr="001B3657">
        <w:rPr>
          <w:lang w:val="en-US"/>
        </w:rPr>
        <w:t>•</w:t>
      </w:r>
      <w:r w:rsidRPr="001B3657">
        <w:rPr>
          <w:lang w:val="en-US"/>
        </w:rPr>
        <w:tab/>
        <w:t xml:space="preserve">Vice-chairman: Ms </w:t>
      </w:r>
      <w:proofErr w:type="spellStart"/>
      <w:r w:rsidRPr="001B3657">
        <w:rPr>
          <w:lang w:val="en-US"/>
        </w:rPr>
        <w:t>Preeti</w:t>
      </w:r>
      <w:proofErr w:type="spellEnd"/>
      <w:r w:rsidRPr="001B3657">
        <w:rPr>
          <w:lang w:val="en-US"/>
        </w:rPr>
        <w:t xml:space="preserve"> BANZAL (</w:t>
      </w:r>
      <w:r w:rsidR="00AC6495" w:rsidRPr="00A3544B">
        <w:t>Office of the Principal Scientific Adviser, Government of India</w:t>
      </w:r>
      <w:r w:rsidRPr="001B3657">
        <w:rPr>
          <w:lang w:val="en-US"/>
        </w:rPr>
        <w:t>)</w:t>
      </w:r>
      <w:r>
        <w:rPr>
          <w:lang w:val="en-US"/>
        </w:rPr>
        <w:t>.</w:t>
      </w:r>
    </w:p>
    <w:p w14:paraId="361C66EE" w14:textId="53FFFC53" w:rsidR="005C1C08" w:rsidRPr="001B3657" w:rsidRDefault="005C1C08" w:rsidP="001B3657">
      <w:pPr>
        <w:pStyle w:val="enumlev1"/>
        <w:rPr>
          <w:lang w:val="en-US"/>
        </w:rPr>
      </w:pPr>
      <w:r w:rsidRPr="001B3657">
        <w:rPr>
          <w:lang w:val="en-US"/>
        </w:rPr>
        <w:t>•</w:t>
      </w:r>
      <w:r w:rsidRPr="001B3657">
        <w:rPr>
          <w:lang w:val="en-US"/>
        </w:rPr>
        <w:tab/>
        <w:t xml:space="preserve">Vice-chairman: Mr </w:t>
      </w:r>
      <w:proofErr w:type="spellStart"/>
      <w:r w:rsidRPr="001B3657">
        <w:rPr>
          <w:lang w:val="en-US"/>
        </w:rPr>
        <w:t>Jürg</w:t>
      </w:r>
      <w:proofErr w:type="spellEnd"/>
      <w:r w:rsidRPr="001B3657">
        <w:rPr>
          <w:lang w:val="en-US"/>
        </w:rPr>
        <w:t xml:space="preserve"> LUTERBACHER (WMO)</w:t>
      </w:r>
      <w:r>
        <w:rPr>
          <w:lang w:val="en-US"/>
        </w:rPr>
        <w:t>.</w:t>
      </w:r>
    </w:p>
    <w:p w14:paraId="7AA58ACE" w14:textId="405ADD6A" w:rsidR="005C1C08" w:rsidRPr="001B3657" w:rsidRDefault="005C1C08" w:rsidP="001B3657">
      <w:pPr>
        <w:pStyle w:val="enumlev1"/>
        <w:rPr>
          <w:lang w:val="en-US"/>
        </w:rPr>
      </w:pPr>
      <w:r w:rsidRPr="001B3657">
        <w:rPr>
          <w:lang w:val="en-US"/>
        </w:rPr>
        <w:t>•</w:t>
      </w:r>
      <w:r w:rsidRPr="001B3657">
        <w:rPr>
          <w:lang w:val="en-US"/>
        </w:rPr>
        <w:tab/>
        <w:t>Vice-chairman: Ms Yanchuan WANG (China Telecom)</w:t>
      </w:r>
      <w:r>
        <w:rPr>
          <w:lang w:val="en-US"/>
        </w:rPr>
        <w:t>.</w:t>
      </w:r>
    </w:p>
    <w:p w14:paraId="4F6AE501" w14:textId="204EC383" w:rsidR="001575EE" w:rsidRDefault="001575EE" w:rsidP="006D3A6A">
      <w:pPr>
        <w:pStyle w:val="Heading1"/>
        <w:numPr>
          <w:ilvl w:val="0"/>
          <w:numId w:val="4"/>
        </w:numPr>
        <w:tabs>
          <w:tab w:val="clear" w:pos="794"/>
          <w:tab w:val="left" w:pos="360"/>
        </w:tabs>
        <w:suppressAutoHyphens w:val="0"/>
        <w:adjustRightInd w:val="0"/>
        <w:ind w:left="426" w:hanging="426"/>
        <w:textAlignment w:val="auto"/>
        <w:rPr>
          <w:rFonts w:eastAsia="DengXian"/>
        </w:rPr>
      </w:pPr>
      <w:r w:rsidRPr="006D3A6A">
        <w:lastRenderedPageBreak/>
        <w:t>WTSA20</w:t>
      </w:r>
      <w:r>
        <w:rPr>
          <w:rFonts w:eastAsia="DengXian"/>
        </w:rPr>
        <w:t xml:space="preserve"> </w:t>
      </w:r>
      <w:r w:rsidR="0024472C">
        <w:rPr>
          <w:rFonts w:eastAsia="DengXian"/>
        </w:rPr>
        <w:t>preparations</w:t>
      </w:r>
    </w:p>
    <w:p w14:paraId="0F365EE5" w14:textId="6EDA6722" w:rsidR="00E304B6" w:rsidRDefault="00E304B6" w:rsidP="006F5457">
      <w:pPr>
        <w:keepNext/>
        <w:keepLines/>
      </w:pPr>
      <w:r>
        <w:t>After consultation with the ITU-T SG2 experts and management team, the Chairman of SG2</w:t>
      </w:r>
      <w:r w:rsidRPr="00E304B6">
        <w:t xml:space="preserve"> </w:t>
      </w:r>
      <w:r>
        <w:t xml:space="preserve">submitted </w:t>
      </w:r>
      <w:hyperlink r:id="rId20" w:history="1">
        <w:r w:rsidRPr="00E304B6">
          <w:rPr>
            <w:rStyle w:val="Hyperlink"/>
          </w:rPr>
          <w:t>TSAG-TD973</w:t>
        </w:r>
      </w:hyperlink>
      <w:r w:rsidRPr="00E304B6">
        <w:t xml:space="preserve"> </w:t>
      </w:r>
      <w:r>
        <w:t xml:space="preserve">for consideration at the TSAG RG-WP e-meeting </w:t>
      </w:r>
      <w:r w:rsidR="00E02856">
        <w:t>(8 December 2020)</w:t>
      </w:r>
      <w:r w:rsidR="00365340">
        <w:t>.</w:t>
      </w:r>
      <w:r w:rsidR="00E02856">
        <w:t xml:space="preserve"> </w:t>
      </w:r>
      <w:hyperlink r:id="rId21" w:history="1">
        <w:r w:rsidRPr="00E304B6">
          <w:rPr>
            <w:rStyle w:val="Hyperlink"/>
          </w:rPr>
          <w:t>TSAG-TD97</w:t>
        </w:r>
        <w:r w:rsidR="00DE44D6">
          <w:rPr>
            <w:rStyle w:val="Hyperlink"/>
          </w:rPr>
          <w:t>3-R1</w:t>
        </w:r>
      </w:hyperlink>
      <w:r w:rsidR="00365340">
        <w:t xml:space="preserve">, which includes a typographical correction to the title of Q5/2, was subsequently submitted for endorsement at the </w:t>
      </w:r>
      <w:r w:rsidR="00365340" w:rsidRPr="00E304B6">
        <w:t>TSAG meeting (virtual, 11-18 January 2021).</w:t>
      </w:r>
      <w:r w:rsidR="00365340">
        <w:t xml:space="preserve"> </w:t>
      </w:r>
      <w:hyperlink r:id="rId22" w:history="1">
        <w:r w:rsidR="00365340" w:rsidRPr="00E304B6">
          <w:rPr>
            <w:rStyle w:val="Hyperlink"/>
          </w:rPr>
          <w:t>TSAG-TD97</w:t>
        </w:r>
        <w:r w:rsidR="00365340">
          <w:rPr>
            <w:rStyle w:val="Hyperlink"/>
          </w:rPr>
          <w:t>3-R1</w:t>
        </w:r>
      </w:hyperlink>
      <w:r w:rsidR="00365340">
        <w:rPr>
          <w:rStyle w:val="Hyperlink"/>
        </w:rPr>
        <w:t xml:space="preserve"> </w:t>
      </w:r>
      <w:r w:rsidRPr="00E304B6">
        <w:t xml:space="preserve">contains as attachments the SG2 Question texts that would have been submitted to WTSA-20 had it taken place during the original timeframe. </w:t>
      </w:r>
    </w:p>
    <w:p w14:paraId="130E55D4" w14:textId="44E55DAF" w:rsidR="00E304B6" w:rsidRDefault="00E304B6" w:rsidP="006F5457">
      <w:pPr>
        <w:keepNext/>
        <w:keepLines/>
      </w:pPr>
      <w:r>
        <w:t xml:space="preserve">An </w:t>
      </w:r>
      <w:r w:rsidRPr="00E304B6">
        <w:t xml:space="preserve">ad-hoc e-meeting on streamlining Resolutions </w:t>
      </w:r>
      <w:r>
        <w:t xml:space="preserve">was held </w:t>
      </w:r>
      <w:r w:rsidRPr="00E304B6">
        <w:t>16 October 2020</w:t>
      </w:r>
      <w:r>
        <w:t xml:space="preserve"> to discuss issues remaining with WTSA Resolutions 20 and 29</w:t>
      </w:r>
      <w:r w:rsidR="00B216FA">
        <w:t xml:space="preserve"> (meeting report in </w:t>
      </w:r>
      <w:hyperlink r:id="rId23" w:history="1">
        <w:r w:rsidR="00B216FA" w:rsidRPr="00B216FA">
          <w:rPr>
            <w:rStyle w:val="Hyperlink"/>
          </w:rPr>
          <w:t>SG2-TD1231</w:t>
        </w:r>
      </w:hyperlink>
      <w:r w:rsidR="00B216FA">
        <w:t>)</w:t>
      </w:r>
      <w:r>
        <w:t>.</w:t>
      </w:r>
      <w:r w:rsidR="00B216FA">
        <w:t xml:space="preserve"> </w:t>
      </w:r>
      <w:r w:rsidR="009A6466">
        <w:t xml:space="preserve">An update on these discussions that include the views of SG2 </w:t>
      </w:r>
      <w:r w:rsidR="002544C4">
        <w:t xml:space="preserve">will be </w:t>
      </w:r>
      <w:r w:rsidR="009A6466">
        <w:t>included in a separate liaison</w:t>
      </w:r>
      <w:r w:rsidR="0003624A">
        <w:t xml:space="preserve"> ahead of TSAG’s consideration for WTSA20</w:t>
      </w:r>
      <w:r w:rsidR="009A6466">
        <w:t>.</w:t>
      </w:r>
    </w:p>
    <w:p w14:paraId="1402C262" w14:textId="7841BF03" w:rsidR="00A61CBC" w:rsidRPr="00C14E86" w:rsidRDefault="00E8649E" w:rsidP="006D3A6A">
      <w:pPr>
        <w:pStyle w:val="Heading1"/>
        <w:numPr>
          <w:ilvl w:val="0"/>
          <w:numId w:val="4"/>
        </w:numPr>
        <w:tabs>
          <w:tab w:val="clear" w:pos="794"/>
          <w:tab w:val="left" w:pos="360"/>
        </w:tabs>
        <w:suppressAutoHyphens w:val="0"/>
        <w:adjustRightInd w:val="0"/>
        <w:ind w:left="426" w:hanging="426"/>
        <w:textAlignment w:val="auto"/>
        <w:rPr>
          <w:rFonts w:eastAsia="DengXian"/>
        </w:rPr>
      </w:pPr>
      <w:r w:rsidRPr="00C14E86">
        <w:t>Progress</w:t>
      </w:r>
    </w:p>
    <w:p w14:paraId="285E9565" w14:textId="72FF3C27" w:rsidR="009A6466" w:rsidRDefault="009A6466" w:rsidP="008911C7">
      <w:pPr>
        <w:rPr>
          <w:lang w:eastAsia="en-US"/>
        </w:rPr>
      </w:pPr>
      <w:r>
        <w:rPr>
          <w:lang w:eastAsia="en-US"/>
        </w:rPr>
        <w:t>The limited time between the</w:t>
      </w:r>
      <w:r w:rsidR="00365340">
        <w:rPr>
          <w:lang w:eastAsia="en-US"/>
        </w:rPr>
        <w:t xml:space="preserve"> September and</w:t>
      </w:r>
      <w:r>
        <w:rPr>
          <w:lang w:eastAsia="en-US"/>
        </w:rPr>
        <w:t xml:space="preserve"> </w:t>
      </w:r>
      <w:r w:rsidR="00365340">
        <w:rPr>
          <w:lang w:eastAsia="en-US"/>
        </w:rPr>
        <w:t>December 2020</w:t>
      </w:r>
      <w:r>
        <w:rPr>
          <w:lang w:eastAsia="en-US"/>
        </w:rPr>
        <w:t xml:space="preserve"> meeting</w:t>
      </w:r>
      <w:r w:rsidR="00365340">
        <w:rPr>
          <w:lang w:eastAsia="en-US"/>
        </w:rPr>
        <w:t>s</w:t>
      </w:r>
      <w:r>
        <w:rPr>
          <w:lang w:eastAsia="en-US"/>
        </w:rPr>
        <w:t xml:space="preserve"> </w:t>
      </w:r>
      <w:r w:rsidR="00365340">
        <w:rPr>
          <w:lang w:eastAsia="en-US"/>
        </w:rPr>
        <w:t xml:space="preserve">SG2 </w:t>
      </w:r>
      <w:r>
        <w:rPr>
          <w:lang w:eastAsia="en-US"/>
        </w:rPr>
        <w:t>reflected efforts to seek agreement on and progress work as much as possible, ahead of the WTSA 20 that had been scheduled for Q1 2021.</w:t>
      </w:r>
      <w:r w:rsidR="00365340">
        <w:rPr>
          <w:lang w:eastAsia="en-US"/>
        </w:rPr>
        <w:t xml:space="preserve"> </w:t>
      </w:r>
      <w:r>
        <w:rPr>
          <w:lang w:eastAsia="en-US"/>
        </w:rPr>
        <w:t xml:space="preserve">Hence the time frame of </w:t>
      </w:r>
      <w:r w:rsidR="00365340">
        <w:rPr>
          <w:lang w:eastAsia="en-US"/>
        </w:rPr>
        <w:t>three</w:t>
      </w:r>
      <w:r>
        <w:rPr>
          <w:lang w:eastAsia="en-US"/>
        </w:rPr>
        <w:t xml:space="preserve"> months between SG plenaries.</w:t>
      </w:r>
      <w:r w:rsidR="00365340">
        <w:rPr>
          <w:lang w:eastAsia="en-US"/>
        </w:rPr>
        <w:t xml:space="preserve"> </w:t>
      </w:r>
      <w:r>
        <w:rPr>
          <w:lang w:eastAsia="en-US"/>
        </w:rPr>
        <w:t xml:space="preserve">During this time period </w:t>
      </w:r>
      <w:r w:rsidR="00365340">
        <w:rPr>
          <w:lang w:eastAsia="en-US"/>
        </w:rPr>
        <w:t xml:space="preserve">the </w:t>
      </w:r>
      <w:r>
        <w:rPr>
          <w:lang w:eastAsia="en-US"/>
        </w:rPr>
        <w:t xml:space="preserve">focus of the work of SG2 was on, and progress was made, during Rapporteur Group Meetings. </w:t>
      </w:r>
    </w:p>
    <w:p w14:paraId="4F960C25" w14:textId="3ABFC9DC" w:rsidR="009A6466" w:rsidRDefault="009A6466" w:rsidP="008911C7">
      <w:pPr>
        <w:rPr>
          <w:lang w:eastAsia="en-US"/>
        </w:rPr>
      </w:pPr>
      <w:r>
        <w:rPr>
          <w:lang w:eastAsia="en-US"/>
        </w:rPr>
        <w:t>Discussions on the assignment of global resources continues to address emerging requirements.</w:t>
      </w:r>
      <w:r w:rsidR="00365340">
        <w:rPr>
          <w:lang w:eastAsia="en-US"/>
        </w:rPr>
        <w:t xml:space="preserve"> </w:t>
      </w:r>
      <w:r>
        <w:rPr>
          <w:lang w:eastAsia="en-US"/>
        </w:rPr>
        <w:t>The approval of Annex H of Recommendation ITU-T E.212</w:t>
      </w:r>
      <w:r w:rsidR="00365340">
        <w:rPr>
          <w:lang w:eastAsia="en-US"/>
        </w:rPr>
        <w:t xml:space="preserve"> (2016)</w:t>
      </w:r>
      <w:r>
        <w:rPr>
          <w:lang w:eastAsia="en-US"/>
        </w:rPr>
        <w:t xml:space="preserve"> “International Mobile Subscriber Identification” continues to demonstrate the importance of this NNAI resource in the deployment of new technology.</w:t>
      </w:r>
      <w:r w:rsidR="00365340">
        <w:rPr>
          <w:lang w:eastAsia="en-US"/>
        </w:rPr>
        <w:t xml:space="preserve"> </w:t>
      </w:r>
      <w:r>
        <w:rPr>
          <w:lang w:eastAsia="en-US"/>
        </w:rPr>
        <w:t>Annex H defines the criteria by which applications for global E.212 resources from Industry alliances and other SDOs are evaluated.</w:t>
      </w:r>
      <w:r w:rsidR="00365340">
        <w:rPr>
          <w:lang w:eastAsia="en-US"/>
        </w:rPr>
        <w:t xml:space="preserve"> </w:t>
      </w:r>
      <w:r>
        <w:rPr>
          <w:lang w:eastAsia="en-US"/>
        </w:rPr>
        <w:t xml:space="preserve">As part of the criteria, there is a requirement that the applicant is at least an </w:t>
      </w:r>
      <w:r w:rsidR="00365340">
        <w:rPr>
          <w:lang w:eastAsia="en-US"/>
        </w:rPr>
        <w:t xml:space="preserve">Associate </w:t>
      </w:r>
      <w:r>
        <w:rPr>
          <w:lang w:eastAsia="en-US"/>
        </w:rPr>
        <w:t xml:space="preserve">member of SG2. </w:t>
      </w:r>
    </w:p>
    <w:p w14:paraId="4A5CDA15" w14:textId="735F3015" w:rsidR="009A6466" w:rsidRDefault="009A6466" w:rsidP="008911C7">
      <w:pPr>
        <w:pStyle w:val="Tabletext"/>
        <w:spacing w:before="120" w:after="0"/>
        <w:rPr>
          <w:rFonts w:asciiTheme="majorBidi" w:hAnsiTheme="majorBidi" w:cstheme="majorBidi"/>
          <w:sz w:val="24"/>
          <w:szCs w:val="24"/>
          <w:lang w:val="en-US" w:eastAsia="zh-CN"/>
        </w:rPr>
      </w:pPr>
      <w:r>
        <w:t>Recommendation ITU-T M.3373 was approved.</w:t>
      </w:r>
      <w:r w:rsidR="00365340">
        <w:t xml:space="preserve"> </w:t>
      </w:r>
      <w:r>
        <w:t xml:space="preserve">This </w:t>
      </w:r>
      <w:r w:rsidR="00365340">
        <w:t xml:space="preserve">Recommendation </w:t>
      </w:r>
      <w:r>
        <w:rPr>
          <w:rFonts w:asciiTheme="majorBidi" w:hAnsiTheme="majorBidi" w:cstheme="majorBidi"/>
          <w:sz w:val="24"/>
          <w:szCs w:val="24"/>
          <w:lang w:val="en-US" w:eastAsia="zh-CN"/>
        </w:rPr>
        <w:t>introduces the management function set and requirements for synergy management of cloud and SDN-based networks, and includes the general background of the synergy service of cloud and SDN-based networks as well as the benefit of introducing synergy management of cloud and SDN-based networks is explained.</w:t>
      </w:r>
    </w:p>
    <w:p w14:paraId="67272E05" w14:textId="410815A7" w:rsidR="009A6466" w:rsidRDefault="009A6466" w:rsidP="008911C7">
      <w:pPr>
        <w:rPr>
          <w:lang w:eastAsia="en-US"/>
        </w:rPr>
      </w:pPr>
      <w:r>
        <w:rPr>
          <w:lang w:eastAsia="en-US"/>
        </w:rPr>
        <w:t xml:space="preserve">The revision to Recommendation ITU-T E.157 on </w:t>
      </w:r>
      <w:r w:rsidR="00365340">
        <w:rPr>
          <w:lang w:eastAsia="en-US"/>
        </w:rPr>
        <w:t xml:space="preserve">International Calling Delivery </w:t>
      </w:r>
      <w:r>
        <w:rPr>
          <w:lang w:eastAsia="en-US"/>
        </w:rPr>
        <w:t>has been updated to reflect developments that have been seen globally. As reported previously Members have implemented national decisions that could be seen as best practice, and in some cases complimentary to</w:t>
      </w:r>
      <w:r w:rsidR="00365340">
        <w:rPr>
          <w:lang w:eastAsia="en-US"/>
        </w:rPr>
        <w:t xml:space="preserve"> </w:t>
      </w:r>
      <w:r>
        <w:rPr>
          <w:lang w:eastAsia="en-US"/>
        </w:rPr>
        <w:t>E.157.</w:t>
      </w:r>
      <w:r w:rsidR="00365340">
        <w:rPr>
          <w:lang w:eastAsia="en-US"/>
        </w:rPr>
        <w:t xml:space="preserve"> </w:t>
      </w:r>
      <w:r>
        <w:rPr>
          <w:lang w:eastAsia="en-US"/>
        </w:rPr>
        <w:t xml:space="preserve">Where such decisions reflected NNAI solutions they have been reflected in the text of the </w:t>
      </w:r>
      <w:r w:rsidR="00365340">
        <w:rPr>
          <w:lang w:eastAsia="en-US"/>
        </w:rPr>
        <w:t>Recommendation</w:t>
      </w:r>
      <w:r>
        <w:rPr>
          <w:lang w:eastAsia="en-US"/>
        </w:rPr>
        <w:t xml:space="preserve">. The current </w:t>
      </w:r>
      <w:r w:rsidR="00365340">
        <w:rPr>
          <w:lang w:eastAsia="en-US"/>
        </w:rPr>
        <w:t xml:space="preserve">Supplement </w:t>
      </w:r>
      <w:r>
        <w:rPr>
          <w:lang w:eastAsia="en-US"/>
        </w:rPr>
        <w:t xml:space="preserve">on (countering) spoofing is being developed as Members discuss further technical solutions that might be deployed in seeking tools to validate numbers presented to called users and which may contribute to illegal activity. </w:t>
      </w:r>
    </w:p>
    <w:p w14:paraId="651D6036" w14:textId="6E337451" w:rsidR="009A6466" w:rsidRDefault="009A6466" w:rsidP="008911C7">
      <w:pPr>
        <w:rPr>
          <w:lang w:eastAsia="en-US"/>
        </w:rPr>
      </w:pPr>
      <w:r>
        <w:rPr>
          <w:lang w:eastAsia="en-US"/>
        </w:rPr>
        <w:t>Progress was made on revising Recommendation ITU-T E.118, International Charge Card</w:t>
      </w:r>
      <w:r w:rsidR="00365340">
        <w:rPr>
          <w:lang w:eastAsia="en-US"/>
        </w:rPr>
        <w:t>,</w:t>
      </w:r>
      <w:r>
        <w:rPr>
          <w:lang w:eastAsia="en-US"/>
        </w:rPr>
        <w:t xml:space="preserve"> which specifies the Issuer Identification Number that is used on SIM cards and has been in demand for mobile connections for emerging technology.</w:t>
      </w:r>
      <w:r w:rsidR="00365340">
        <w:rPr>
          <w:lang w:eastAsia="en-US"/>
        </w:rPr>
        <w:t xml:space="preserve"> </w:t>
      </w:r>
      <w:r>
        <w:rPr>
          <w:lang w:eastAsia="en-US"/>
        </w:rPr>
        <w:t>The current amendments reflect the development of an expansion of the NNAI resource by embedding the current structure in a new structure administered by the industry for use within embedded SIMS.</w:t>
      </w:r>
    </w:p>
    <w:p w14:paraId="3300F520" w14:textId="135E9D06" w:rsidR="009A6466" w:rsidRPr="009A6466" w:rsidRDefault="009A6466" w:rsidP="008911C7">
      <w:pPr>
        <w:rPr>
          <w:i/>
          <w:iCs/>
          <w:highlight w:val="cyan"/>
        </w:rPr>
      </w:pPr>
      <w:r w:rsidRPr="002544C4">
        <w:rPr>
          <w:lang w:eastAsia="en-US"/>
        </w:rPr>
        <w:t xml:space="preserve">Progress was made on </w:t>
      </w:r>
      <w:r w:rsidRPr="002544C4">
        <w:rPr>
          <w:lang w:val="en-US" w:eastAsia="zh-CN"/>
        </w:rPr>
        <w:t xml:space="preserve">AI-enhanced telecom operation and management (AI-TOM), and some use cases. </w:t>
      </w:r>
      <w:r w:rsidR="00B1498B" w:rsidRPr="001B3657">
        <w:rPr>
          <w:lang w:val="en-US" w:eastAsia="zh-CN"/>
        </w:rPr>
        <w:t>Consequently,</w:t>
      </w:r>
      <w:r w:rsidRPr="001B3657">
        <w:rPr>
          <w:lang w:val="en-US" w:eastAsia="zh-CN"/>
        </w:rPr>
        <w:t xml:space="preserve"> M.AI-tom </w:t>
      </w:r>
      <w:r w:rsidR="00B1498B" w:rsidRPr="001B3657">
        <w:rPr>
          <w:lang w:val="en-US" w:eastAsia="zh-CN"/>
        </w:rPr>
        <w:t>has reached a</w:t>
      </w:r>
      <w:r w:rsidRPr="001B3657">
        <w:rPr>
          <w:lang w:val="en-US" w:eastAsia="zh-CN"/>
        </w:rPr>
        <w:t xml:space="preserve"> stable state</w:t>
      </w:r>
      <w:r w:rsidR="00B1498B" w:rsidRPr="001B3657">
        <w:rPr>
          <w:lang w:val="en-US" w:eastAsia="zh-CN"/>
        </w:rPr>
        <w:t xml:space="preserve"> and was Consented at the SG2 e-plenary on 18 December 2020</w:t>
      </w:r>
      <w:r w:rsidR="002544C4" w:rsidRPr="001B3657">
        <w:rPr>
          <w:lang w:val="en-US" w:eastAsia="zh-CN"/>
        </w:rPr>
        <w:t xml:space="preserve"> as Recommendation ITU-T M.3080</w:t>
      </w:r>
      <w:r w:rsidRPr="001B3657">
        <w:rPr>
          <w:lang w:val="en-US" w:eastAsia="zh-CN"/>
        </w:rPr>
        <w:t>.</w:t>
      </w:r>
      <w:r w:rsidRPr="002544C4">
        <w:rPr>
          <w:lang w:val="en-US" w:eastAsia="zh-CN"/>
        </w:rPr>
        <w:t xml:space="preserve"> Draft Recommendation </w:t>
      </w:r>
      <w:r w:rsidR="00B1498B" w:rsidRPr="002544C4">
        <w:rPr>
          <w:lang w:val="en-US" w:eastAsia="zh-CN"/>
        </w:rPr>
        <w:t xml:space="preserve">ITU-T </w:t>
      </w:r>
      <w:r w:rsidRPr="002544C4">
        <w:rPr>
          <w:lang w:val="en-US" w:eastAsia="zh-CN"/>
        </w:rPr>
        <w:t xml:space="preserve">M.AI-tom was developed in interim </w:t>
      </w:r>
      <w:proofErr w:type="spellStart"/>
      <w:r w:rsidRPr="002544C4">
        <w:rPr>
          <w:lang w:val="en-US" w:eastAsia="zh-CN"/>
        </w:rPr>
        <w:t>e-meetings</w:t>
      </w:r>
      <w:proofErr w:type="spellEnd"/>
      <w:r w:rsidRPr="002544C4">
        <w:rPr>
          <w:lang w:val="en-US" w:eastAsia="zh-CN"/>
        </w:rPr>
        <w:t xml:space="preserve">, which set up a new framework of telecommunications management and operations with AI introduced, and described how AI is used in network management activities. Two other draft Recommendations, </w:t>
      </w:r>
      <w:proofErr w:type="spellStart"/>
      <w:r w:rsidRPr="002544C4">
        <w:rPr>
          <w:lang w:val="en-US" w:eastAsia="zh-CN"/>
        </w:rPr>
        <w:t>M.resm</w:t>
      </w:r>
      <w:proofErr w:type="spellEnd"/>
      <w:r w:rsidRPr="002544C4">
        <w:rPr>
          <w:lang w:val="en-US" w:eastAsia="zh-CN"/>
        </w:rPr>
        <w:t xml:space="preserve">-AI and </w:t>
      </w:r>
      <w:proofErr w:type="spellStart"/>
      <w:r w:rsidRPr="002544C4">
        <w:rPr>
          <w:lang w:val="en-US" w:eastAsia="zh-CN"/>
        </w:rPr>
        <w:t>M.rowp</w:t>
      </w:r>
      <w:proofErr w:type="spellEnd"/>
      <w:r w:rsidRPr="002544C4">
        <w:rPr>
          <w:lang w:val="en-US" w:eastAsia="zh-CN"/>
        </w:rPr>
        <w:t>-AI, deal with</w:t>
      </w:r>
      <w:r w:rsidRPr="009A6466">
        <w:rPr>
          <w:lang w:val="en-US" w:eastAsia="zh-CN"/>
        </w:rPr>
        <w:t xml:space="preserve"> </w:t>
      </w:r>
      <w:r w:rsidRPr="009A6466">
        <w:rPr>
          <w:lang w:val="en-US" w:eastAsia="zh-CN"/>
        </w:rPr>
        <w:lastRenderedPageBreak/>
        <w:t>“Requirements for energy saving management of 5G RAN system with AI” and “</w:t>
      </w:r>
      <w:r w:rsidRPr="009A6466">
        <w:rPr>
          <w:lang w:val="en-US" w:eastAsia="zh-CN" w:bidi="ar"/>
        </w:rPr>
        <w:t>Requirements for work orders processing in TMN with AI”</w:t>
      </w:r>
      <w:r w:rsidR="00B1498B">
        <w:rPr>
          <w:lang w:val="en-US" w:eastAsia="zh-CN" w:bidi="ar"/>
        </w:rPr>
        <w:t>,</w:t>
      </w:r>
      <w:r w:rsidRPr="009A6466">
        <w:rPr>
          <w:lang w:val="en-US" w:eastAsia="zh-CN" w:bidi="ar"/>
        </w:rPr>
        <w:t xml:space="preserve"> r</w:t>
      </w:r>
      <w:r w:rsidRPr="009A6466">
        <w:rPr>
          <w:lang w:val="en-US" w:eastAsia="zh-CN"/>
        </w:rPr>
        <w:t>espectively.</w:t>
      </w:r>
      <w:r w:rsidR="00365340">
        <w:rPr>
          <w:lang w:val="en-US" w:eastAsia="zh-CN"/>
        </w:rPr>
        <w:t xml:space="preserve"> </w:t>
      </w:r>
      <w:r w:rsidRPr="009A6466">
        <w:rPr>
          <w:lang w:val="en-US" w:eastAsia="zh-CN"/>
        </w:rPr>
        <w:t>These two work items can</w:t>
      </w:r>
      <w:r w:rsidR="00365340">
        <w:rPr>
          <w:lang w:val="en-US" w:eastAsia="zh-CN"/>
        </w:rPr>
        <w:t xml:space="preserve"> </w:t>
      </w:r>
      <w:r w:rsidRPr="009A6466">
        <w:rPr>
          <w:lang w:val="en-US" w:eastAsia="zh-CN"/>
        </w:rPr>
        <w:t xml:space="preserve">be viewed as two use cases for applying AI in the network management domain. </w:t>
      </w:r>
    </w:p>
    <w:p w14:paraId="46C8899E" w14:textId="24B89301" w:rsidR="009A6466" w:rsidRPr="002544C4" w:rsidRDefault="009A6466" w:rsidP="008911C7">
      <w:pPr>
        <w:rPr>
          <w:lang w:eastAsia="en-US"/>
        </w:rPr>
      </w:pPr>
      <w:r>
        <w:rPr>
          <w:lang w:eastAsia="en-US"/>
        </w:rPr>
        <w:t xml:space="preserve">The discussion on a global numbering resource for humanitarian purposes continues, with the criteria for the assignment of resources </w:t>
      </w:r>
      <w:r w:rsidRPr="002544C4">
        <w:rPr>
          <w:lang w:eastAsia="en-US"/>
        </w:rPr>
        <w:t>behind an as</w:t>
      </w:r>
      <w:r w:rsidR="00B1498B" w:rsidRPr="002544C4">
        <w:rPr>
          <w:lang w:eastAsia="en-US"/>
        </w:rPr>
        <w:t>-</w:t>
      </w:r>
      <w:r w:rsidRPr="002544C4">
        <w:rPr>
          <w:lang w:eastAsia="en-US"/>
        </w:rPr>
        <w:t>yet unassigned country code being developed.</w:t>
      </w:r>
      <w:r w:rsidR="00365340" w:rsidRPr="002544C4">
        <w:rPr>
          <w:lang w:eastAsia="en-US"/>
        </w:rPr>
        <w:t xml:space="preserve"> </w:t>
      </w:r>
      <w:r w:rsidRPr="002544C4">
        <w:rPr>
          <w:lang w:eastAsia="en-US"/>
        </w:rPr>
        <w:t xml:space="preserve">During the </w:t>
      </w:r>
      <w:r w:rsidR="00B1498B" w:rsidRPr="002544C4">
        <w:rPr>
          <w:lang w:eastAsia="en-US"/>
        </w:rPr>
        <w:t>Q1/2</w:t>
      </w:r>
      <w:r w:rsidRPr="002544C4">
        <w:rPr>
          <w:lang w:eastAsia="en-US"/>
        </w:rPr>
        <w:t xml:space="preserve"> RGM </w:t>
      </w:r>
      <w:r w:rsidR="00B1498B" w:rsidRPr="002544C4">
        <w:rPr>
          <w:lang w:eastAsia="en-US"/>
        </w:rPr>
        <w:t xml:space="preserve">in November 2020 </w:t>
      </w:r>
      <w:r w:rsidRPr="002544C4">
        <w:rPr>
          <w:lang w:eastAsia="en-US"/>
        </w:rPr>
        <w:t>it was also noted that were this to be the way forward then, according to Recommendation ITU-T E.164, additional recommendations would be needed to define the service(s) that would use such a resource.</w:t>
      </w:r>
      <w:r w:rsidR="00365340" w:rsidRPr="002544C4">
        <w:rPr>
          <w:lang w:eastAsia="en-US"/>
        </w:rPr>
        <w:t xml:space="preserve"> </w:t>
      </w:r>
      <w:r w:rsidRPr="002544C4">
        <w:rPr>
          <w:lang w:eastAsia="en-US"/>
        </w:rPr>
        <w:t>.</w:t>
      </w:r>
      <w:r w:rsidR="00365340" w:rsidRPr="002544C4">
        <w:rPr>
          <w:lang w:eastAsia="en-US"/>
        </w:rPr>
        <w:t xml:space="preserve"> </w:t>
      </w:r>
      <w:r w:rsidRPr="002544C4">
        <w:rPr>
          <w:lang w:eastAsia="en-US"/>
        </w:rPr>
        <w:t>SG2 experts have previously identified an alternative global resource that could readily be available.</w:t>
      </w:r>
      <w:r w:rsidR="00365340" w:rsidRPr="002544C4">
        <w:rPr>
          <w:lang w:eastAsia="en-US"/>
        </w:rPr>
        <w:t xml:space="preserve"> </w:t>
      </w:r>
      <w:r w:rsidR="0003624A" w:rsidRPr="000A5416">
        <w:rPr>
          <w:lang w:eastAsia="en-US"/>
        </w:rPr>
        <w:t>SG2 also approved the technical report that analysed Recommendation ITU-T F.930 for global resource assignment</w:t>
      </w:r>
    </w:p>
    <w:p w14:paraId="165446B2" w14:textId="77777777" w:rsidR="009A6466" w:rsidRDefault="009A6466" w:rsidP="008911C7">
      <w:pPr>
        <w:rPr>
          <w:lang w:eastAsia="en-US"/>
        </w:rPr>
      </w:pPr>
      <w:r w:rsidRPr="002544C4">
        <w:rPr>
          <w:lang w:eastAsia="en-US"/>
        </w:rPr>
        <w:t xml:space="preserve">Progress was made on </w:t>
      </w:r>
      <w:r w:rsidRPr="002544C4">
        <w:rPr>
          <w:lang w:val="en-US" w:eastAsia="zh-CN"/>
        </w:rPr>
        <w:t>REST-based network management framework, which involves</w:t>
      </w:r>
      <w:r w:rsidRPr="009A6466">
        <w:rPr>
          <w:lang w:val="en-US" w:eastAsia="zh-CN"/>
        </w:rPr>
        <w:t xml:space="preserve"> draft Recommendations ITU-T </w:t>
      </w:r>
      <w:proofErr w:type="spellStart"/>
      <w:r w:rsidRPr="009A6466">
        <w:rPr>
          <w:lang w:val="en-US" w:eastAsia="zh-CN"/>
        </w:rPr>
        <w:t>X.rest</w:t>
      </w:r>
      <w:proofErr w:type="spellEnd"/>
      <w:r w:rsidRPr="009A6466">
        <w:rPr>
          <w:lang w:val="en-US" w:eastAsia="zh-CN"/>
        </w:rPr>
        <w:t xml:space="preserve">, </w:t>
      </w:r>
      <w:proofErr w:type="spellStart"/>
      <w:r w:rsidRPr="009A6466">
        <w:rPr>
          <w:lang w:val="en-US" w:eastAsia="zh-CN"/>
        </w:rPr>
        <w:t>Q.rest</w:t>
      </w:r>
      <w:proofErr w:type="spellEnd"/>
      <w:r w:rsidRPr="009A6466">
        <w:rPr>
          <w:lang w:val="en-US" w:eastAsia="zh-CN"/>
        </w:rPr>
        <w:t xml:space="preserve">, and </w:t>
      </w:r>
      <w:proofErr w:type="spellStart"/>
      <w:r w:rsidRPr="009A6466">
        <w:rPr>
          <w:lang w:val="en-US" w:eastAsia="zh-CN"/>
        </w:rPr>
        <w:t>X.rest-ics</w:t>
      </w:r>
      <w:proofErr w:type="spellEnd"/>
      <w:r w:rsidRPr="009A6466">
        <w:rPr>
          <w:lang w:val="en-US" w:eastAsia="zh-CN"/>
        </w:rPr>
        <w:t>.</w:t>
      </w:r>
      <w:r>
        <w:rPr>
          <w:lang w:eastAsia="en-US"/>
        </w:rPr>
        <w:t xml:space="preserve"> </w:t>
      </w:r>
      <w:r w:rsidRPr="009A6466">
        <w:rPr>
          <w:lang w:val="en-US" w:eastAsia="zh-CN"/>
        </w:rPr>
        <w:t xml:space="preserve">REST/HTTP technology has been widely used in many fields, and in other SDOs. REST has been adopted as a main stream technology for network management interface. These series of draft recommendations have been developed in SG2 for more than two years, jointly with 3GPP SA5, and the purpose is to provide the guidelines for defining REST-based managed object and management interfaces, the REST-based supporting management services, and the guidelines for implementation conformance statements proformas associated with REST-based systems. </w:t>
      </w:r>
    </w:p>
    <w:p w14:paraId="7FAFFCC8" w14:textId="1A2C771D" w:rsidR="00EE7C81" w:rsidRPr="00C71730" w:rsidRDefault="00EE7C81" w:rsidP="006D3A6A">
      <w:pPr>
        <w:pStyle w:val="Heading1"/>
        <w:numPr>
          <w:ilvl w:val="0"/>
          <w:numId w:val="4"/>
        </w:numPr>
        <w:tabs>
          <w:tab w:val="clear" w:pos="794"/>
          <w:tab w:val="left" w:pos="360"/>
        </w:tabs>
        <w:suppressAutoHyphens w:val="0"/>
        <w:adjustRightInd w:val="0"/>
        <w:ind w:left="426" w:hanging="426"/>
        <w:textAlignment w:val="auto"/>
        <w:rPr>
          <w:rFonts w:eastAsia="DengXian"/>
          <w:b w:val="0"/>
          <w:bCs/>
        </w:rPr>
      </w:pPr>
      <w:r w:rsidRPr="006D3A6A">
        <w:t>Cooperation</w:t>
      </w:r>
      <w:r w:rsidRPr="00C71730">
        <w:rPr>
          <w:rFonts w:eastAsia="DengXian"/>
          <w:bCs/>
        </w:rPr>
        <w:t xml:space="preserve"> with other SGs </w:t>
      </w:r>
    </w:p>
    <w:p w14:paraId="3A668BD0" w14:textId="77777777" w:rsidR="009A6466" w:rsidRDefault="009A6466" w:rsidP="008911C7">
      <w:r>
        <w:rPr>
          <w:lang w:eastAsia="en-US"/>
        </w:rPr>
        <w:t xml:space="preserve">In the limited time since the last lead study group report there has </w:t>
      </w:r>
      <w:r>
        <w:t>been insufficient time for progress.</w:t>
      </w:r>
    </w:p>
    <w:p w14:paraId="09746478" w14:textId="77777777" w:rsidR="00A61CBC" w:rsidRDefault="00A61CBC" w:rsidP="006D3A6A">
      <w:pPr>
        <w:pStyle w:val="Heading1"/>
        <w:numPr>
          <w:ilvl w:val="0"/>
          <w:numId w:val="4"/>
        </w:numPr>
        <w:tabs>
          <w:tab w:val="clear" w:pos="794"/>
          <w:tab w:val="left" w:pos="360"/>
        </w:tabs>
        <w:suppressAutoHyphens w:val="0"/>
        <w:adjustRightInd w:val="0"/>
        <w:ind w:left="426" w:hanging="426"/>
        <w:textAlignment w:val="auto"/>
      </w:pPr>
      <w:r w:rsidRPr="00B47661">
        <w:t xml:space="preserve">SG2 </w:t>
      </w:r>
      <w:r w:rsidR="00BA5084" w:rsidRPr="00B47661">
        <w:t xml:space="preserve">regional </w:t>
      </w:r>
      <w:r w:rsidRPr="00B47661">
        <w:t>groups</w:t>
      </w:r>
    </w:p>
    <w:p w14:paraId="513F1247" w14:textId="5889F21C" w:rsidR="008865F9" w:rsidRPr="008865F9" w:rsidRDefault="001575EE" w:rsidP="00C71730">
      <w:pPr>
        <w:rPr>
          <w:lang w:eastAsia="en-US"/>
        </w:rPr>
      </w:pPr>
      <w:r>
        <w:rPr>
          <w:lang w:eastAsia="en-US"/>
        </w:rPr>
        <w:t xml:space="preserve">During </w:t>
      </w:r>
      <w:r w:rsidR="006F5457">
        <w:rPr>
          <w:lang w:eastAsia="en-US"/>
        </w:rPr>
        <w:t>the</w:t>
      </w:r>
      <w:r>
        <w:rPr>
          <w:lang w:eastAsia="en-US"/>
        </w:rPr>
        <w:t xml:space="preserve"> period </w:t>
      </w:r>
      <w:r w:rsidR="00CB6CD7">
        <w:rPr>
          <w:lang w:eastAsia="en-US"/>
        </w:rPr>
        <w:t xml:space="preserve">September </w:t>
      </w:r>
      <w:r w:rsidR="00B216FA">
        <w:rPr>
          <w:lang w:eastAsia="en-US"/>
        </w:rPr>
        <w:t xml:space="preserve">– December </w:t>
      </w:r>
      <w:r w:rsidR="006F5457">
        <w:rPr>
          <w:lang w:eastAsia="en-US"/>
        </w:rPr>
        <w:t>2020</w:t>
      </w:r>
      <w:r w:rsidR="00CB6CD7">
        <w:rPr>
          <w:lang w:eastAsia="en-US"/>
        </w:rPr>
        <w:t>,</w:t>
      </w:r>
      <w:r w:rsidR="006F5457">
        <w:rPr>
          <w:lang w:eastAsia="en-US"/>
        </w:rPr>
        <w:t xml:space="preserve"> </w:t>
      </w:r>
      <w:r>
        <w:rPr>
          <w:lang w:eastAsia="en-US"/>
        </w:rPr>
        <w:t xml:space="preserve">there </w:t>
      </w:r>
      <w:r w:rsidR="006F5457">
        <w:rPr>
          <w:lang w:eastAsia="en-US"/>
        </w:rPr>
        <w:t>were no</w:t>
      </w:r>
      <w:r>
        <w:rPr>
          <w:lang w:eastAsia="en-US"/>
        </w:rPr>
        <w:t xml:space="preserve"> meeting</w:t>
      </w:r>
      <w:r w:rsidR="006F5457">
        <w:rPr>
          <w:lang w:eastAsia="en-US"/>
        </w:rPr>
        <w:t>s</w:t>
      </w:r>
      <w:r>
        <w:rPr>
          <w:lang w:eastAsia="en-US"/>
        </w:rPr>
        <w:t xml:space="preserve"> of </w:t>
      </w:r>
      <w:r w:rsidR="00BA5084">
        <w:rPr>
          <w:lang w:eastAsia="en-US"/>
        </w:rPr>
        <w:t>the</w:t>
      </w:r>
      <w:r w:rsidR="00BA5084" w:rsidRPr="00BA5084">
        <w:rPr>
          <w:lang w:eastAsia="en-US"/>
        </w:rPr>
        <w:t xml:space="preserve"> Study Group 2 Regional Group</w:t>
      </w:r>
      <w:r w:rsidR="006F5457">
        <w:rPr>
          <w:lang w:eastAsia="en-US"/>
        </w:rPr>
        <w:t>s</w:t>
      </w:r>
      <w:r w:rsidR="00BA5084" w:rsidRPr="00BA5084">
        <w:rPr>
          <w:lang w:eastAsia="en-US"/>
        </w:rPr>
        <w:t xml:space="preserve"> for the Americas (SG2RG-AMR)</w:t>
      </w:r>
      <w:r w:rsidR="006F5457">
        <w:rPr>
          <w:lang w:eastAsia="en-US"/>
        </w:rPr>
        <w:t xml:space="preserve">, </w:t>
      </w:r>
      <w:r w:rsidR="00BA5084" w:rsidRPr="00BA5084">
        <w:rPr>
          <w:lang w:eastAsia="en-US"/>
        </w:rPr>
        <w:t xml:space="preserve">Africa </w:t>
      </w:r>
      <w:r w:rsidR="006F5457">
        <w:rPr>
          <w:lang w:eastAsia="en-US"/>
        </w:rPr>
        <w:t>Region (SG2RG-AFR) or</w:t>
      </w:r>
      <w:r w:rsidR="00BA5084">
        <w:rPr>
          <w:lang w:eastAsia="en-US"/>
        </w:rPr>
        <w:t xml:space="preserve"> Arab Region </w:t>
      </w:r>
      <w:r w:rsidR="00BA5084" w:rsidRPr="00BA5084">
        <w:rPr>
          <w:lang w:eastAsia="en-US"/>
        </w:rPr>
        <w:t>(</w:t>
      </w:r>
      <w:r w:rsidR="00BA5084">
        <w:rPr>
          <w:lang w:eastAsia="en-US"/>
        </w:rPr>
        <w:t>SG2RG-ARB</w:t>
      </w:r>
      <w:r w:rsidR="00BA5084" w:rsidRPr="00BA5084">
        <w:rPr>
          <w:lang w:eastAsia="en-US"/>
        </w:rPr>
        <w:t>)</w:t>
      </w:r>
      <w:r w:rsidR="00BA5084">
        <w:rPr>
          <w:lang w:eastAsia="en-US"/>
        </w:rPr>
        <w:t>.</w:t>
      </w:r>
    </w:p>
    <w:p w14:paraId="3BD637D0" w14:textId="77777777" w:rsidR="00ED144D" w:rsidRPr="00B47661" w:rsidRDefault="00ED144D" w:rsidP="00ED144D">
      <w:pPr>
        <w:jc w:val="center"/>
      </w:pPr>
      <w:r>
        <w:t>___________________</w:t>
      </w:r>
    </w:p>
    <w:sectPr w:rsidR="00ED144D" w:rsidRPr="00B47661" w:rsidSect="00BE15A7">
      <w:headerReference w:type="default" r:id="rId2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97CF8" w14:textId="77777777" w:rsidR="00D80978" w:rsidRDefault="00D80978">
      <w:pPr>
        <w:spacing w:before="0"/>
      </w:pPr>
      <w:r>
        <w:separator/>
      </w:r>
    </w:p>
  </w:endnote>
  <w:endnote w:type="continuationSeparator" w:id="0">
    <w:p w14:paraId="73FE4D7A" w14:textId="77777777" w:rsidR="00D80978" w:rsidRDefault="00D809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DC9DF" w14:textId="77777777" w:rsidR="00D80978" w:rsidRDefault="00D80978">
      <w:pPr>
        <w:spacing w:before="0"/>
      </w:pPr>
      <w:r>
        <w:rPr>
          <w:color w:val="000000"/>
        </w:rPr>
        <w:separator/>
      </w:r>
    </w:p>
  </w:footnote>
  <w:footnote w:type="continuationSeparator" w:id="0">
    <w:p w14:paraId="2DAE8491" w14:textId="77777777" w:rsidR="00D80978" w:rsidRDefault="00D8097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03539" w14:textId="7EDAD09B" w:rsidR="00C02AF6" w:rsidRPr="001B3657" w:rsidRDefault="001B3657" w:rsidP="001B3657">
    <w:pPr>
      <w:pStyle w:val="Header"/>
      <w:rPr>
        <w:sz w:val="18"/>
      </w:rPr>
    </w:pPr>
    <w:r w:rsidRPr="001B3657">
      <w:rPr>
        <w:sz w:val="18"/>
      </w:rPr>
      <w:t xml:space="preserve">- </w:t>
    </w:r>
    <w:r w:rsidRPr="001B3657">
      <w:rPr>
        <w:sz w:val="18"/>
      </w:rPr>
      <w:fldChar w:fldCharType="begin"/>
    </w:r>
    <w:r w:rsidRPr="001B3657">
      <w:rPr>
        <w:sz w:val="18"/>
      </w:rPr>
      <w:instrText xml:space="preserve"> PAGE  \* MERGEFORMAT </w:instrText>
    </w:r>
    <w:r w:rsidRPr="001B3657">
      <w:rPr>
        <w:sz w:val="18"/>
      </w:rPr>
      <w:fldChar w:fldCharType="separate"/>
    </w:r>
    <w:r w:rsidRPr="001B3657">
      <w:rPr>
        <w:noProof/>
        <w:sz w:val="18"/>
      </w:rPr>
      <w:t>1</w:t>
    </w:r>
    <w:r w:rsidRPr="001B3657">
      <w:rPr>
        <w:sz w:val="18"/>
      </w:rPr>
      <w:fldChar w:fldCharType="end"/>
    </w:r>
    <w:r w:rsidRPr="001B3657">
      <w:rPr>
        <w:sz w:val="18"/>
      </w:rPr>
      <w:t xml:space="preserve"> -</w:t>
    </w:r>
  </w:p>
  <w:p w14:paraId="2B81C977" w14:textId="61220EF0" w:rsidR="001B3657" w:rsidRPr="001B3657" w:rsidRDefault="001B3657" w:rsidP="001B3657">
    <w:pPr>
      <w:pStyle w:val="Header"/>
      <w:spacing w:after="240"/>
      <w:rPr>
        <w:sz w:val="18"/>
      </w:rPr>
    </w:pPr>
    <w:r w:rsidRPr="001B3657">
      <w:rPr>
        <w:sz w:val="18"/>
      </w:rPr>
      <w:fldChar w:fldCharType="begin"/>
    </w:r>
    <w:r w:rsidRPr="001B3657">
      <w:rPr>
        <w:sz w:val="18"/>
      </w:rPr>
      <w:instrText xml:space="preserve"> STYLEREF  Docnumber  </w:instrText>
    </w:r>
    <w:r w:rsidRPr="001B3657">
      <w:rPr>
        <w:sz w:val="18"/>
      </w:rPr>
      <w:fldChar w:fldCharType="separate"/>
    </w:r>
    <w:r w:rsidR="00D816A3">
      <w:rPr>
        <w:noProof/>
        <w:sz w:val="18"/>
      </w:rPr>
      <w:t>TSAG-TD942</w:t>
    </w:r>
    <w:r w:rsidRPr="001B365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7DAA3D"/>
    <w:multiLevelType w:val="singleLevel"/>
    <w:tmpl w:val="CD7DAA3D"/>
    <w:lvl w:ilvl="0">
      <w:start w:val="6"/>
      <w:numFmt w:val="decimal"/>
      <w:suff w:val="space"/>
      <w:lvlText w:val="(%1)"/>
      <w:lvlJc w:val="left"/>
    </w:lvl>
  </w:abstractNum>
  <w:abstractNum w:abstractNumId="1" w15:restartNumberingAfterBreak="0">
    <w:nsid w:val="E88A3914"/>
    <w:multiLevelType w:val="singleLevel"/>
    <w:tmpl w:val="E88A3914"/>
    <w:lvl w:ilvl="0">
      <w:start w:val="6"/>
      <w:numFmt w:val="decimal"/>
      <w:suff w:val="space"/>
      <w:lvlText w:val="(%1)"/>
      <w:lvlJc w:val="left"/>
      <w:pPr>
        <w:ind w:left="0" w:firstLine="0"/>
      </w:pPr>
    </w:lvl>
  </w:abstractNum>
  <w:abstractNum w:abstractNumId="2" w15:restartNumberingAfterBreak="0">
    <w:nsid w:val="0A6039D4"/>
    <w:multiLevelType w:val="hybridMultilevel"/>
    <w:tmpl w:val="C1706A20"/>
    <w:lvl w:ilvl="0" w:tplc="8BC4822E">
      <w:start w:val="1007"/>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576040"/>
    <w:multiLevelType w:val="hybridMultilevel"/>
    <w:tmpl w:val="619C0E32"/>
    <w:lvl w:ilvl="0" w:tplc="F7147540">
      <w:start w:val="72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8648F7"/>
    <w:multiLevelType w:val="multilevel"/>
    <w:tmpl w:val="E74E1E7E"/>
    <w:lvl w:ilvl="0">
      <w:start w:val="1"/>
      <w:numFmt w:val="decimal"/>
      <w:lvlText w:val="%1."/>
      <w:lvlJc w:val="left"/>
      <w:pPr>
        <w:ind w:left="1353" w:hanging="360"/>
      </w:pPr>
      <w:rPr>
        <w:b/>
        <w:bCs w:val="0"/>
      </w:rPr>
    </w:lvl>
    <w:lvl w:ilvl="1">
      <w:start w:val="2"/>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5" w15:restartNumberingAfterBreak="0">
    <w:nsid w:val="1B216EF5"/>
    <w:multiLevelType w:val="multilevel"/>
    <w:tmpl w:val="E0A8274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EE503E"/>
    <w:multiLevelType w:val="hybridMultilevel"/>
    <w:tmpl w:val="59626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5416A6"/>
    <w:multiLevelType w:val="hybridMultilevel"/>
    <w:tmpl w:val="0BCA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7B96"/>
    <w:multiLevelType w:val="multilevel"/>
    <w:tmpl w:val="EA68593A"/>
    <w:lvl w:ilvl="0">
      <w:start w:val="1"/>
      <w:numFmt w:val="decimal"/>
      <w:lvlText w:val="%1)"/>
      <w:lvlJc w:val="left"/>
      <w:pPr>
        <w:ind w:left="987" w:hanging="420"/>
      </w:pPr>
      <w:rPr>
        <w:rFonts w:ascii="Times New Roman" w:eastAsia="SimSun" w:hAnsi="Times New Roman" w:cs="Times New Roman"/>
      </w:rPr>
    </w:lvl>
    <w:lvl w:ilvl="1">
      <w:numFmt w:val="bullet"/>
      <w:lvlText w:val=""/>
      <w:lvlJc w:val="left"/>
      <w:pPr>
        <w:ind w:left="1407" w:hanging="420"/>
      </w:pPr>
      <w:rPr>
        <w:rFonts w:ascii="Symbol" w:eastAsia="SimSun" w:hAnsi="Symbol" w:cs="Times New Roman"/>
      </w:rPr>
    </w:lvl>
    <w:lvl w:ilvl="2">
      <w:numFmt w:val="bullet"/>
      <w:lvlText w:val=""/>
      <w:lvlJc w:val="left"/>
      <w:pPr>
        <w:ind w:left="1827" w:hanging="420"/>
      </w:pPr>
      <w:rPr>
        <w:rFonts w:ascii="Wingdings" w:hAnsi="Wingdings"/>
      </w:rPr>
    </w:lvl>
    <w:lvl w:ilvl="3">
      <w:numFmt w:val="bullet"/>
      <w:lvlText w:val=""/>
      <w:lvlJc w:val="left"/>
      <w:pPr>
        <w:ind w:left="2247" w:hanging="420"/>
      </w:pPr>
      <w:rPr>
        <w:rFonts w:ascii="Wingdings" w:hAnsi="Wingdings"/>
      </w:rPr>
    </w:lvl>
    <w:lvl w:ilvl="4">
      <w:numFmt w:val="bullet"/>
      <w:lvlText w:val=""/>
      <w:lvlJc w:val="left"/>
      <w:pPr>
        <w:ind w:left="2667" w:hanging="420"/>
      </w:pPr>
      <w:rPr>
        <w:rFonts w:ascii="Wingdings" w:hAnsi="Wingdings"/>
      </w:rPr>
    </w:lvl>
    <w:lvl w:ilvl="5">
      <w:numFmt w:val="bullet"/>
      <w:lvlText w:val=""/>
      <w:lvlJc w:val="left"/>
      <w:pPr>
        <w:ind w:left="3087" w:hanging="420"/>
      </w:pPr>
      <w:rPr>
        <w:rFonts w:ascii="Wingdings" w:hAnsi="Wingdings"/>
      </w:rPr>
    </w:lvl>
    <w:lvl w:ilvl="6">
      <w:numFmt w:val="bullet"/>
      <w:lvlText w:val=""/>
      <w:lvlJc w:val="left"/>
      <w:pPr>
        <w:ind w:left="3507" w:hanging="420"/>
      </w:pPr>
      <w:rPr>
        <w:rFonts w:ascii="Wingdings" w:hAnsi="Wingdings"/>
      </w:rPr>
    </w:lvl>
    <w:lvl w:ilvl="7">
      <w:numFmt w:val="bullet"/>
      <w:lvlText w:val=""/>
      <w:lvlJc w:val="left"/>
      <w:pPr>
        <w:ind w:left="3927" w:hanging="420"/>
      </w:pPr>
      <w:rPr>
        <w:rFonts w:ascii="Wingdings" w:hAnsi="Wingdings"/>
      </w:rPr>
    </w:lvl>
    <w:lvl w:ilvl="8">
      <w:numFmt w:val="bullet"/>
      <w:lvlText w:val=""/>
      <w:lvlJc w:val="left"/>
      <w:pPr>
        <w:ind w:left="4347" w:hanging="420"/>
      </w:pPr>
      <w:rPr>
        <w:rFonts w:ascii="Wingdings" w:hAnsi="Wingdings"/>
      </w:rPr>
    </w:lvl>
  </w:abstractNum>
  <w:abstractNum w:abstractNumId="9" w15:restartNumberingAfterBreak="0">
    <w:nsid w:val="2F78527F"/>
    <w:multiLevelType w:val="hybridMultilevel"/>
    <w:tmpl w:val="51B04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34072"/>
    <w:multiLevelType w:val="hybridMultilevel"/>
    <w:tmpl w:val="432A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35D6A"/>
    <w:multiLevelType w:val="hybridMultilevel"/>
    <w:tmpl w:val="A88476B0"/>
    <w:lvl w:ilvl="0" w:tplc="BE7081E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3606BC3"/>
    <w:multiLevelType w:val="hybridMultilevel"/>
    <w:tmpl w:val="C49410E2"/>
    <w:lvl w:ilvl="0" w:tplc="68365BDE">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7C61C1"/>
    <w:multiLevelType w:val="hybridMultilevel"/>
    <w:tmpl w:val="352E776E"/>
    <w:lvl w:ilvl="0" w:tplc="F7147540">
      <w:start w:val="725"/>
      <w:numFmt w:val="bullet"/>
      <w:lvlText w:val="-"/>
      <w:lvlJc w:val="left"/>
      <w:pPr>
        <w:ind w:left="-698" w:hanging="360"/>
      </w:pPr>
      <w:rPr>
        <w:rFonts w:ascii="Times New Roman" w:eastAsia="Times New Roman" w:hAnsi="Times New Roman" w:cs="Times New Roman" w:hint="default"/>
      </w:rPr>
    </w:lvl>
    <w:lvl w:ilvl="1" w:tplc="040C0003">
      <w:start w:val="1"/>
      <w:numFmt w:val="bullet"/>
      <w:lvlText w:val="o"/>
      <w:lvlJc w:val="left"/>
      <w:pPr>
        <w:ind w:left="22" w:hanging="360"/>
      </w:pPr>
      <w:rPr>
        <w:rFonts w:ascii="Courier New" w:hAnsi="Courier New" w:cs="Courier New" w:hint="default"/>
      </w:rPr>
    </w:lvl>
    <w:lvl w:ilvl="2" w:tplc="040C0005">
      <w:start w:val="1"/>
      <w:numFmt w:val="bullet"/>
      <w:lvlText w:val=""/>
      <w:lvlJc w:val="left"/>
      <w:pPr>
        <w:ind w:left="742" w:hanging="360"/>
      </w:pPr>
      <w:rPr>
        <w:rFonts w:ascii="Wingdings" w:hAnsi="Wingdings" w:hint="default"/>
      </w:rPr>
    </w:lvl>
    <w:lvl w:ilvl="3" w:tplc="040C0001">
      <w:start w:val="1"/>
      <w:numFmt w:val="bullet"/>
      <w:lvlText w:val=""/>
      <w:lvlJc w:val="left"/>
      <w:pPr>
        <w:ind w:left="1462" w:hanging="360"/>
      </w:pPr>
      <w:rPr>
        <w:rFonts w:ascii="Symbol" w:hAnsi="Symbol" w:hint="default"/>
      </w:rPr>
    </w:lvl>
    <w:lvl w:ilvl="4" w:tplc="040C0003">
      <w:start w:val="1"/>
      <w:numFmt w:val="bullet"/>
      <w:lvlText w:val="o"/>
      <w:lvlJc w:val="left"/>
      <w:pPr>
        <w:ind w:left="2182" w:hanging="360"/>
      </w:pPr>
      <w:rPr>
        <w:rFonts w:ascii="Courier New" w:hAnsi="Courier New" w:cs="Courier New" w:hint="default"/>
      </w:rPr>
    </w:lvl>
    <w:lvl w:ilvl="5" w:tplc="040C0005">
      <w:start w:val="1"/>
      <w:numFmt w:val="bullet"/>
      <w:lvlText w:val=""/>
      <w:lvlJc w:val="left"/>
      <w:pPr>
        <w:ind w:left="2902" w:hanging="360"/>
      </w:pPr>
      <w:rPr>
        <w:rFonts w:ascii="Wingdings" w:hAnsi="Wingdings" w:hint="default"/>
      </w:rPr>
    </w:lvl>
    <w:lvl w:ilvl="6" w:tplc="040C0001">
      <w:start w:val="1"/>
      <w:numFmt w:val="bullet"/>
      <w:lvlText w:val=""/>
      <w:lvlJc w:val="left"/>
      <w:pPr>
        <w:ind w:left="3622" w:hanging="360"/>
      </w:pPr>
      <w:rPr>
        <w:rFonts w:ascii="Symbol" w:hAnsi="Symbol" w:hint="default"/>
      </w:rPr>
    </w:lvl>
    <w:lvl w:ilvl="7" w:tplc="040C0003">
      <w:start w:val="1"/>
      <w:numFmt w:val="bullet"/>
      <w:lvlText w:val="o"/>
      <w:lvlJc w:val="left"/>
      <w:pPr>
        <w:ind w:left="4342" w:hanging="360"/>
      </w:pPr>
      <w:rPr>
        <w:rFonts w:ascii="Courier New" w:hAnsi="Courier New" w:cs="Courier New" w:hint="default"/>
      </w:rPr>
    </w:lvl>
    <w:lvl w:ilvl="8" w:tplc="040C0005">
      <w:start w:val="1"/>
      <w:numFmt w:val="bullet"/>
      <w:lvlText w:val=""/>
      <w:lvlJc w:val="left"/>
      <w:pPr>
        <w:ind w:left="5062" w:hanging="360"/>
      </w:pPr>
      <w:rPr>
        <w:rFonts w:ascii="Wingdings" w:hAnsi="Wingdings" w:hint="default"/>
      </w:rPr>
    </w:lvl>
  </w:abstractNum>
  <w:abstractNum w:abstractNumId="14" w15:restartNumberingAfterBreak="0">
    <w:nsid w:val="4EC0718B"/>
    <w:multiLevelType w:val="multilevel"/>
    <w:tmpl w:val="EE1C352A"/>
    <w:lvl w:ilvl="0">
      <w:start w:val="3"/>
      <w:numFmt w:val="decimal"/>
      <w:lvlText w:val="%1"/>
      <w:lvlJc w:val="left"/>
      <w:pPr>
        <w:tabs>
          <w:tab w:val="num" w:pos="795"/>
        </w:tabs>
        <w:ind w:left="795" w:hanging="795"/>
      </w:pPr>
      <w:rPr>
        <w:rFonts w:cs="Times New Roman"/>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51777789"/>
    <w:multiLevelType w:val="hybridMultilevel"/>
    <w:tmpl w:val="7388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7E0B22"/>
    <w:multiLevelType w:val="hybridMultilevel"/>
    <w:tmpl w:val="83DE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56057"/>
    <w:multiLevelType w:val="multilevel"/>
    <w:tmpl w:val="A826345C"/>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571E703D"/>
    <w:multiLevelType w:val="hybridMultilevel"/>
    <w:tmpl w:val="6BD69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5A77ED"/>
    <w:multiLevelType w:val="hybridMultilevel"/>
    <w:tmpl w:val="E50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2852BB"/>
    <w:multiLevelType w:val="hybridMultilevel"/>
    <w:tmpl w:val="48B4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70F23"/>
    <w:multiLevelType w:val="multilevel"/>
    <w:tmpl w:val="B0B6B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5A7188"/>
    <w:multiLevelType w:val="multilevel"/>
    <w:tmpl w:val="55B8FE52"/>
    <w:lvl w:ilvl="0">
      <w:start w:val="1"/>
      <w:numFmt w:val="bullet"/>
      <w:lvlText w:val=""/>
      <w:lvlJc w:val="left"/>
      <w:pPr>
        <w:tabs>
          <w:tab w:val="num" w:pos="795"/>
        </w:tabs>
        <w:ind w:left="795" w:hanging="795"/>
      </w:pPr>
      <w:rPr>
        <w:rFonts w:ascii="Symbol" w:hAnsi="Symbol" w:hint="default"/>
      </w:rPr>
    </w:lvl>
    <w:lvl w:ilvl="1">
      <w:start w:val="1"/>
      <w:numFmt w:val="bullet"/>
      <w:lvlText w:val=""/>
      <w:lvlJc w:val="left"/>
      <w:pPr>
        <w:tabs>
          <w:tab w:val="num" w:pos="795"/>
        </w:tabs>
        <w:ind w:left="795" w:hanging="795"/>
      </w:pPr>
      <w:rPr>
        <w:rFonts w:ascii="Symbol" w:hAnsi="Symbol" w:hint="default"/>
      </w:rPr>
    </w:lvl>
    <w:lvl w:ilvl="2">
      <w:start w:val="1"/>
      <w:numFmt w:val="decimal"/>
      <w:lvlText w:val="%1.%2.%3"/>
      <w:lvlJc w:val="left"/>
      <w:pPr>
        <w:tabs>
          <w:tab w:val="num" w:pos="795"/>
        </w:tabs>
        <w:ind w:left="795" w:hanging="795"/>
      </w:pPr>
      <w:rPr>
        <w:rFonts w:cs="Times New Roman"/>
      </w:rPr>
    </w:lvl>
    <w:lvl w:ilvl="3">
      <w:start w:val="1"/>
      <w:numFmt w:val="decimal"/>
      <w:lvlText w:val="%1.%2.%3.%4"/>
      <w:lvlJc w:val="left"/>
      <w:pPr>
        <w:tabs>
          <w:tab w:val="num" w:pos="795"/>
        </w:tabs>
        <w:ind w:left="795" w:hanging="79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70A426AD"/>
    <w:multiLevelType w:val="hybridMultilevel"/>
    <w:tmpl w:val="CD8C0D86"/>
    <w:lvl w:ilvl="0" w:tplc="D430ABA8">
      <w:start w:val="4"/>
      <w:numFmt w:val="decimal"/>
      <w:lvlText w:val="%1&gt;"/>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552A5"/>
    <w:multiLevelType w:val="hybridMultilevel"/>
    <w:tmpl w:val="5032E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C5FB1EF"/>
    <w:multiLevelType w:val="singleLevel"/>
    <w:tmpl w:val="7C5FB1EF"/>
    <w:lvl w:ilvl="0">
      <w:start w:val="3"/>
      <w:numFmt w:val="decimal"/>
      <w:suff w:val="space"/>
      <w:lvlText w:val="(%1)"/>
      <w:lvlJc w:val="left"/>
      <w:pPr>
        <w:ind w:left="0" w:firstLine="0"/>
      </w:pPr>
    </w:lvl>
  </w:abstractNum>
  <w:abstractNum w:abstractNumId="26" w15:restartNumberingAfterBreak="0">
    <w:nsid w:val="7EB11593"/>
    <w:multiLevelType w:val="hybridMultilevel"/>
    <w:tmpl w:val="CA8E3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8"/>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17"/>
  </w:num>
  <w:num w:numId="13">
    <w:abstractNumId w:val="13"/>
  </w:num>
  <w:num w:numId="14">
    <w:abstractNumId w:val="3"/>
  </w:num>
  <w:num w:numId="15">
    <w:abstractNumId w:val="14"/>
  </w:num>
  <w:num w:numId="16">
    <w:abstractNumId w:val="22"/>
  </w:num>
  <w:num w:numId="17">
    <w:abstractNumId w:val="3"/>
  </w:num>
  <w:num w:numId="18">
    <w:abstractNumId w:val="7"/>
  </w:num>
  <w:num w:numId="19">
    <w:abstractNumId w:val="20"/>
  </w:num>
  <w:num w:numId="20">
    <w:abstractNumId w:val="0"/>
  </w:num>
  <w:num w:numId="21">
    <w:abstractNumId w:val="23"/>
  </w:num>
  <w:num w:numId="22">
    <w:abstractNumId w:val="15"/>
  </w:num>
  <w:num w:numId="23">
    <w:abstractNumId w:val="26"/>
  </w:num>
  <w:num w:numId="24">
    <w:abstractNumId w:val="19"/>
  </w:num>
  <w:num w:numId="25">
    <w:abstractNumId w:val="9"/>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5"/>
    <w:lvlOverride w:ilvl="0">
      <w:startOverride w:val="3"/>
    </w:lvlOverride>
  </w:num>
  <w:num w:numId="29">
    <w:abstractNumId w:val="1"/>
    <w:lvlOverride w:ilvl="0">
      <w:startOverride w:val="6"/>
    </w:lvlOverride>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4"/>
    <w:rsid w:val="0000351C"/>
    <w:rsid w:val="0003624A"/>
    <w:rsid w:val="0003643B"/>
    <w:rsid w:val="000517EE"/>
    <w:rsid w:val="00055D9F"/>
    <w:rsid w:val="00091ECC"/>
    <w:rsid w:val="000A62DD"/>
    <w:rsid w:val="000C4528"/>
    <w:rsid w:val="000E5107"/>
    <w:rsid w:val="001005BB"/>
    <w:rsid w:val="00112D2D"/>
    <w:rsid w:val="001246E3"/>
    <w:rsid w:val="001314C8"/>
    <w:rsid w:val="001575EE"/>
    <w:rsid w:val="001A75A0"/>
    <w:rsid w:val="001B3657"/>
    <w:rsid w:val="001B7686"/>
    <w:rsid w:val="001D1AE9"/>
    <w:rsid w:val="002132E3"/>
    <w:rsid w:val="002205E8"/>
    <w:rsid w:val="002255BD"/>
    <w:rsid w:val="0024472C"/>
    <w:rsid w:val="00245853"/>
    <w:rsid w:val="002544C4"/>
    <w:rsid w:val="00260909"/>
    <w:rsid w:val="00264F89"/>
    <w:rsid w:val="00265A1D"/>
    <w:rsid w:val="00280923"/>
    <w:rsid w:val="002B6875"/>
    <w:rsid w:val="002F3DF9"/>
    <w:rsid w:val="00304134"/>
    <w:rsid w:val="00331C47"/>
    <w:rsid w:val="00334D59"/>
    <w:rsid w:val="003479C4"/>
    <w:rsid w:val="00364317"/>
    <w:rsid w:val="00365340"/>
    <w:rsid w:val="003770D8"/>
    <w:rsid w:val="00397CCA"/>
    <w:rsid w:val="003A104F"/>
    <w:rsid w:val="003D771B"/>
    <w:rsid w:val="003E092F"/>
    <w:rsid w:val="003E30C2"/>
    <w:rsid w:val="003E796F"/>
    <w:rsid w:val="003F0FDE"/>
    <w:rsid w:val="003F6EDF"/>
    <w:rsid w:val="00401490"/>
    <w:rsid w:val="00404254"/>
    <w:rsid w:val="00434657"/>
    <w:rsid w:val="004577FB"/>
    <w:rsid w:val="00472307"/>
    <w:rsid w:val="00477D78"/>
    <w:rsid w:val="00482C0C"/>
    <w:rsid w:val="004866CB"/>
    <w:rsid w:val="00490B68"/>
    <w:rsid w:val="004976BD"/>
    <w:rsid w:val="00497BA7"/>
    <w:rsid w:val="004D21D8"/>
    <w:rsid w:val="004E03BD"/>
    <w:rsid w:val="004F36FE"/>
    <w:rsid w:val="00510A90"/>
    <w:rsid w:val="005437C4"/>
    <w:rsid w:val="00561C9F"/>
    <w:rsid w:val="0057480E"/>
    <w:rsid w:val="005804C0"/>
    <w:rsid w:val="005877FF"/>
    <w:rsid w:val="00593EEF"/>
    <w:rsid w:val="005A1858"/>
    <w:rsid w:val="005A70A6"/>
    <w:rsid w:val="005C1C08"/>
    <w:rsid w:val="00601B9F"/>
    <w:rsid w:val="0069318C"/>
    <w:rsid w:val="00696AFF"/>
    <w:rsid w:val="006A3DA6"/>
    <w:rsid w:val="006B0F42"/>
    <w:rsid w:val="006C0A8A"/>
    <w:rsid w:val="006C5B6D"/>
    <w:rsid w:val="006D1BC9"/>
    <w:rsid w:val="006D3A6A"/>
    <w:rsid w:val="006D73B8"/>
    <w:rsid w:val="006E0D8F"/>
    <w:rsid w:val="006F5457"/>
    <w:rsid w:val="006F7DFE"/>
    <w:rsid w:val="00742B50"/>
    <w:rsid w:val="0075227C"/>
    <w:rsid w:val="00756FFE"/>
    <w:rsid w:val="007621CF"/>
    <w:rsid w:val="00765B20"/>
    <w:rsid w:val="007B08DB"/>
    <w:rsid w:val="007D1309"/>
    <w:rsid w:val="007D63B4"/>
    <w:rsid w:val="007F0E98"/>
    <w:rsid w:val="0084672C"/>
    <w:rsid w:val="00847C4B"/>
    <w:rsid w:val="00852A00"/>
    <w:rsid w:val="0086717F"/>
    <w:rsid w:val="008720AA"/>
    <w:rsid w:val="008733D8"/>
    <w:rsid w:val="008800C2"/>
    <w:rsid w:val="008865F9"/>
    <w:rsid w:val="008911C7"/>
    <w:rsid w:val="008A31B3"/>
    <w:rsid w:val="008D6982"/>
    <w:rsid w:val="008E3541"/>
    <w:rsid w:val="008E3D0F"/>
    <w:rsid w:val="008E5472"/>
    <w:rsid w:val="0090712B"/>
    <w:rsid w:val="00910C02"/>
    <w:rsid w:val="00914AA4"/>
    <w:rsid w:val="0091501B"/>
    <w:rsid w:val="00921F96"/>
    <w:rsid w:val="00925A08"/>
    <w:rsid w:val="00925C1A"/>
    <w:rsid w:val="0094032D"/>
    <w:rsid w:val="0095711D"/>
    <w:rsid w:val="009753BF"/>
    <w:rsid w:val="009766C3"/>
    <w:rsid w:val="00976DCC"/>
    <w:rsid w:val="009A5677"/>
    <w:rsid w:val="009A6466"/>
    <w:rsid w:val="009B2781"/>
    <w:rsid w:val="009C2284"/>
    <w:rsid w:val="00A00CC3"/>
    <w:rsid w:val="00A122B2"/>
    <w:rsid w:val="00A177A1"/>
    <w:rsid w:val="00A27E3E"/>
    <w:rsid w:val="00A61CBC"/>
    <w:rsid w:val="00A67B7C"/>
    <w:rsid w:val="00A67E22"/>
    <w:rsid w:val="00A7365C"/>
    <w:rsid w:val="00A76BF9"/>
    <w:rsid w:val="00A77519"/>
    <w:rsid w:val="00AC6495"/>
    <w:rsid w:val="00B10389"/>
    <w:rsid w:val="00B11FAE"/>
    <w:rsid w:val="00B1498B"/>
    <w:rsid w:val="00B216FA"/>
    <w:rsid w:val="00B24E9D"/>
    <w:rsid w:val="00B4281E"/>
    <w:rsid w:val="00B42C38"/>
    <w:rsid w:val="00B47661"/>
    <w:rsid w:val="00B51790"/>
    <w:rsid w:val="00B523F2"/>
    <w:rsid w:val="00B73301"/>
    <w:rsid w:val="00B83EC6"/>
    <w:rsid w:val="00BA3044"/>
    <w:rsid w:val="00BA5084"/>
    <w:rsid w:val="00BA7023"/>
    <w:rsid w:val="00BC5794"/>
    <w:rsid w:val="00BD0968"/>
    <w:rsid w:val="00BE15A7"/>
    <w:rsid w:val="00C02AF6"/>
    <w:rsid w:val="00C11662"/>
    <w:rsid w:val="00C14E86"/>
    <w:rsid w:val="00C17E94"/>
    <w:rsid w:val="00C4631D"/>
    <w:rsid w:val="00C71730"/>
    <w:rsid w:val="00CA1499"/>
    <w:rsid w:val="00CB21DD"/>
    <w:rsid w:val="00CB6CD7"/>
    <w:rsid w:val="00CE652D"/>
    <w:rsid w:val="00CF200F"/>
    <w:rsid w:val="00D04819"/>
    <w:rsid w:val="00D15FBE"/>
    <w:rsid w:val="00D30A99"/>
    <w:rsid w:val="00D36422"/>
    <w:rsid w:val="00D42471"/>
    <w:rsid w:val="00D55414"/>
    <w:rsid w:val="00D76783"/>
    <w:rsid w:val="00D76939"/>
    <w:rsid w:val="00D80978"/>
    <w:rsid w:val="00D816A3"/>
    <w:rsid w:val="00D84219"/>
    <w:rsid w:val="00DA1F20"/>
    <w:rsid w:val="00DE44D6"/>
    <w:rsid w:val="00DE6904"/>
    <w:rsid w:val="00E02856"/>
    <w:rsid w:val="00E304B6"/>
    <w:rsid w:val="00E37F13"/>
    <w:rsid w:val="00E85778"/>
    <w:rsid w:val="00E8649E"/>
    <w:rsid w:val="00EA1A5D"/>
    <w:rsid w:val="00EB328B"/>
    <w:rsid w:val="00ED144D"/>
    <w:rsid w:val="00ED4B78"/>
    <w:rsid w:val="00ED7133"/>
    <w:rsid w:val="00EE7C81"/>
    <w:rsid w:val="00F1220F"/>
    <w:rsid w:val="00F40558"/>
    <w:rsid w:val="00F53415"/>
    <w:rsid w:val="00F7524C"/>
    <w:rsid w:val="00F853AE"/>
    <w:rsid w:val="00FB2AD1"/>
    <w:rsid w:val="00FB6BD2"/>
    <w:rsid w:val="00FD2E97"/>
    <w:rsid w:val="00FE28ED"/>
    <w:rsid w:val="00FE39DF"/>
    <w:rsid w:val="00FE66C8"/>
    <w:rsid w:val="00FF57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C60C14"/>
  <w15:docId w15:val="{10C442B5-3444-4B01-B2B5-BF883FC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before="120"/>
      <w:textAlignment w:val="baseline"/>
    </w:pPr>
    <w:rPr>
      <w:rFonts w:ascii="Times New Roman" w:hAnsi="Times New Roman" w:cs="Times New Roman"/>
      <w:sz w:val="24"/>
      <w:szCs w:val="24"/>
      <w:lang w:eastAsia="ja-JP"/>
    </w:rPr>
  </w:style>
  <w:style w:type="paragraph" w:styleId="Heading1">
    <w:name w:val="heading 1"/>
    <w:basedOn w:val="Normal"/>
    <w:next w:val="Normal"/>
    <w:pPr>
      <w:keepNext/>
      <w:keepLines/>
      <w:tabs>
        <w:tab w:val="left" w:pos="794"/>
        <w:tab w:val="left" w:pos="1191"/>
        <w:tab w:val="left" w:pos="1588"/>
        <w:tab w:val="left" w:pos="1985"/>
      </w:tabs>
      <w:overflowPunct w:val="0"/>
      <w:autoSpaceDE w:val="0"/>
      <w:spacing w:before="360"/>
      <w:ind w:left="794" w:hanging="794"/>
      <w:outlineLvl w:val="0"/>
    </w:pPr>
    <w:rPr>
      <w:rFonts w:eastAsia="Times New Roman"/>
      <w:b/>
      <w:szCs w:val="20"/>
      <w:lang w:eastAsia="en-US"/>
    </w:rPr>
  </w:style>
  <w:style w:type="paragraph" w:styleId="Heading2">
    <w:name w:val="heading 2"/>
    <w:basedOn w:val="Heading1"/>
    <w:next w:val="Normal"/>
    <w:pPr>
      <w:spacing w:before="240"/>
      <w:outlineLvl w:val="1"/>
    </w:pPr>
  </w:style>
  <w:style w:type="paragraph" w:styleId="Heading3">
    <w:name w:val="heading 3"/>
    <w:basedOn w:val="Heading1"/>
    <w:next w:val="Normal"/>
    <w:pPr>
      <w:spacing w:before="16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rFonts w:ascii="Times New Roman" w:hAnsi="Times New Roman"/>
      <w:color w:val="808080"/>
    </w:rPr>
  </w:style>
  <w:style w:type="paragraph" w:customStyle="1" w:styleId="Docnumber">
    <w:name w:val="Docnumber"/>
    <w:basedOn w:val="Normal"/>
    <w:qFormat/>
    <w:pPr>
      <w:tabs>
        <w:tab w:val="left" w:pos="794"/>
        <w:tab w:val="left" w:pos="1191"/>
        <w:tab w:val="left" w:pos="1588"/>
        <w:tab w:val="left" w:pos="1985"/>
      </w:tabs>
      <w:overflowPunct w:val="0"/>
      <w:autoSpaceDE w:val="0"/>
      <w:jc w:val="right"/>
    </w:pPr>
    <w:rPr>
      <w:b/>
      <w:sz w:val="40"/>
      <w:szCs w:val="20"/>
      <w:lang w:eastAsia="en-US"/>
    </w:rPr>
  </w:style>
  <w:style w:type="character" w:customStyle="1" w:styleId="DocnumberChar">
    <w:name w:val="Docnumber Char"/>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spacing w:before="480"/>
      <w:jc w:val="center"/>
      <w:outlineLvl w:val="0"/>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pPr>
    <w:rPr>
      <w:rFonts w:eastAsia="Times New Roman"/>
      <w:szCs w:val="20"/>
      <w:lang w:eastAsia="en-US"/>
    </w:rPr>
  </w:style>
  <w:style w:type="paragraph" w:customStyle="1" w:styleId="FigureNotitle">
    <w:name w:val="Figure_No &amp; title"/>
    <w:basedOn w:val="Normal"/>
    <w:next w:val="Normal"/>
    <w:pPr>
      <w:keepLines/>
      <w:tabs>
        <w:tab w:val="left" w:pos="794"/>
        <w:tab w:val="left" w:pos="1191"/>
        <w:tab w:val="left" w:pos="1588"/>
        <w:tab w:val="left" w:pos="1985"/>
      </w:tabs>
      <w:overflowPunct w:val="0"/>
      <w:autoSpaceDE w:val="0"/>
      <w:spacing w:before="240" w:after="120"/>
      <w:jc w:val="center"/>
    </w:pPr>
    <w:rPr>
      <w:b/>
      <w:szCs w:val="20"/>
    </w:rPr>
  </w:style>
  <w:style w:type="paragraph" w:customStyle="1" w:styleId="Formal">
    <w:name w:val="Formal"/>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spacing w:before="160"/>
    </w:pPr>
    <w:rPr>
      <w:rFonts w:eastAsia="Times New Roman"/>
      <w:b/>
      <w:szCs w:val="20"/>
      <w:lang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spacing w:before="160"/>
    </w:pPr>
    <w:rPr>
      <w:rFonts w:eastAsia="Times New Roman"/>
      <w:i/>
      <w:szCs w:val="20"/>
      <w:lang w:eastAsia="en-US"/>
    </w:rPr>
  </w:style>
  <w:style w:type="paragraph" w:customStyle="1" w:styleId="Headingib">
    <w:name w:val="Heading_ib"/>
    <w:basedOn w:val="Headingi"/>
    <w:next w:val="Normal"/>
    <w:rPr>
      <w:rFonts w:eastAsia="SimSun"/>
      <w:b/>
      <w:bCs/>
      <w:lang w:eastAsia="ja-JP"/>
    </w:rPr>
  </w:style>
  <w:style w:type="paragraph" w:customStyle="1" w:styleId="Normalbeforetable">
    <w:name w:val="Normal before table"/>
    <w:basedOn w:val="Normal"/>
    <w:pPr>
      <w:keepNext/>
      <w:spacing w:after="120"/>
    </w:pPr>
    <w:rPr>
      <w:rFonts w:eastAsia="????"/>
      <w:lang w:eastAsia="en-US"/>
    </w:rPr>
  </w:style>
  <w:style w:type="paragraph" w:customStyle="1" w:styleId="RecNo">
    <w:name w:val="Rec_No"/>
    <w:basedOn w:val="Normal"/>
    <w:next w:val="Normal"/>
    <w:pPr>
      <w:keepNext/>
      <w:keepLines/>
      <w:tabs>
        <w:tab w:val="left" w:pos="794"/>
        <w:tab w:val="left" w:pos="1191"/>
        <w:tab w:val="left" w:pos="1588"/>
        <w:tab w:val="left" w:pos="1985"/>
      </w:tabs>
      <w:overflowPunct w:val="0"/>
      <w:autoSpaceDE w:val="0"/>
      <w:spacing w:before="0"/>
    </w:pPr>
    <w:rPr>
      <w:b/>
      <w:sz w:val="28"/>
      <w:szCs w:val="20"/>
    </w:rPr>
  </w:style>
  <w:style w:type="paragraph" w:customStyle="1" w:styleId="Rectitle">
    <w:name w:val="Rec_title"/>
    <w:basedOn w:val="Normal"/>
    <w:next w:val="Normal"/>
    <w:pPr>
      <w:keepNext/>
      <w:keepLines/>
      <w:tabs>
        <w:tab w:val="left" w:pos="794"/>
        <w:tab w:val="left" w:pos="1191"/>
        <w:tab w:val="left" w:pos="1588"/>
        <w:tab w:val="left" w:pos="1985"/>
      </w:tabs>
      <w:overflowPunct w:val="0"/>
      <w:autoSpaceDE w:val="0"/>
      <w:spacing w:before="360"/>
      <w:jc w:val="center"/>
    </w:pPr>
    <w:rPr>
      <w:b/>
      <w:sz w:val="28"/>
      <w:szCs w:val="20"/>
    </w:rPr>
  </w:style>
  <w:style w:type="paragraph" w:customStyle="1" w:styleId="Reftext">
    <w:name w:val="Ref_text"/>
    <w:basedOn w:val="Normal"/>
    <w:pPr>
      <w:overflowPunct w:val="0"/>
      <w:autoSpaceDE w:val="0"/>
      <w:ind w:left="2268" w:hanging="2268"/>
    </w:pPr>
    <w:rPr>
      <w:rFonts w:eastAsia="Times New Roman"/>
      <w:szCs w:val="20"/>
      <w:lang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pPr>
    <w:rPr>
      <w:rFonts w:eastAsia="Times New Roman"/>
      <w:b/>
      <w:sz w:val="22"/>
      <w:szCs w:val="20"/>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after="40"/>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spacing w:before="360" w:after="120"/>
      <w:jc w:val="center"/>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pPr>
    <w:rPr>
      <w:rFonts w:eastAsia="Times New Roman"/>
      <w:sz w:val="22"/>
      <w:szCs w:val="20"/>
      <w:lang w:eastAsia="en-US"/>
    </w:rPr>
  </w:style>
  <w:style w:type="paragraph" w:styleId="TableofFigures">
    <w:name w:val="table of figures"/>
    <w:basedOn w:val="Normal"/>
    <w:next w:val="Normal"/>
    <w:pPr>
      <w:tabs>
        <w:tab w:val="right" w:leader="dot" w:pos="9639"/>
      </w:tabs>
    </w:pPr>
    <w:rPr>
      <w:rFonts w:eastAsia="MS Mincho"/>
    </w:rPr>
  </w:style>
  <w:style w:type="paragraph" w:styleId="TOC1">
    <w:name w:val="toc 1"/>
    <w:basedOn w:val="Normal"/>
    <w:pPr>
      <w:keepLines/>
      <w:tabs>
        <w:tab w:val="left" w:pos="964"/>
        <w:tab w:val="left" w:leader="dot" w:pos="9356"/>
        <w:tab w:val="right" w:pos="9639"/>
      </w:tabs>
      <w:overflowPunct w:val="0"/>
      <w:autoSpaceDE w:val="0"/>
      <w:spacing w:before="240"/>
      <w:ind w:left="680" w:right="851" w:hanging="680"/>
    </w:pPr>
    <w:rPr>
      <w:rFonts w:eastAsia="Batang"/>
      <w:szCs w:val="20"/>
      <w:lang w:eastAsia="en-US"/>
    </w:rPr>
  </w:style>
  <w:style w:type="paragraph" w:styleId="TOC2">
    <w:name w:val="toc 2"/>
    <w:basedOn w:val="TOC1"/>
    <w:pPr>
      <w:tabs>
        <w:tab w:val="clear" w:pos="964"/>
      </w:tabs>
      <w:spacing w:before="80"/>
      <w:ind w:left="1531" w:hanging="851"/>
    </w:pPr>
  </w:style>
  <w:style w:type="paragraph" w:styleId="TOC3">
    <w:name w:val="toc 3"/>
    <w:basedOn w:val="TOC2"/>
    <w:pPr>
      <w:ind w:left="2269"/>
    </w:pPr>
  </w:style>
  <w:style w:type="character" w:styleId="Hyperlink">
    <w:name w:val="Hyperlink"/>
    <w:aliases w:val="超级链接,Style 58,超????,하이퍼링크2,超?级链"/>
    <w:qFormat/>
    <w:rPr>
      <w:rFonts w:ascii="Times New Roman" w:hAnsi="Times New Roman"/>
      <w:color w:val="0000FF"/>
      <w:u w:val="single"/>
    </w:rPr>
  </w:style>
  <w:style w:type="character" w:customStyle="1" w:styleId="Heading1Char">
    <w:name w:val="Heading 1 Char"/>
    <w:rPr>
      <w:rFonts w:ascii="Times New Roman" w:eastAsia="Times New Roman" w:hAnsi="Times New Roman" w:cs="Times New Roman"/>
      <w:b/>
      <w:sz w:val="24"/>
      <w:szCs w:val="20"/>
      <w:lang w:val="en-GB" w:eastAsia="en-US"/>
    </w:rPr>
  </w:style>
  <w:style w:type="character" w:customStyle="1" w:styleId="Heading2Char">
    <w:name w:val="Heading 2 Char"/>
    <w:rPr>
      <w:rFonts w:ascii="Times New Roman" w:eastAsia="Times New Roman" w:hAnsi="Times New Roman" w:cs="Times New Roman"/>
      <w:b/>
      <w:sz w:val="24"/>
      <w:szCs w:val="20"/>
      <w:lang w:val="en-GB" w:eastAsia="en-US"/>
    </w:rPr>
  </w:style>
  <w:style w:type="character" w:customStyle="1" w:styleId="Heading3Char">
    <w:name w:val="Heading 3 Char"/>
    <w:rPr>
      <w:rFonts w:ascii="Times New Roman" w:eastAsia="Times New Roman" w:hAnsi="Times New Roman" w:cs="Times New Roman"/>
      <w:b/>
      <w:sz w:val="24"/>
      <w:szCs w:val="20"/>
      <w:lang w:val="en-GB" w:eastAsia="en-US"/>
    </w:rPr>
  </w:style>
  <w:style w:type="character" w:customStyle="1" w:styleId="Heading4Char">
    <w:name w:val="Heading 4 Char"/>
    <w:rPr>
      <w:rFonts w:ascii="Times New Roman" w:eastAsia="Times New Roman" w:hAnsi="Times New Roman" w:cs="Times New Roman"/>
      <w:b/>
      <w:sz w:val="24"/>
      <w:szCs w:val="20"/>
      <w:lang w:val="en-GB" w:eastAsia="en-US"/>
    </w:rPr>
  </w:style>
  <w:style w:type="character" w:customStyle="1" w:styleId="Heading5Char">
    <w:name w:val="Heading 5 Char"/>
    <w:rPr>
      <w:rFonts w:ascii="Times New Roman" w:eastAsia="Times New Roman" w:hAnsi="Times New Roman" w:cs="Times New Roman"/>
      <w:b/>
      <w:sz w:val="24"/>
      <w:szCs w:val="20"/>
      <w:lang w:val="en-GB" w:eastAsia="en-US"/>
    </w:rPr>
  </w:style>
  <w:style w:type="character" w:customStyle="1" w:styleId="Heading6Char">
    <w:name w:val="Heading 6 Char"/>
    <w:rPr>
      <w:rFonts w:ascii="Times New Roman" w:eastAsia="Times New Roman" w:hAnsi="Times New Roman" w:cs="Times New Roman"/>
      <w:b/>
      <w:sz w:val="24"/>
      <w:szCs w:val="20"/>
      <w:lang w:val="en-GB" w:eastAsia="en-US"/>
    </w:rPr>
  </w:style>
  <w:style w:type="character" w:customStyle="1" w:styleId="Heading7Char">
    <w:name w:val="Heading 7 Char"/>
    <w:rPr>
      <w:rFonts w:ascii="Times New Roman" w:eastAsia="Times New Roman" w:hAnsi="Times New Roman" w:cs="Times New Roman"/>
      <w:b/>
      <w:sz w:val="24"/>
      <w:szCs w:val="20"/>
      <w:lang w:val="en-GB" w:eastAsia="en-US"/>
    </w:rPr>
  </w:style>
  <w:style w:type="character" w:customStyle="1" w:styleId="Heading8Char">
    <w:name w:val="Heading 8 Char"/>
    <w:rPr>
      <w:rFonts w:ascii="Times New Roman" w:eastAsia="Times New Roman" w:hAnsi="Times New Roman" w:cs="Times New Roman"/>
      <w:b/>
      <w:sz w:val="24"/>
      <w:szCs w:val="20"/>
      <w:lang w:val="en-GB" w:eastAsia="en-US"/>
    </w:rPr>
  </w:style>
  <w:style w:type="character" w:customStyle="1" w:styleId="Heading9Char">
    <w:name w:val="Heading 9 Char"/>
    <w:rPr>
      <w:rFonts w:ascii="Times New Roman" w:eastAsia="Times New Roman" w:hAnsi="Times New Roman" w:cs="Times New Roman"/>
      <w:b/>
      <w:sz w:val="24"/>
      <w:szCs w:val="20"/>
      <w:lang w:val="en-GB" w:eastAsia="en-US"/>
    </w:rPr>
  </w:style>
  <w:style w:type="paragraph" w:styleId="Caption">
    <w:name w:val="caption"/>
    <w:basedOn w:val="Normal"/>
    <w:next w:val="Normal"/>
    <w:pPr>
      <w:spacing w:before="0" w:after="200"/>
    </w:pPr>
    <w:rPr>
      <w:i/>
      <w:iCs/>
      <w:color w:val="44546A"/>
      <w:sz w:val="18"/>
      <w:szCs w:val="18"/>
    </w:rPr>
  </w:style>
  <w:style w:type="paragraph" w:styleId="Header">
    <w:name w:val="header"/>
    <w:basedOn w:val="Normal"/>
    <w:pPr>
      <w:tabs>
        <w:tab w:val="center" w:pos="4680"/>
        <w:tab w:val="right" w:pos="9360"/>
      </w:tabs>
      <w:spacing w:before="0"/>
      <w:jc w:val="center"/>
    </w:pPr>
    <w:rPr>
      <w:sz w:val="20"/>
      <w:szCs w:val="20"/>
    </w:rPr>
  </w:style>
  <w:style w:type="character" w:customStyle="1" w:styleId="HeaderChar">
    <w:name w:val="Header Char"/>
    <w:rPr>
      <w:rFonts w:ascii="Times New Roman" w:hAnsi="Times New Roman" w:cs="Times New Roman"/>
      <w:sz w:val="20"/>
      <w:szCs w:val="20"/>
      <w:lang w:val="en-GB" w:eastAsia="ja-JP"/>
    </w:rPr>
  </w:style>
  <w:style w:type="paragraph" w:styleId="Footer">
    <w:name w:val="footer"/>
    <w:basedOn w:val="Normal"/>
    <w:pPr>
      <w:tabs>
        <w:tab w:val="center" w:pos="4680"/>
        <w:tab w:val="right" w:pos="9360"/>
      </w:tabs>
      <w:spacing w:before="0"/>
    </w:pPr>
  </w:style>
  <w:style w:type="character" w:customStyle="1" w:styleId="FooterChar">
    <w:name w:val="Footer Char"/>
    <w:rPr>
      <w:rFonts w:ascii="Times New Roman" w:hAnsi="Times New Roman" w:cs="Times New Roman"/>
      <w:sz w:val="24"/>
      <w:szCs w:val="24"/>
      <w:lang w:val="en-GB" w:eastAsia="ja-JP"/>
    </w:rPr>
  </w:style>
  <w:style w:type="character" w:styleId="Emphasis">
    <w:name w:val="Emphasis"/>
    <w:rPr>
      <w:i/>
      <w:iCs/>
    </w:rPr>
  </w:style>
  <w:style w:type="paragraph" w:styleId="Subtitle">
    <w:name w:val="Subtitle"/>
    <w:basedOn w:val="Normal"/>
    <w:next w:val="Normal"/>
    <w:pPr>
      <w:spacing w:after="160"/>
    </w:pPr>
    <w:rPr>
      <w:rFonts w:ascii="Calibri" w:hAnsi="Calibri" w:cs="Arial"/>
      <w:color w:val="5A5A5A"/>
      <w:spacing w:val="15"/>
      <w:sz w:val="22"/>
      <w:szCs w:val="22"/>
    </w:rPr>
  </w:style>
  <w:style w:type="character" w:customStyle="1" w:styleId="SubtitleChar">
    <w:name w:val="Subtitle Char"/>
    <w:rPr>
      <w:color w:val="5A5A5A"/>
      <w:spacing w:val="15"/>
      <w:lang w:val="en-GB" w:eastAsia="ja-JP"/>
    </w:rPr>
  </w:style>
  <w:style w:type="character" w:styleId="Strong">
    <w:name w:val="Strong"/>
    <w:uiPriority w:val="22"/>
    <w:qFormat/>
    <w:rPr>
      <w:b/>
      <w:bCs/>
    </w:rPr>
  </w:style>
  <w:style w:type="paragraph" w:styleId="Quote">
    <w:name w:val="Quote"/>
    <w:basedOn w:val="Normal"/>
    <w:next w:val="Normal"/>
    <w:pPr>
      <w:spacing w:before="200" w:after="160"/>
      <w:ind w:left="864" w:right="864"/>
      <w:jc w:val="center"/>
    </w:pPr>
    <w:rPr>
      <w:i/>
      <w:iCs/>
      <w:color w:val="404040"/>
    </w:rPr>
  </w:style>
  <w:style w:type="character" w:customStyle="1" w:styleId="QuoteChar">
    <w:name w:val="Quote Char"/>
    <w:rPr>
      <w:rFonts w:ascii="Times New Roman" w:hAnsi="Times New Roman" w:cs="Times New Roman"/>
      <w:i/>
      <w:iCs/>
      <w:color w:val="404040"/>
      <w:sz w:val="24"/>
      <w:szCs w:val="24"/>
      <w:lang w:val="en-GB" w:eastAsia="ja-JP"/>
    </w:rPr>
  </w:style>
  <w:style w:type="paragraph" w:styleId="BalloonText">
    <w:name w:val="Balloon Text"/>
    <w:basedOn w:val="Normal"/>
    <w:pPr>
      <w:spacing w:before="0"/>
    </w:pPr>
    <w:rPr>
      <w:rFonts w:ascii="Segoe UI" w:hAnsi="Segoe UI" w:cs="Segoe UI"/>
      <w:sz w:val="18"/>
      <w:szCs w:val="18"/>
    </w:rPr>
  </w:style>
  <w:style w:type="character" w:customStyle="1" w:styleId="BalloonTextChar">
    <w:name w:val="Balloon Text Char"/>
    <w:rPr>
      <w:rFonts w:ascii="Segoe UI" w:hAnsi="Segoe UI" w:cs="Segoe UI"/>
      <w:sz w:val="18"/>
      <w:szCs w:val="18"/>
      <w:lang w:val="en-GB" w:eastAsia="ja-JP"/>
    </w:rPr>
  </w:style>
  <w:style w:type="paragraph" w:customStyle="1" w:styleId="LSDeadline">
    <w:name w:val="LSDeadline"/>
    <w:basedOn w:val="LSForAction"/>
    <w:next w:val="Normal"/>
    <w:rPr>
      <w:bCs w:val="0"/>
    </w:rPr>
  </w:style>
  <w:style w:type="paragraph" w:customStyle="1" w:styleId="LSForAction">
    <w:name w:val="LSForAction"/>
    <w:basedOn w:val="Normal"/>
    <w:pPr>
      <w:tabs>
        <w:tab w:val="left" w:pos="794"/>
        <w:tab w:val="left" w:pos="1191"/>
        <w:tab w:val="left" w:pos="1588"/>
        <w:tab w:val="left" w:pos="1985"/>
      </w:tabs>
      <w:overflowPunct w:val="0"/>
      <w:autoSpaceDE w:val="0"/>
    </w:pPr>
    <w:rPr>
      <w:rFonts w:eastAsia="Times New Roman"/>
      <w:bCs/>
      <w:szCs w:val="20"/>
      <w:lang w:eastAsia="en-US"/>
    </w:rPr>
  </w:style>
  <w:style w:type="paragraph" w:customStyle="1" w:styleId="LSForInfo">
    <w:name w:val="LSForInfo"/>
    <w:basedOn w:val="LSForAction"/>
    <w:next w:val="Normal"/>
  </w:style>
  <w:style w:type="paragraph" w:customStyle="1" w:styleId="LSForComment">
    <w:name w:val="LSForComment"/>
    <w:basedOn w:val="LSForAction"/>
    <w:next w:val="Normal"/>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pPr>
    <w:rPr>
      <w:rFonts w:eastAsia="Times New Roman"/>
      <w:szCs w:val="20"/>
      <w:lang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LSSource">
    <w:name w:val="LSSource"/>
    <w:basedOn w:val="LSForAction"/>
    <w:next w:val="Normal"/>
    <w:rPr>
      <w:rFonts w:eastAsia="Calibri"/>
      <w:bCs w:val="0"/>
    </w:rPr>
  </w:style>
  <w:style w:type="paragraph" w:customStyle="1" w:styleId="LSTitle">
    <w:name w:val="LSTitle"/>
    <w:basedOn w:val="LSForAction"/>
    <w:next w:val="Normal"/>
    <w:rPr>
      <w:rFonts w:eastAsia="Calibri"/>
      <w:bCs w:val="0"/>
    </w:rPr>
  </w:style>
  <w:style w:type="paragraph" w:styleId="ListParagraph">
    <w:name w:val="List Paragraph"/>
    <w:basedOn w:val="Normal"/>
    <w:uiPriority w:val="34"/>
    <w:qFormat/>
    <w:pPr>
      <w:ind w:left="720"/>
    </w:pPr>
  </w:style>
  <w:style w:type="character" w:customStyle="1" w:styleId="ListParagraphChar">
    <w:name w:val="List Paragraph Char"/>
    <w:rPr>
      <w:rFonts w:ascii="Times New Roman" w:hAnsi="Times New Roman" w:cs="Times New Roman"/>
      <w:sz w:val="24"/>
      <w:szCs w:val="24"/>
      <w:lang w:val="en-GB" w:eastAsia="ja-JP"/>
    </w:rPr>
  </w:style>
  <w:style w:type="paragraph" w:customStyle="1" w:styleId="Default">
    <w:name w:val="Default"/>
    <w:pPr>
      <w:widowControl w:val="0"/>
      <w:autoSpaceDE w:val="0"/>
      <w:autoSpaceDN w:val="0"/>
      <w:spacing w:after="160" w:line="254" w:lineRule="auto"/>
    </w:pPr>
    <w:rPr>
      <w:rFonts w:cs="Calibri"/>
      <w:color w:val="000000"/>
      <w:sz w:val="24"/>
      <w:szCs w:val="24"/>
      <w:lang w:val="en-US" w:eastAsia="ja-JP"/>
    </w:rPr>
  </w:style>
  <w:style w:type="paragraph" w:styleId="NormalWeb">
    <w:name w:val="Normal (Web)"/>
    <w:basedOn w:val="Normal"/>
    <w:uiPriority w:val="99"/>
    <w:semiHidden/>
    <w:unhideWhenUsed/>
    <w:rsid w:val="00A61CBC"/>
    <w:pPr>
      <w:suppressAutoHyphens w:val="0"/>
      <w:autoSpaceDN/>
      <w:spacing w:before="100" w:beforeAutospacing="1" w:after="100" w:afterAutospacing="1"/>
      <w:textAlignment w:val="auto"/>
    </w:pPr>
    <w:rPr>
      <w:rFonts w:eastAsia="Times New Roman"/>
      <w:lang w:val="en-US" w:eastAsia="zh-CN"/>
    </w:rPr>
  </w:style>
  <w:style w:type="paragraph" w:styleId="BodyText">
    <w:name w:val="Body Text"/>
    <w:basedOn w:val="Normal"/>
    <w:link w:val="BodyTextChar"/>
    <w:uiPriority w:val="1"/>
    <w:semiHidden/>
    <w:unhideWhenUsed/>
    <w:qFormat/>
    <w:rsid w:val="00A61CBC"/>
    <w:pPr>
      <w:widowControl w:val="0"/>
      <w:suppressAutoHyphens w:val="0"/>
      <w:autoSpaceDE w:val="0"/>
      <w:spacing w:before="0"/>
      <w:textAlignment w:val="auto"/>
    </w:pPr>
    <w:rPr>
      <w:rFonts w:eastAsia="Times New Roman"/>
      <w:sz w:val="22"/>
      <w:szCs w:val="22"/>
      <w:lang w:eastAsia="en-GB" w:bidi="en-GB"/>
    </w:rPr>
  </w:style>
  <w:style w:type="character" w:customStyle="1" w:styleId="BodyTextChar">
    <w:name w:val="Body Text Char"/>
    <w:link w:val="BodyText"/>
    <w:uiPriority w:val="1"/>
    <w:semiHidden/>
    <w:rsid w:val="00A61CBC"/>
    <w:rPr>
      <w:rFonts w:ascii="Times New Roman" w:eastAsia="Times New Roman" w:hAnsi="Times New Roman" w:cs="Times New Roman"/>
      <w:lang w:val="en-GB" w:eastAsia="en-GB" w:bidi="en-GB"/>
    </w:rPr>
  </w:style>
  <w:style w:type="character" w:customStyle="1" w:styleId="TabletextChar">
    <w:name w:val="Table_text Char"/>
    <w:link w:val="Tabletext"/>
    <w:locked/>
    <w:rsid w:val="00A61CBC"/>
    <w:rPr>
      <w:rFonts w:ascii="Times New Roman" w:eastAsia="Times New Roman" w:hAnsi="Times New Roman" w:cs="Times New Roman"/>
      <w:szCs w:val="20"/>
      <w:lang w:val="en-GB" w:eastAsia="en-US"/>
    </w:rPr>
  </w:style>
  <w:style w:type="table" w:styleId="TableGrid">
    <w:name w:val="Table Grid"/>
    <w:basedOn w:val="TableNormal"/>
    <w:uiPriority w:val="39"/>
    <w:rsid w:val="00A61CB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47661"/>
    <w:rPr>
      <w:color w:val="954F72"/>
      <w:u w:val="single"/>
    </w:rPr>
  </w:style>
  <w:style w:type="character" w:customStyle="1" w:styleId="highlight">
    <w:name w:val="highlight"/>
    <w:rsid w:val="009A5677"/>
  </w:style>
  <w:style w:type="character" w:styleId="CommentReference">
    <w:name w:val="annotation reference"/>
    <w:uiPriority w:val="99"/>
    <w:semiHidden/>
    <w:unhideWhenUsed/>
    <w:rsid w:val="00397CCA"/>
    <w:rPr>
      <w:sz w:val="16"/>
      <w:szCs w:val="16"/>
    </w:rPr>
  </w:style>
  <w:style w:type="paragraph" w:styleId="CommentText">
    <w:name w:val="annotation text"/>
    <w:basedOn w:val="Normal"/>
    <w:link w:val="CommentTextChar"/>
    <w:uiPriority w:val="99"/>
    <w:semiHidden/>
    <w:unhideWhenUsed/>
    <w:rsid w:val="00397CCA"/>
    <w:rPr>
      <w:sz w:val="20"/>
      <w:szCs w:val="20"/>
    </w:rPr>
  </w:style>
  <w:style w:type="character" w:customStyle="1" w:styleId="CommentTextChar">
    <w:name w:val="Comment Text Char"/>
    <w:link w:val="CommentText"/>
    <w:uiPriority w:val="99"/>
    <w:semiHidden/>
    <w:rsid w:val="00397CCA"/>
    <w:rPr>
      <w:rFonts w:ascii="Times New Roman"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397CCA"/>
    <w:rPr>
      <w:b/>
      <w:bCs/>
    </w:rPr>
  </w:style>
  <w:style w:type="character" w:customStyle="1" w:styleId="CommentSubjectChar">
    <w:name w:val="Comment Subject Char"/>
    <w:link w:val="CommentSubject"/>
    <w:uiPriority w:val="99"/>
    <w:semiHidden/>
    <w:rsid w:val="00397CCA"/>
    <w:rPr>
      <w:rFonts w:ascii="Times New Roman" w:hAnsi="Times New Roman" w:cs="Times New Roman"/>
      <w:b/>
      <w:bCs/>
      <w:lang w:eastAsia="ja-JP"/>
    </w:rPr>
  </w:style>
  <w:style w:type="character" w:styleId="UnresolvedMention">
    <w:name w:val="Unresolved Mention"/>
    <w:basedOn w:val="DefaultParagraphFont"/>
    <w:uiPriority w:val="99"/>
    <w:semiHidden/>
    <w:unhideWhenUsed/>
    <w:rsid w:val="003D771B"/>
    <w:rPr>
      <w:color w:val="605E5C"/>
      <w:shd w:val="clear" w:color="auto" w:fill="E1DFDD"/>
    </w:rPr>
  </w:style>
  <w:style w:type="paragraph" w:styleId="PlainText">
    <w:name w:val="Plain Text"/>
    <w:basedOn w:val="Normal"/>
    <w:link w:val="PlainTextChar"/>
    <w:uiPriority w:val="99"/>
    <w:semiHidden/>
    <w:unhideWhenUsed/>
    <w:rsid w:val="00C02AF6"/>
    <w:pPr>
      <w:suppressAutoHyphens w:val="0"/>
      <w:autoSpaceDN/>
      <w:spacing w:before="0"/>
      <w:textAlignment w:val="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uiPriority w:val="99"/>
    <w:semiHidden/>
    <w:rsid w:val="00C02AF6"/>
    <w:rPr>
      <w:rFonts w:ascii="Courier New" w:eastAsia="Times New Roman" w:hAnsi="Courier New" w:cs="Courier New"/>
      <w:lang w:val="en-US" w:eastAsia="en-US"/>
    </w:rPr>
  </w:style>
  <w:style w:type="paragraph" w:styleId="Revision">
    <w:name w:val="Revision"/>
    <w:hidden/>
    <w:uiPriority w:val="99"/>
    <w:semiHidden/>
    <w:rsid w:val="00F53415"/>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62451">
      <w:bodyDiv w:val="1"/>
      <w:marLeft w:val="0"/>
      <w:marRight w:val="0"/>
      <w:marTop w:val="0"/>
      <w:marBottom w:val="0"/>
      <w:divBdr>
        <w:top w:val="none" w:sz="0" w:space="0" w:color="auto"/>
        <w:left w:val="none" w:sz="0" w:space="0" w:color="auto"/>
        <w:bottom w:val="none" w:sz="0" w:space="0" w:color="auto"/>
        <w:right w:val="none" w:sz="0" w:space="0" w:color="auto"/>
      </w:divBdr>
    </w:div>
    <w:div w:id="265188921">
      <w:bodyDiv w:val="1"/>
      <w:marLeft w:val="0"/>
      <w:marRight w:val="0"/>
      <w:marTop w:val="0"/>
      <w:marBottom w:val="0"/>
      <w:divBdr>
        <w:top w:val="none" w:sz="0" w:space="0" w:color="auto"/>
        <w:left w:val="none" w:sz="0" w:space="0" w:color="auto"/>
        <w:bottom w:val="none" w:sz="0" w:space="0" w:color="auto"/>
        <w:right w:val="none" w:sz="0" w:space="0" w:color="auto"/>
      </w:divBdr>
    </w:div>
    <w:div w:id="332538189">
      <w:bodyDiv w:val="1"/>
      <w:marLeft w:val="0"/>
      <w:marRight w:val="0"/>
      <w:marTop w:val="0"/>
      <w:marBottom w:val="0"/>
      <w:divBdr>
        <w:top w:val="none" w:sz="0" w:space="0" w:color="auto"/>
        <w:left w:val="none" w:sz="0" w:space="0" w:color="auto"/>
        <w:bottom w:val="none" w:sz="0" w:space="0" w:color="auto"/>
        <w:right w:val="none" w:sz="0" w:space="0" w:color="auto"/>
      </w:divBdr>
    </w:div>
    <w:div w:id="374819689">
      <w:bodyDiv w:val="1"/>
      <w:marLeft w:val="0"/>
      <w:marRight w:val="0"/>
      <w:marTop w:val="0"/>
      <w:marBottom w:val="0"/>
      <w:divBdr>
        <w:top w:val="none" w:sz="0" w:space="0" w:color="auto"/>
        <w:left w:val="none" w:sz="0" w:space="0" w:color="auto"/>
        <w:bottom w:val="none" w:sz="0" w:space="0" w:color="auto"/>
        <w:right w:val="none" w:sz="0" w:space="0" w:color="auto"/>
      </w:divBdr>
    </w:div>
    <w:div w:id="469710908">
      <w:bodyDiv w:val="1"/>
      <w:marLeft w:val="0"/>
      <w:marRight w:val="0"/>
      <w:marTop w:val="0"/>
      <w:marBottom w:val="0"/>
      <w:divBdr>
        <w:top w:val="none" w:sz="0" w:space="0" w:color="auto"/>
        <w:left w:val="none" w:sz="0" w:space="0" w:color="auto"/>
        <w:bottom w:val="none" w:sz="0" w:space="0" w:color="auto"/>
        <w:right w:val="none" w:sz="0" w:space="0" w:color="auto"/>
      </w:divBdr>
    </w:div>
    <w:div w:id="1038891351">
      <w:bodyDiv w:val="1"/>
      <w:marLeft w:val="0"/>
      <w:marRight w:val="0"/>
      <w:marTop w:val="0"/>
      <w:marBottom w:val="0"/>
      <w:divBdr>
        <w:top w:val="none" w:sz="0" w:space="0" w:color="auto"/>
        <w:left w:val="none" w:sz="0" w:space="0" w:color="auto"/>
        <w:bottom w:val="none" w:sz="0" w:space="0" w:color="auto"/>
        <w:right w:val="none" w:sz="0" w:space="0" w:color="auto"/>
      </w:divBdr>
    </w:div>
    <w:div w:id="1129669015">
      <w:bodyDiv w:val="1"/>
      <w:marLeft w:val="0"/>
      <w:marRight w:val="0"/>
      <w:marTop w:val="0"/>
      <w:marBottom w:val="0"/>
      <w:divBdr>
        <w:top w:val="none" w:sz="0" w:space="0" w:color="auto"/>
        <w:left w:val="none" w:sz="0" w:space="0" w:color="auto"/>
        <w:bottom w:val="none" w:sz="0" w:space="0" w:color="auto"/>
        <w:right w:val="none" w:sz="0" w:space="0" w:color="auto"/>
      </w:divBdr>
    </w:div>
    <w:div w:id="1177381754">
      <w:bodyDiv w:val="1"/>
      <w:marLeft w:val="0"/>
      <w:marRight w:val="0"/>
      <w:marTop w:val="0"/>
      <w:marBottom w:val="0"/>
      <w:divBdr>
        <w:top w:val="none" w:sz="0" w:space="0" w:color="auto"/>
        <w:left w:val="none" w:sz="0" w:space="0" w:color="auto"/>
        <w:bottom w:val="none" w:sz="0" w:space="0" w:color="auto"/>
        <w:right w:val="none" w:sz="0" w:space="0" w:color="auto"/>
      </w:divBdr>
    </w:div>
    <w:div w:id="1296376473">
      <w:bodyDiv w:val="1"/>
      <w:marLeft w:val="0"/>
      <w:marRight w:val="0"/>
      <w:marTop w:val="0"/>
      <w:marBottom w:val="0"/>
      <w:divBdr>
        <w:top w:val="none" w:sz="0" w:space="0" w:color="auto"/>
        <w:left w:val="none" w:sz="0" w:space="0" w:color="auto"/>
        <w:bottom w:val="none" w:sz="0" w:space="0" w:color="auto"/>
        <w:right w:val="none" w:sz="0" w:space="0" w:color="auto"/>
      </w:divBdr>
    </w:div>
    <w:div w:id="1656102427">
      <w:bodyDiv w:val="1"/>
      <w:marLeft w:val="0"/>
      <w:marRight w:val="0"/>
      <w:marTop w:val="0"/>
      <w:marBottom w:val="0"/>
      <w:divBdr>
        <w:top w:val="none" w:sz="0" w:space="0" w:color="auto"/>
        <w:left w:val="none" w:sz="0" w:space="0" w:color="auto"/>
        <w:bottom w:val="none" w:sz="0" w:space="0" w:color="auto"/>
        <w:right w:val="none" w:sz="0" w:space="0" w:color="auto"/>
      </w:divBdr>
    </w:div>
    <w:div w:id="1743678222">
      <w:bodyDiv w:val="1"/>
      <w:marLeft w:val="0"/>
      <w:marRight w:val="0"/>
      <w:marTop w:val="0"/>
      <w:marBottom w:val="0"/>
      <w:divBdr>
        <w:top w:val="none" w:sz="0" w:space="0" w:color="auto"/>
        <w:left w:val="none" w:sz="0" w:space="0" w:color="auto"/>
        <w:bottom w:val="none" w:sz="0" w:space="0" w:color="auto"/>
        <w:right w:val="none" w:sz="0" w:space="0" w:color="auto"/>
      </w:divBdr>
    </w:div>
    <w:div w:id="1752695730">
      <w:bodyDiv w:val="1"/>
      <w:marLeft w:val="0"/>
      <w:marRight w:val="0"/>
      <w:marTop w:val="0"/>
      <w:marBottom w:val="0"/>
      <w:divBdr>
        <w:top w:val="none" w:sz="0" w:space="0" w:color="auto"/>
        <w:left w:val="none" w:sz="0" w:space="0" w:color="auto"/>
        <w:bottom w:val="none" w:sz="0" w:space="0" w:color="auto"/>
        <w:right w:val="none" w:sz="0" w:space="0" w:color="auto"/>
      </w:divBdr>
    </w:div>
    <w:div w:id="1770396328">
      <w:bodyDiv w:val="1"/>
      <w:marLeft w:val="0"/>
      <w:marRight w:val="0"/>
      <w:marTop w:val="0"/>
      <w:marBottom w:val="0"/>
      <w:divBdr>
        <w:top w:val="none" w:sz="0" w:space="0" w:color="auto"/>
        <w:left w:val="none" w:sz="0" w:space="0" w:color="auto"/>
        <w:bottom w:val="none" w:sz="0" w:space="0" w:color="auto"/>
        <w:right w:val="none" w:sz="0" w:space="0" w:color="auto"/>
      </w:divBdr>
    </w:div>
    <w:div w:id="1788423508">
      <w:bodyDiv w:val="1"/>
      <w:marLeft w:val="0"/>
      <w:marRight w:val="0"/>
      <w:marTop w:val="0"/>
      <w:marBottom w:val="0"/>
      <w:divBdr>
        <w:top w:val="none" w:sz="0" w:space="0" w:color="auto"/>
        <w:left w:val="none" w:sz="0" w:space="0" w:color="auto"/>
        <w:bottom w:val="none" w:sz="0" w:space="0" w:color="auto"/>
        <w:right w:val="none" w:sz="0" w:space="0" w:color="auto"/>
      </w:divBdr>
    </w:div>
    <w:div w:id="1850753736">
      <w:bodyDiv w:val="1"/>
      <w:marLeft w:val="0"/>
      <w:marRight w:val="0"/>
      <w:marTop w:val="0"/>
      <w:marBottom w:val="0"/>
      <w:divBdr>
        <w:top w:val="none" w:sz="0" w:space="0" w:color="auto"/>
        <w:left w:val="none" w:sz="0" w:space="0" w:color="auto"/>
        <w:bottom w:val="none" w:sz="0" w:space="0" w:color="auto"/>
        <w:right w:val="none" w:sz="0" w:space="0" w:color="auto"/>
      </w:divBdr>
    </w:div>
    <w:div w:id="1867281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6-sg2-oLS-00176.docx" TargetMode="External"/><Relationship Id="rId13" Type="http://schemas.openxmlformats.org/officeDocument/2006/relationships/hyperlink" Target="https://www.itu.int/md/T17-SG02-201218-TD-GEN-1230" TargetMode="External"/><Relationship Id="rId18" Type="http://schemas.openxmlformats.org/officeDocument/2006/relationships/hyperlink" Target="https://www.itu.int/md/T17-SG02-201218-TD-GEN-12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T17-TSAG-210111-TD-GEN-0973/en" TargetMode="External"/><Relationship Id="rId7" Type="http://schemas.openxmlformats.org/officeDocument/2006/relationships/image" Target="media/image1.gif"/><Relationship Id="rId12" Type="http://schemas.openxmlformats.org/officeDocument/2006/relationships/hyperlink" Target="mailto:philrushton@rcc-uk.uk" TargetMode="External"/><Relationship Id="rId17" Type="http://schemas.openxmlformats.org/officeDocument/2006/relationships/hyperlink" Target="https://www.itu.int/md/T17-SG02-C-0292/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T17-SG02-201218-TD-GEN-1254/en" TargetMode="External"/><Relationship Id="rId20" Type="http://schemas.openxmlformats.org/officeDocument/2006/relationships/hyperlink" Target="https://www.itu.int/md/T17-TSAG-210111-TD-GEN-0973/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02-201218-TD-GEN-1266/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T17-SG02-201218-TD-GEN-1253" TargetMode="External"/><Relationship Id="rId23" Type="http://schemas.openxmlformats.org/officeDocument/2006/relationships/hyperlink" Target="https://www.itu.int/md/T17-SG02-201218-TD-GEN-1231" TargetMode="External"/><Relationship Id="rId10" Type="http://schemas.openxmlformats.org/officeDocument/2006/relationships/hyperlink" Target="http://handle.itu.int/11.1002/ls/sp16-sg2-oLS-00176.docx" TargetMode="External"/><Relationship Id="rId19" Type="http://schemas.openxmlformats.org/officeDocument/2006/relationships/hyperlink" Target="https://www.itu.int/md/T17-SG02-201218-TD-GEN-1274/en" TargetMode="External"/><Relationship Id="rId4" Type="http://schemas.openxmlformats.org/officeDocument/2006/relationships/webSettings" Target="webSettings.xml"/><Relationship Id="rId9" Type="http://schemas.openxmlformats.org/officeDocument/2006/relationships/hyperlink" Target="mailto:philrushton@rcc-uk.uk" TargetMode="External"/><Relationship Id="rId14" Type="http://schemas.openxmlformats.org/officeDocument/2006/relationships/hyperlink" Target="https://www.itu.int/md/T17-SG02-201218-TD-GEN-1246/en" TargetMode="External"/><Relationship Id="rId22" Type="http://schemas.openxmlformats.org/officeDocument/2006/relationships/hyperlink" Target="https://www.itu.int/md/T17-TSAG-210111-TD-GEN-097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LS/o on ITU-T SG2 lead study group activities [to TSAG]</vt:lpstr>
    </vt:vector>
  </TitlesOfParts>
  <Manager>ITU-T</Manager>
  <Company>International Telecommunication Union (ITU)</Company>
  <LinksUpToDate>false</LinksUpToDate>
  <CharactersWithSpaces>16211</CharactersWithSpaces>
  <SharedDoc>false</SharedDoc>
  <HLinks>
    <vt:vector size="72" baseType="variant">
      <vt:variant>
        <vt:i4>6225948</vt:i4>
      </vt:variant>
      <vt:variant>
        <vt:i4>33</vt:i4>
      </vt:variant>
      <vt:variant>
        <vt:i4>0</vt:i4>
      </vt:variant>
      <vt:variant>
        <vt:i4>5</vt:i4>
      </vt:variant>
      <vt:variant>
        <vt:lpwstr>https://www.itu.int/md/T17-SG02-191204-TD-GEN-0896/en</vt:lpwstr>
      </vt:variant>
      <vt:variant>
        <vt:lpwstr/>
      </vt:variant>
      <vt:variant>
        <vt:i4>6160412</vt:i4>
      </vt:variant>
      <vt:variant>
        <vt:i4>30</vt:i4>
      </vt:variant>
      <vt:variant>
        <vt:i4>0</vt:i4>
      </vt:variant>
      <vt:variant>
        <vt:i4>5</vt:i4>
      </vt:variant>
      <vt:variant>
        <vt:lpwstr>https://www.itu.int/md/T17-SG02-191204-TD-GEN-0897/en</vt:lpwstr>
      </vt:variant>
      <vt:variant>
        <vt:lpwstr/>
      </vt:variant>
      <vt:variant>
        <vt:i4>6094869</vt:i4>
      </vt:variant>
      <vt:variant>
        <vt:i4>27</vt:i4>
      </vt:variant>
      <vt:variant>
        <vt:i4>0</vt:i4>
      </vt:variant>
      <vt:variant>
        <vt:i4>5</vt:i4>
      </vt:variant>
      <vt:variant>
        <vt:lpwstr>https://www.itu.int/md/T17-SG02-191204-TD-GEN-0905/en</vt:lpwstr>
      </vt:variant>
      <vt:variant>
        <vt:lpwstr/>
      </vt:variant>
      <vt:variant>
        <vt:i4>6029340</vt:i4>
      </vt:variant>
      <vt:variant>
        <vt:i4>24</vt:i4>
      </vt:variant>
      <vt:variant>
        <vt:i4>0</vt:i4>
      </vt:variant>
      <vt:variant>
        <vt:i4>5</vt:i4>
      </vt:variant>
      <vt:variant>
        <vt:lpwstr>https://www.itu.int/md/T17-SG02-191204-TD-GEN-0895/en</vt:lpwstr>
      </vt:variant>
      <vt:variant>
        <vt:lpwstr/>
      </vt:variant>
      <vt:variant>
        <vt:i4>3735611</vt:i4>
      </vt:variant>
      <vt:variant>
        <vt:i4>21</vt:i4>
      </vt:variant>
      <vt:variant>
        <vt:i4>0</vt:i4>
      </vt:variant>
      <vt:variant>
        <vt:i4>5</vt:i4>
      </vt:variant>
      <vt:variant>
        <vt:lpwstr>https://www.itu.int/md/T17-SG02-191204-TD-GEN-0914</vt:lpwstr>
      </vt:variant>
      <vt:variant>
        <vt:lpwstr/>
      </vt:variant>
      <vt:variant>
        <vt:i4>5963805</vt:i4>
      </vt:variant>
      <vt:variant>
        <vt:i4>18</vt:i4>
      </vt:variant>
      <vt:variant>
        <vt:i4>0</vt:i4>
      </vt:variant>
      <vt:variant>
        <vt:i4>5</vt:i4>
      </vt:variant>
      <vt:variant>
        <vt:lpwstr>https://www.itu.int/md/T17-SG02-190219-TD-GEN-0681/en</vt:lpwstr>
      </vt:variant>
      <vt:variant>
        <vt:lpwstr/>
      </vt:variant>
      <vt:variant>
        <vt:i4>5898269</vt:i4>
      </vt:variant>
      <vt:variant>
        <vt:i4>15</vt:i4>
      </vt:variant>
      <vt:variant>
        <vt:i4>0</vt:i4>
      </vt:variant>
      <vt:variant>
        <vt:i4>5</vt:i4>
      </vt:variant>
      <vt:variant>
        <vt:lpwstr>https://www.itu.int/md/T17-SG02-190219-TD-GEN-0680/en</vt:lpwstr>
      </vt:variant>
      <vt:variant>
        <vt:lpwstr/>
      </vt:variant>
      <vt:variant>
        <vt:i4>3211325</vt:i4>
      </vt:variant>
      <vt:variant>
        <vt:i4>12</vt:i4>
      </vt:variant>
      <vt:variant>
        <vt:i4>0</vt:i4>
      </vt:variant>
      <vt:variant>
        <vt:i4>5</vt:i4>
      </vt:variant>
      <vt:variant>
        <vt:lpwstr>https://www.itu.int/md/T17-SG02-191204-TD-GEN-0772</vt:lpwstr>
      </vt:variant>
      <vt:variant>
        <vt:lpwstr/>
      </vt:variant>
      <vt:variant>
        <vt:i4>5242902</vt:i4>
      </vt:variant>
      <vt:variant>
        <vt:i4>9</vt:i4>
      </vt:variant>
      <vt:variant>
        <vt:i4>0</vt:i4>
      </vt:variant>
      <vt:variant>
        <vt:i4>5</vt:i4>
      </vt:variant>
      <vt:variant>
        <vt:lpwstr>https://www.itu.int/md/T17-SG02-191204-TD-GEN-0736/en</vt:lpwstr>
      </vt:variant>
      <vt:variant>
        <vt:lpwstr/>
      </vt:variant>
      <vt:variant>
        <vt:i4>3604581</vt:i4>
      </vt:variant>
      <vt:variant>
        <vt:i4>6</vt:i4>
      </vt:variant>
      <vt:variant>
        <vt:i4>0</vt:i4>
      </vt:variant>
      <vt:variant>
        <vt:i4>5</vt:i4>
      </vt:variant>
      <vt:variant>
        <vt:lpwstr>https://www.itu.int/md/T17-TSB-CIR-0154/en</vt:lpwstr>
      </vt:variant>
      <vt:variant>
        <vt:lpwstr/>
      </vt:variant>
      <vt:variant>
        <vt:i4>5701654</vt:i4>
      </vt:variant>
      <vt:variant>
        <vt:i4>3</vt:i4>
      </vt:variant>
      <vt:variant>
        <vt:i4>0</vt:i4>
      </vt:variant>
      <vt:variant>
        <vt:i4>5</vt:i4>
      </vt:variant>
      <vt:variant>
        <vt:lpwstr>https://www.itu.int/md/T17-SG02-R-0015/en</vt:lpwstr>
      </vt:variant>
      <vt:variant>
        <vt:lpwstr/>
      </vt:variant>
      <vt:variant>
        <vt:i4>4259884</vt:i4>
      </vt:variant>
      <vt:variant>
        <vt:i4>0</vt:i4>
      </vt:variant>
      <vt:variant>
        <vt:i4>0</vt:i4>
      </vt:variant>
      <vt:variant>
        <vt:i4>5</vt:i4>
      </vt:variant>
      <vt:variant>
        <vt:lpwstr>mailto:philrushton@rcc-uk.uk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ITU-T SG2 lead study group activities [to TSAG]</dc:title>
  <dc:subject/>
  <dc:creator>Chairman, ITU-T SG2</dc:creator>
  <cp:keywords>Numbering, Naming, Identifiers, Services, Routeing, Telecommunications Management, Fraud Management.</cp:keywords>
  <dc:description>SG2-LS176  For: Virtual, 18 December 2020_x000d_Document date: _x000d_Saved by ITU51014924 at 17:16:45 on 04.01.21</dc:description>
  <cp:lastModifiedBy>Al-Mnini, Lara</cp:lastModifiedBy>
  <cp:revision>3</cp:revision>
  <cp:lastPrinted>2016-12-23T12:52:00Z</cp:lastPrinted>
  <dcterms:created xsi:type="dcterms:W3CDTF">2021-01-09T09:42:00Z</dcterms:created>
  <dcterms:modified xsi:type="dcterms:W3CDTF">2021-01-09T09:43:00Z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SG2-LS176</vt:lpwstr>
  </property>
  <property fmtid="{D5CDD505-2E9C-101B-9397-08002B2CF9AE}" pid="3" name="Docdate">
    <vt:lpwstr/>
  </property>
  <property fmtid="{D5CDD505-2E9C-101B-9397-08002B2CF9AE}" pid="4" name="Docorlang">
    <vt:lpwstr/>
  </property>
  <property fmtid="{D5CDD505-2E9C-101B-9397-08002B2CF9AE}" pid="5" name="Docbluepink">
    <vt:lpwstr>All/2</vt:lpwstr>
  </property>
  <property fmtid="{D5CDD505-2E9C-101B-9397-08002B2CF9AE}" pid="6" name="Docdest">
    <vt:lpwstr>Virtual, 18 December 2020</vt:lpwstr>
  </property>
  <property fmtid="{D5CDD505-2E9C-101B-9397-08002B2CF9AE}" pid="7" name="Docauthor">
    <vt:lpwstr>Chairman, ITU-T SG2</vt:lpwstr>
  </property>
</Properties>
</file>