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4A0" w:firstRow="1" w:lastRow="0" w:firstColumn="1" w:lastColumn="0" w:noHBand="0" w:noVBand="1"/>
      </w:tblPr>
      <w:tblGrid>
        <w:gridCol w:w="1191"/>
        <w:gridCol w:w="359"/>
        <w:gridCol w:w="700"/>
        <w:gridCol w:w="3279"/>
        <w:gridCol w:w="765"/>
        <w:gridCol w:w="3629"/>
      </w:tblGrid>
      <w:tr w:rsidR="0072722A" w14:paraId="3D4DC4B6" w14:textId="77777777" w:rsidTr="002D344A">
        <w:trPr>
          <w:cantSplit/>
        </w:trPr>
        <w:tc>
          <w:tcPr>
            <w:tcW w:w="1191" w:type="dxa"/>
            <w:vMerge w:val="restart"/>
            <w:tcBorders>
              <w:top w:val="nil"/>
              <w:left w:val="nil"/>
              <w:bottom w:val="single" w:sz="12" w:space="0" w:color="auto"/>
              <w:right w:val="nil"/>
            </w:tcBorders>
            <w:hideMark/>
          </w:tcPr>
          <w:p w14:paraId="376C6B0B" w14:textId="6DEF73C4" w:rsidR="0072722A" w:rsidRDefault="0072722A">
            <w:pPr>
              <w:rPr>
                <w:b/>
                <w:bCs/>
                <w:sz w:val="26"/>
                <w:szCs w:val="20"/>
                <w:lang w:eastAsia="en-US"/>
              </w:rPr>
            </w:pPr>
            <w:bookmarkStart w:id="0" w:name="dnum" w:colFirst="2" w:colLast="2"/>
            <w:bookmarkStart w:id="1" w:name="dsg" w:colFirst="1" w:colLast="1"/>
            <w:bookmarkStart w:id="2" w:name="dtableau"/>
            <w:r>
              <w:rPr>
                <w:noProof/>
                <w:sz w:val="20"/>
                <w:lang w:val="en-US" w:eastAsia="en-US"/>
              </w:rPr>
              <w:drawing>
                <wp:inline distT="0" distB="0" distL="0" distR="0" wp14:anchorId="15DC1709" wp14:editId="47038AC5">
                  <wp:extent cx="657860" cy="831215"/>
                  <wp:effectExtent l="0" t="0" r="0" b="0"/>
                  <wp:docPr id="1" name="Picture 1" title="ITU logo"/>
                  <wp:cNvGraphicFramePr/>
                  <a:graphic xmlns:a="http://schemas.openxmlformats.org/drawingml/2006/main">
                    <a:graphicData uri="http://schemas.openxmlformats.org/drawingml/2006/picture">
                      <pic:pic xmlns:pic="http://schemas.openxmlformats.org/drawingml/2006/picture">
                        <pic:nvPicPr>
                          <pic:cNvPr id="1" name="Picture 1" title="ITU logo"/>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50875" cy="8312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4"/>
            <w:vMerge w:val="restart"/>
            <w:tcBorders>
              <w:top w:val="nil"/>
              <w:left w:val="nil"/>
              <w:bottom w:val="single" w:sz="12" w:space="0" w:color="auto"/>
              <w:right w:val="nil"/>
            </w:tcBorders>
            <w:hideMark/>
          </w:tcPr>
          <w:p w14:paraId="5553565E" w14:textId="77777777" w:rsidR="0072722A" w:rsidRDefault="0072722A">
            <w:pPr>
              <w:rPr>
                <w:sz w:val="20"/>
              </w:rPr>
            </w:pPr>
            <w:r>
              <w:rPr>
                <w:sz w:val="20"/>
              </w:rPr>
              <w:t>INTERNATIONAL TELECOMMUNICATION UNION</w:t>
            </w:r>
          </w:p>
          <w:p w14:paraId="79253806" w14:textId="77777777" w:rsidR="0072722A" w:rsidRDefault="0072722A">
            <w:pPr>
              <w:rPr>
                <w:b/>
                <w:bCs/>
                <w:sz w:val="26"/>
              </w:rPr>
            </w:pPr>
            <w:r>
              <w:rPr>
                <w:b/>
                <w:bCs/>
                <w:sz w:val="26"/>
              </w:rPr>
              <w:t>TELECOMMUNICATION STANDARDIZATION SECTOR</w:t>
            </w:r>
          </w:p>
          <w:p w14:paraId="23E34341" w14:textId="77777777" w:rsidR="0072722A" w:rsidRDefault="0072722A">
            <w:pPr>
              <w:rPr>
                <w:sz w:val="20"/>
              </w:rPr>
            </w:pPr>
            <w:r>
              <w:rPr>
                <w:sz w:val="20"/>
              </w:rPr>
              <w:t>STUDY PERIOD 2017-2020</w:t>
            </w:r>
          </w:p>
        </w:tc>
        <w:tc>
          <w:tcPr>
            <w:tcW w:w="3629" w:type="dxa"/>
            <w:hideMark/>
          </w:tcPr>
          <w:p w14:paraId="6097DEDE" w14:textId="77777777" w:rsidR="0072722A" w:rsidRDefault="0072722A">
            <w:pPr>
              <w:pStyle w:val="Docnumber"/>
              <w:rPr>
                <w:sz w:val="40"/>
              </w:rPr>
            </w:pPr>
            <w:r>
              <w:t>TSAG-TD1041</w:t>
            </w:r>
          </w:p>
        </w:tc>
      </w:tr>
      <w:tr w:rsidR="0072722A" w14:paraId="10E289DC" w14:textId="77777777" w:rsidTr="002D344A">
        <w:trPr>
          <w:cantSplit/>
          <w:trHeight w:val="461"/>
        </w:trPr>
        <w:tc>
          <w:tcPr>
            <w:tcW w:w="1191" w:type="dxa"/>
            <w:vMerge/>
            <w:tcBorders>
              <w:top w:val="nil"/>
              <w:left w:val="nil"/>
              <w:bottom w:val="single" w:sz="12" w:space="0" w:color="auto"/>
              <w:right w:val="nil"/>
            </w:tcBorders>
            <w:vAlign w:val="center"/>
            <w:hideMark/>
          </w:tcPr>
          <w:p w14:paraId="6B8060B1" w14:textId="77777777" w:rsidR="0072722A" w:rsidRDefault="0072722A">
            <w:pPr>
              <w:spacing w:before="0"/>
              <w:rPr>
                <w:b/>
                <w:bCs/>
                <w:sz w:val="26"/>
              </w:rPr>
            </w:pPr>
          </w:p>
        </w:tc>
        <w:tc>
          <w:tcPr>
            <w:tcW w:w="5103" w:type="dxa"/>
            <w:gridSpan w:val="4"/>
            <w:vMerge/>
            <w:tcBorders>
              <w:top w:val="nil"/>
              <w:left w:val="nil"/>
              <w:bottom w:val="single" w:sz="12" w:space="0" w:color="auto"/>
              <w:right w:val="nil"/>
            </w:tcBorders>
            <w:vAlign w:val="center"/>
            <w:hideMark/>
          </w:tcPr>
          <w:p w14:paraId="370A59B1" w14:textId="77777777" w:rsidR="0072722A" w:rsidRDefault="0072722A">
            <w:pPr>
              <w:spacing w:before="0"/>
              <w:rPr>
                <w:sz w:val="20"/>
              </w:rPr>
            </w:pPr>
          </w:p>
        </w:tc>
        <w:tc>
          <w:tcPr>
            <w:tcW w:w="3629" w:type="dxa"/>
            <w:hideMark/>
          </w:tcPr>
          <w:p w14:paraId="231FAAA7" w14:textId="77777777" w:rsidR="0072722A" w:rsidRDefault="0072722A">
            <w:pPr>
              <w:jc w:val="right"/>
              <w:rPr>
                <w:b/>
                <w:bCs/>
                <w:sz w:val="28"/>
              </w:rPr>
            </w:pPr>
            <w:r>
              <w:rPr>
                <w:b/>
                <w:bCs/>
                <w:sz w:val="28"/>
              </w:rPr>
              <w:t>TSAG</w:t>
            </w:r>
          </w:p>
        </w:tc>
      </w:tr>
      <w:tr w:rsidR="0072722A" w14:paraId="55488081" w14:textId="77777777" w:rsidTr="002D344A">
        <w:trPr>
          <w:cantSplit/>
          <w:trHeight w:val="379"/>
        </w:trPr>
        <w:tc>
          <w:tcPr>
            <w:tcW w:w="1191" w:type="dxa"/>
            <w:vMerge/>
            <w:tcBorders>
              <w:top w:val="nil"/>
              <w:left w:val="nil"/>
              <w:bottom w:val="single" w:sz="12" w:space="0" w:color="auto"/>
              <w:right w:val="nil"/>
            </w:tcBorders>
            <w:vAlign w:val="center"/>
            <w:hideMark/>
          </w:tcPr>
          <w:p w14:paraId="5DCF7172" w14:textId="77777777" w:rsidR="0072722A" w:rsidRDefault="0072722A">
            <w:pPr>
              <w:spacing w:before="0"/>
              <w:rPr>
                <w:b/>
                <w:bCs/>
                <w:sz w:val="26"/>
              </w:rPr>
            </w:pPr>
            <w:bookmarkStart w:id="3" w:name="dorlang" w:colFirst="4" w:colLast="4"/>
          </w:p>
        </w:tc>
        <w:tc>
          <w:tcPr>
            <w:tcW w:w="5103" w:type="dxa"/>
            <w:gridSpan w:val="4"/>
            <w:vMerge/>
            <w:tcBorders>
              <w:top w:val="nil"/>
              <w:left w:val="nil"/>
              <w:bottom w:val="single" w:sz="12" w:space="0" w:color="auto"/>
              <w:right w:val="nil"/>
            </w:tcBorders>
            <w:vAlign w:val="center"/>
            <w:hideMark/>
          </w:tcPr>
          <w:p w14:paraId="7A4008EA" w14:textId="77777777" w:rsidR="0072722A" w:rsidRDefault="0072722A">
            <w:pPr>
              <w:spacing w:before="0"/>
              <w:rPr>
                <w:sz w:val="20"/>
              </w:rPr>
            </w:pPr>
          </w:p>
        </w:tc>
        <w:tc>
          <w:tcPr>
            <w:tcW w:w="3629" w:type="dxa"/>
            <w:tcBorders>
              <w:top w:val="nil"/>
              <w:left w:val="nil"/>
              <w:bottom w:val="single" w:sz="12" w:space="0" w:color="auto"/>
              <w:right w:val="nil"/>
            </w:tcBorders>
            <w:hideMark/>
          </w:tcPr>
          <w:p w14:paraId="05A2E56F" w14:textId="77777777" w:rsidR="0072722A" w:rsidRDefault="0072722A">
            <w:pPr>
              <w:jc w:val="right"/>
              <w:rPr>
                <w:b/>
                <w:bCs/>
                <w:sz w:val="28"/>
              </w:rPr>
            </w:pPr>
            <w:r>
              <w:rPr>
                <w:b/>
                <w:bCs/>
                <w:sz w:val="28"/>
              </w:rPr>
              <w:t>Original: English</w:t>
            </w:r>
          </w:p>
        </w:tc>
      </w:tr>
      <w:bookmarkEnd w:id="3"/>
      <w:tr w:rsidR="0072722A" w14:paraId="3A202C11" w14:textId="77777777" w:rsidTr="002D344A">
        <w:trPr>
          <w:cantSplit/>
          <w:trHeight w:val="357"/>
        </w:trPr>
        <w:tc>
          <w:tcPr>
            <w:tcW w:w="1550" w:type="dxa"/>
            <w:gridSpan w:val="2"/>
            <w:hideMark/>
          </w:tcPr>
          <w:p w14:paraId="5976C302" w14:textId="77777777" w:rsidR="0072722A" w:rsidRDefault="0072722A" w:rsidP="002D344A">
            <w:pPr>
              <w:rPr>
                <w:b/>
                <w:bCs/>
              </w:rPr>
            </w:pPr>
            <w:r>
              <w:rPr>
                <w:b/>
                <w:bCs/>
              </w:rPr>
              <w:t>Question(s):</w:t>
            </w:r>
          </w:p>
        </w:tc>
        <w:tc>
          <w:tcPr>
            <w:tcW w:w="4744" w:type="dxa"/>
            <w:gridSpan w:val="3"/>
            <w:hideMark/>
          </w:tcPr>
          <w:p w14:paraId="3C23FE04" w14:textId="0D2B73AC" w:rsidR="0072722A" w:rsidRDefault="002D344A" w:rsidP="002D344A">
            <w:r>
              <w:t>N/A</w:t>
            </w:r>
          </w:p>
        </w:tc>
        <w:tc>
          <w:tcPr>
            <w:tcW w:w="3629" w:type="dxa"/>
            <w:hideMark/>
          </w:tcPr>
          <w:p w14:paraId="4BD4B492" w14:textId="77777777" w:rsidR="0072722A" w:rsidRDefault="0072722A" w:rsidP="002D344A">
            <w:pPr>
              <w:jc w:val="right"/>
            </w:pPr>
            <w:r>
              <w:t>E-Meeting, 25-29 October 2021</w:t>
            </w:r>
          </w:p>
        </w:tc>
      </w:tr>
      <w:tr w:rsidR="0072722A" w14:paraId="6F20B54A" w14:textId="77777777" w:rsidTr="002D344A">
        <w:trPr>
          <w:cantSplit/>
          <w:trHeight w:val="357"/>
        </w:trPr>
        <w:tc>
          <w:tcPr>
            <w:tcW w:w="9923" w:type="dxa"/>
            <w:gridSpan w:val="6"/>
            <w:hideMark/>
          </w:tcPr>
          <w:p w14:paraId="7F4758A5" w14:textId="5701392B" w:rsidR="0072722A" w:rsidRDefault="0072722A" w:rsidP="002D344A">
            <w:pPr>
              <w:jc w:val="center"/>
              <w:rPr>
                <w:b/>
                <w:bCs/>
              </w:rPr>
            </w:pPr>
            <w:r>
              <w:rPr>
                <w:b/>
                <w:bCs/>
              </w:rPr>
              <w:t>TD</w:t>
            </w:r>
            <w:r>
              <w:rPr>
                <w:b/>
                <w:bCs/>
              </w:rPr>
              <w:br/>
              <w:t>(Ref</w:t>
            </w:r>
            <w:r w:rsidR="002D344A">
              <w:rPr>
                <w:b/>
                <w:bCs/>
              </w:rPr>
              <w:t>.</w:t>
            </w:r>
            <w:r>
              <w:rPr>
                <w:b/>
                <w:bCs/>
              </w:rPr>
              <w:t xml:space="preserve">: </w:t>
            </w:r>
            <w:hyperlink r:id="rId13" w:tooltip="ITU-T ftp file restricted to TIES access only" w:history="1">
              <w:r>
                <w:rPr>
                  <w:rStyle w:val="Hyperlink"/>
                </w:rPr>
                <w:t>SG5-LS224</w:t>
              </w:r>
            </w:hyperlink>
            <w:r>
              <w:t>)</w:t>
            </w:r>
          </w:p>
        </w:tc>
      </w:tr>
      <w:tr w:rsidR="0072722A" w14:paraId="164B109A" w14:textId="77777777" w:rsidTr="002D344A">
        <w:trPr>
          <w:cantSplit/>
          <w:trHeight w:val="357"/>
        </w:trPr>
        <w:tc>
          <w:tcPr>
            <w:tcW w:w="1550" w:type="dxa"/>
            <w:gridSpan w:val="2"/>
            <w:hideMark/>
          </w:tcPr>
          <w:p w14:paraId="54D7C1C1" w14:textId="77777777" w:rsidR="0072722A" w:rsidRDefault="0072722A" w:rsidP="002D344A">
            <w:pPr>
              <w:rPr>
                <w:b/>
                <w:bCs/>
              </w:rPr>
            </w:pPr>
            <w:r>
              <w:rPr>
                <w:b/>
                <w:bCs/>
              </w:rPr>
              <w:t>Source:</w:t>
            </w:r>
          </w:p>
        </w:tc>
        <w:tc>
          <w:tcPr>
            <w:tcW w:w="8373" w:type="dxa"/>
            <w:gridSpan w:val="4"/>
            <w:hideMark/>
          </w:tcPr>
          <w:p w14:paraId="7430FC46" w14:textId="77777777" w:rsidR="0072722A" w:rsidRDefault="0072722A" w:rsidP="002D344A">
            <w:r>
              <w:t>ITU-T Study Group 5</w:t>
            </w:r>
          </w:p>
        </w:tc>
      </w:tr>
      <w:tr w:rsidR="0072722A" w14:paraId="206A1EA0" w14:textId="77777777" w:rsidTr="002D344A">
        <w:trPr>
          <w:cantSplit/>
          <w:trHeight w:val="357"/>
        </w:trPr>
        <w:tc>
          <w:tcPr>
            <w:tcW w:w="1550" w:type="dxa"/>
            <w:gridSpan w:val="2"/>
            <w:hideMark/>
          </w:tcPr>
          <w:p w14:paraId="58C8B17F" w14:textId="77777777" w:rsidR="0072722A" w:rsidRDefault="0072722A" w:rsidP="002D344A">
            <w:pPr>
              <w:rPr>
                <w:b/>
                <w:bCs/>
              </w:rPr>
            </w:pPr>
            <w:r>
              <w:rPr>
                <w:b/>
                <w:bCs/>
              </w:rPr>
              <w:t>Title:</w:t>
            </w:r>
          </w:p>
        </w:tc>
        <w:tc>
          <w:tcPr>
            <w:tcW w:w="8373" w:type="dxa"/>
            <w:gridSpan w:val="4"/>
            <w:hideMark/>
          </w:tcPr>
          <w:p w14:paraId="264E2EE7" w14:textId="502F69A3" w:rsidR="0072722A" w:rsidRDefault="004A2A82" w:rsidP="002D344A">
            <w:r w:rsidRPr="005621F0">
              <w:t>LS on ITU-T Study Group 5 Lead Study Group Report</w:t>
            </w:r>
            <w:r>
              <w:t xml:space="preserve"> [from ITU-T SG5]</w:t>
            </w:r>
          </w:p>
        </w:tc>
      </w:tr>
      <w:tr w:rsidR="0072722A" w14:paraId="20AE676F" w14:textId="77777777" w:rsidTr="002D344A">
        <w:trPr>
          <w:cantSplit/>
          <w:trHeight w:val="357"/>
        </w:trPr>
        <w:tc>
          <w:tcPr>
            <w:tcW w:w="1550" w:type="dxa"/>
            <w:gridSpan w:val="2"/>
            <w:hideMark/>
          </w:tcPr>
          <w:p w14:paraId="22259746" w14:textId="77777777" w:rsidR="0072722A" w:rsidRDefault="0072722A" w:rsidP="002D344A">
            <w:pPr>
              <w:rPr>
                <w:b/>
                <w:bCs/>
              </w:rPr>
            </w:pPr>
            <w:r>
              <w:rPr>
                <w:b/>
                <w:bCs/>
              </w:rPr>
              <w:t>Purpose:</w:t>
            </w:r>
          </w:p>
        </w:tc>
        <w:tc>
          <w:tcPr>
            <w:tcW w:w="8373" w:type="dxa"/>
            <w:gridSpan w:val="4"/>
          </w:tcPr>
          <w:p w14:paraId="17292648" w14:textId="0B750FEA" w:rsidR="0072722A" w:rsidRDefault="002D344A" w:rsidP="002D344A">
            <w:r>
              <w:t>Information</w:t>
            </w:r>
          </w:p>
        </w:tc>
      </w:tr>
      <w:tr w:rsidR="0072722A" w14:paraId="146DFE82" w14:textId="77777777" w:rsidTr="002D344A">
        <w:trPr>
          <w:cantSplit/>
          <w:trHeight w:val="357"/>
        </w:trPr>
        <w:tc>
          <w:tcPr>
            <w:tcW w:w="9923" w:type="dxa"/>
            <w:gridSpan w:val="6"/>
            <w:tcBorders>
              <w:top w:val="single" w:sz="12" w:space="0" w:color="auto"/>
              <w:left w:val="nil"/>
              <w:bottom w:val="nil"/>
              <w:right w:val="nil"/>
            </w:tcBorders>
            <w:hideMark/>
          </w:tcPr>
          <w:p w14:paraId="5DC2C78B" w14:textId="77777777" w:rsidR="0072722A" w:rsidRDefault="0072722A" w:rsidP="002D344A">
            <w:pPr>
              <w:jc w:val="center"/>
              <w:rPr>
                <w:b/>
              </w:rPr>
            </w:pPr>
            <w:r>
              <w:rPr>
                <w:b/>
              </w:rPr>
              <w:t>LIAISON STATEMENT</w:t>
            </w:r>
          </w:p>
        </w:tc>
      </w:tr>
      <w:tr w:rsidR="0072722A" w14:paraId="1491E846" w14:textId="77777777" w:rsidTr="002D344A">
        <w:trPr>
          <w:cantSplit/>
          <w:trHeight w:val="357"/>
        </w:trPr>
        <w:tc>
          <w:tcPr>
            <w:tcW w:w="2250" w:type="dxa"/>
            <w:gridSpan w:val="3"/>
            <w:hideMark/>
          </w:tcPr>
          <w:p w14:paraId="5AC980FD" w14:textId="77777777" w:rsidR="0072722A" w:rsidRDefault="0072722A" w:rsidP="002D344A">
            <w:pPr>
              <w:rPr>
                <w:b/>
                <w:bCs/>
              </w:rPr>
            </w:pPr>
            <w:r>
              <w:rPr>
                <w:b/>
                <w:bCs/>
              </w:rPr>
              <w:t>For action to:</w:t>
            </w:r>
          </w:p>
        </w:tc>
        <w:tc>
          <w:tcPr>
            <w:tcW w:w="7673" w:type="dxa"/>
            <w:gridSpan w:val="3"/>
            <w:hideMark/>
          </w:tcPr>
          <w:p w14:paraId="7F6659D9" w14:textId="77777777" w:rsidR="0072722A" w:rsidRDefault="0072722A" w:rsidP="002D344A">
            <w:r>
              <w:t>-</w:t>
            </w:r>
          </w:p>
        </w:tc>
      </w:tr>
      <w:tr w:rsidR="0072722A" w14:paraId="31B27632" w14:textId="77777777" w:rsidTr="002D344A">
        <w:trPr>
          <w:cantSplit/>
          <w:trHeight w:val="357"/>
        </w:trPr>
        <w:tc>
          <w:tcPr>
            <w:tcW w:w="2250" w:type="dxa"/>
            <w:gridSpan w:val="3"/>
            <w:hideMark/>
          </w:tcPr>
          <w:p w14:paraId="3C888472" w14:textId="77777777" w:rsidR="0072722A" w:rsidRDefault="0072722A" w:rsidP="002D344A">
            <w:pPr>
              <w:rPr>
                <w:b/>
                <w:bCs/>
              </w:rPr>
            </w:pPr>
            <w:r>
              <w:rPr>
                <w:b/>
                <w:bCs/>
              </w:rPr>
              <w:t>For comment to:</w:t>
            </w:r>
          </w:p>
        </w:tc>
        <w:tc>
          <w:tcPr>
            <w:tcW w:w="7673" w:type="dxa"/>
            <w:gridSpan w:val="3"/>
            <w:hideMark/>
          </w:tcPr>
          <w:p w14:paraId="5C4DDA09" w14:textId="77777777" w:rsidR="0072722A" w:rsidRDefault="0072722A" w:rsidP="002D344A">
            <w:r>
              <w:t>-</w:t>
            </w:r>
          </w:p>
        </w:tc>
      </w:tr>
      <w:tr w:rsidR="0072722A" w14:paraId="43B28361" w14:textId="77777777" w:rsidTr="002D344A">
        <w:trPr>
          <w:cantSplit/>
          <w:trHeight w:val="357"/>
        </w:trPr>
        <w:tc>
          <w:tcPr>
            <w:tcW w:w="2250" w:type="dxa"/>
            <w:gridSpan w:val="3"/>
            <w:hideMark/>
          </w:tcPr>
          <w:p w14:paraId="266D175C" w14:textId="77777777" w:rsidR="0072722A" w:rsidRDefault="0072722A" w:rsidP="002D344A">
            <w:pPr>
              <w:rPr>
                <w:b/>
                <w:bCs/>
              </w:rPr>
            </w:pPr>
            <w:r>
              <w:rPr>
                <w:b/>
                <w:bCs/>
              </w:rPr>
              <w:t>For information to:</w:t>
            </w:r>
          </w:p>
        </w:tc>
        <w:tc>
          <w:tcPr>
            <w:tcW w:w="7673" w:type="dxa"/>
            <w:gridSpan w:val="3"/>
            <w:hideMark/>
          </w:tcPr>
          <w:p w14:paraId="4225EAEE" w14:textId="77777777" w:rsidR="0072722A" w:rsidRDefault="0072722A" w:rsidP="002D344A">
            <w:r>
              <w:t>TSAG</w:t>
            </w:r>
          </w:p>
        </w:tc>
      </w:tr>
      <w:tr w:rsidR="0072722A" w14:paraId="6E6CCB32" w14:textId="77777777" w:rsidTr="002D344A">
        <w:trPr>
          <w:cantSplit/>
          <w:trHeight w:val="357"/>
        </w:trPr>
        <w:tc>
          <w:tcPr>
            <w:tcW w:w="2250" w:type="dxa"/>
            <w:gridSpan w:val="3"/>
            <w:hideMark/>
          </w:tcPr>
          <w:p w14:paraId="3266EEB0" w14:textId="77777777" w:rsidR="0072722A" w:rsidRDefault="0072722A" w:rsidP="002D344A">
            <w:pPr>
              <w:rPr>
                <w:b/>
                <w:bCs/>
              </w:rPr>
            </w:pPr>
            <w:r>
              <w:rPr>
                <w:b/>
                <w:bCs/>
              </w:rPr>
              <w:t>Approval:</w:t>
            </w:r>
          </w:p>
        </w:tc>
        <w:tc>
          <w:tcPr>
            <w:tcW w:w="7673" w:type="dxa"/>
            <w:gridSpan w:val="3"/>
            <w:hideMark/>
          </w:tcPr>
          <w:p w14:paraId="31DFB699" w14:textId="77777777" w:rsidR="0072722A" w:rsidRDefault="0072722A" w:rsidP="002D344A">
            <w:r>
              <w:t xml:space="preserve">ITU-T Study Group 5 management team (18 October 2021 by </w:t>
            </w:r>
            <w:bookmarkStart w:id="4" w:name="_GoBack"/>
            <w:bookmarkEnd w:id="4"/>
            <w:r>
              <w:t>correspondence)</w:t>
            </w:r>
          </w:p>
        </w:tc>
      </w:tr>
      <w:tr w:rsidR="0072722A" w14:paraId="37386FBE" w14:textId="77777777" w:rsidTr="002D344A">
        <w:trPr>
          <w:cantSplit/>
          <w:trHeight w:val="357"/>
        </w:trPr>
        <w:tc>
          <w:tcPr>
            <w:tcW w:w="2250" w:type="dxa"/>
            <w:gridSpan w:val="3"/>
            <w:tcBorders>
              <w:top w:val="nil"/>
              <w:left w:val="nil"/>
              <w:bottom w:val="single" w:sz="12" w:space="0" w:color="auto"/>
              <w:right w:val="nil"/>
            </w:tcBorders>
            <w:hideMark/>
          </w:tcPr>
          <w:p w14:paraId="5EBC1F2B" w14:textId="77777777" w:rsidR="0072722A" w:rsidRDefault="0072722A" w:rsidP="002D344A">
            <w:r>
              <w:rPr>
                <w:b/>
              </w:rPr>
              <w:t>Deadline:</w:t>
            </w:r>
          </w:p>
        </w:tc>
        <w:tc>
          <w:tcPr>
            <w:tcW w:w="7673" w:type="dxa"/>
            <w:gridSpan w:val="3"/>
            <w:tcBorders>
              <w:top w:val="nil"/>
              <w:left w:val="nil"/>
              <w:bottom w:val="single" w:sz="12" w:space="0" w:color="auto"/>
              <w:right w:val="nil"/>
            </w:tcBorders>
            <w:hideMark/>
          </w:tcPr>
          <w:p w14:paraId="7204A4F0" w14:textId="77777777" w:rsidR="0072722A" w:rsidRDefault="0072722A" w:rsidP="002D344A">
            <w:r>
              <w:t>N/A</w:t>
            </w:r>
          </w:p>
        </w:tc>
      </w:tr>
      <w:tr w:rsidR="0072722A" w:rsidRPr="0090410C" w14:paraId="6CD588A8" w14:textId="77777777" w:rsidTr="002D344A">
        <w:trPr>
          <w:trHeight w:val="204"/>
        </w:trPr>
        <w:tc>
          <w:tcPr>
            <w:tcW w:w="2250" w:type="dxa"/>
            <w:gridSpan w:val="3"/>
            <w:tcBorders>
              <w:top w:val="nil"/>
              <w:left w:val="nil"/>
              <w:bottom w:val="single" w:sz="12" w:space="0" w:color="auto"/>
              <w:right w:val="nil"/>
            </w:tcBorders>
            <w:hideMark/>
          </w:tcPr>
          <w:p w14:paraId="0B239CE0" w14:textId="77777777" w:rsidR="0072722A" w:rsidRDefault="0072722A" w:rsidP="002D344A">
            <w:pPr>
              <w:rPr>
                <w:b/>
                <w:bCs/>
              </w:rPr>
            </w:pPr>
            <w:r>
              <w:rPr>
                <w:b/>
                <w:bCs/>
              </w:rPr>
              <w:t>Contact:</w:t>
            </w:r>
          </w:p>
        </w:tc>
        <w:tc>
          <w:tcPr>
            <w:tcW w:w="3279" w:type="dxa"/>
            <w:tcBorders>
              <w:top w:val="nil"/>
              <w:left w:val="nil"/>
              <w:bottom w:val="single" w:sz="12" w:space="0" w:color="auto"/>
              <w:right w:val="nil"/>
            </w:tcBorders>
            <w:hideMark/>
          </w:tcPr>
          <w:p w14:paraId="7045F079" w14:textId="77777777" w:rsidR="0072722A" w:rsidRDefault="0072722A" w:rsidP="002D344A">
            <w:pPr>
              <w:rPr>
                <w:szCs w:val="20"/>
              </w:rPr>
            </w:pPr>
            <w:proofErr w:type="spellStart"/>
            <w:r>
              <w:t>Shuguang</w:t>
            </w:r>
            <w:proofErr w:type="spellEnd"/>
            <w:r>
              <w:t xml:space="preserve"> Qi </w:t>
            </w:r>
            <w:r>
              <w:br/>
              <w:t>Acting Chairman ITU-T SG5</w:t>
            </w:r>
          </w:p>
        </w:tc>
        <w:tc>
          <w:tcPr>
            <w:tcW w:w="4394" w:type="dxa"/>
            <w:gridSpan w:val="2"/>
            <w:tcBorders>
              <w:top w:val="nil"/>
              <w:left w:val="nil"/>
              <w:bottom w:val="single" w:sz="12" w:space="0" w:color="auto"/>
              <w:right w:val="nil"/>
            </w:tcBorders>
            <w:hideMark/>
          </w:tcPr>
          <w:p w14:paraId="46274D84" w14:textId="127BACB0" w:rsidR="0072722A" w:rsidRPr="0090410C" w:rsidRDefault="0072722A" w:rsidP="002D344A">
            <w:pPr>
              <w:rPr>
                <w:lang w:val="fr-CH"/>
              </w:rPr>
            </w:pPr>
            <w:r w:rsidRPr="0090410C">
              <w:rPr>
                <w:lang w:val="fr-CH"/>
              </w:rPr>
              <w:t xml:space="preserve">Tel: </w:t>
            </w:r>
            <w:r w:rsidRPr="0090410C">
              <w:rPr>
                <w:lang w:val="fr-CH"/>
              </w:rPr>
              <w:tab/>
              <w:t>+86 10 82053589-8858</w:t>
            </w:r>
            <w:r w:rsidRPr="0090410C">
              <w:rPr>
                <w:lang w:val="fr-CH"/>
              </w:rPr>
              <w:br/>
              <w:t xml:space="preserve">E-mail: </w:t>
            </w:r>
            <w:hyperlink r:id="rId14" w:history="1">
              <w:r w:rsidR="002D344A" w:rsidRPr="00845F9B">
                <w:rPr>
                  <w:rStyle w:val="Hyperlink"/>
                  <w:lang w:val="fr-CH"/>
                </w:rPr>
                <w:t>qishuguang@caict.ac.cn</w:t>
              </w:r>
            </w:hyperlink>
            <w:r w:rsidR="002D344A">
              <w:rPr>
                <w:lang w:val="fr-CH"/>
              </w:rPr>
              <w:t xml:space="preserve"> </w:t>
            </w:r>
          </w:p>
        </w:tc>
      </w:tr>
      <w:tr w:rsidR="0072722A" w:rsidRPr="0090410C" w14:paraId="6ED3C421" w14:textId="77777777" w:rsidTr="002D344A">
        <w:trPr>
          <w:trHeight w:val="204"/>
        </w:trPr>
        <w:tc>
          <w:tcPr>
            <w:tcW w:w="2250" w:type="dxa"/>
            <w:gridSpan w:val="3"/>
            <w:tcBorders>
              <w:top w:val="nil"/>
              <w:left w:val="nil"/>
              <w:bottom w:val="single" w:sz="12" w:space="0" w:color="auto"/>
              <w:right w:val="nil"/>
            </w:tcBorders>
            <w:hideMark/>
          </w:tcPr>
          <w:p w14:paraId="56E88EB7" w14:textId="77777777" w:rsidR="0072722A" w:rsidRDefault="0072722A" w:rsidP="002D344A">
            <w:pPr>
              <w:rPr>
                <w:b/>
                <w:bCs/>
              </w:rPr>
            </w:pPr>
            <w:r>
              <w:rPr>
                <w:b/>
                <w:bCs/>
              </w:rPr>
              <w:t>Contact:</w:t>
            </w:r>
          </w:p>
        </w:tc>
        <w:tc>
          <w:tcPr>
            <w:tcW w:w="3279" w:type="dxa"/>
            <w:tcBorders>
              <w:top w:val="nil"/>
              <w:left w:val="nil"/>
              <w:bottom w:val="single" w:sz="12" w:space="0" w:color="auto"/>
              <w:right w:val="nil"/>
            </w:tcBorders>
            <w:hideMark/>
          </w:tcPr>
          <w:p w14:paraId="32B7DBB9" w14:textId="77777777" w:rsidR="0072722A" w:rsidRDefault="0072722A" w:rsidP="002D344A">
            <w:pPr>
              <w:rPr>
                <w:szCs w:val="20"/>
              </w:rPr>
            </w:pPr>
            <w:r>
              <w:t xml:space="preserve">Fryderyk </w:t>
            </w:r>
            <w:proofErr w:type="spellStart"/>
            <w:r>
              <w:t>Lewicki</w:t>
            </w:r>
            <w:proofErr w:type="spellEnd"/>
            <w:r>
              <w:br/>
              <w:t>Chairman of WP1/5</w:t>
            </w:r>
          </w:p>
        </w:tc>
        <w:tc>
          <w:tcPr>
            <w:tcW w:w="4394" w:type="dxa"/>
            <w:gridSpan w:val="2"/>
            <w:tcBorders>
              <w:top w:val="nil"/>
              <w:left w:val="nil"/>
              <w:bottom w:val="single" w:sz="12" w:space="0" w:color="auto"/>
              <w:right w:val="nil"/>
            </w:tcBorders>
            <w:hideMark/>
          </w:tcPr>
          <w:p w14:paraId="5275087F" w14:textId="6F89DCBD" w:rsidR="0072722A" w:rsidRPr="0090410C" w:rsidRDefault="0072722A" w:rsidP="002D344A">
            <w:pPr>
              <w:rPr>
                <w:lang w:val="fr-CH"/>
              </w:rPr>
            </w:pPr>
            <w:r w:rsidRPr="0090410C">
              <w:rPr>
                <w:lang w:val="fr-CH"/>
              </w:rPr>
              <w:t xml:space="preserve">Tel: </w:t>
            </w:r>
            <w:r w:rsidRPr="0090410C">
              <w:rPr>
                <w:lang w:val="fr-CH"/>
              </w:rPr>
              <w:tab/>
              <w:t>+48 71 321 09 24</w:t>
            </w:r>
            <w:r w:rsidRPr="0090410C">
              <w:rPr>
                <w:lang w:val="fr-CH"/>
              </w:rPr>
              <w:br/>
              <w:t xml:space="preserve">E-mail: </w:t>
            </w:r>
            <w:hyperlink r:id="rId15" w:history="1">
              <w:r w:rsidR="002D344A" w:rsidRPr="00845F9B">
                <w:rPr>
                  <w:rStyle w:val="Hyperlink"/>
                  <w:lang w:val="fr-CH"/>
                </w:rPr>
                <w:t>fryderyk.lewicki@orange.com</w:t>
              </w:r>
            </w:hyperlink>
            <w:r w:rsidR="002D344A">
              <w:rPr>
                <w:lang w:val="fr-CH"/>
              </w:rPr>
              <w:t xml:space="preserve"> </w:t>
            </w:r>
          </w:p>
        </w:tc>
      </w:tr>
      <w:tr w:rsidR="0072722A" w14:paraId="78BE2B04" w14:textId="77777777" w:rsidTr="002D344A">
        <w:trPr>
          <w:trHeight w:val="204"/>
        </w:trPr>
        <w:tc>
          <w:tcPr>
            <w:tcW w:w="2250" w:type="dxa"/>
            <w:gridSpan w:val="3"/>
            <w:tcBorders>
              <w:top w:val="nil"/>
              <w:left w:val="nil"/>
              <w:bottom w:val="single" w:sz="12" w:space="0" w:color="auto"/>
              <w:right w:val="nil"/>
            </w:tcBorders>
            <w:hideMark/>
          </w:tcPr>
          <w:p w14:paraId="4D181794" w14:textId="77777777" w:rsidR="0072722A" w:rsidRDefault="0072722A" w:rsidP="002D344A">
            <w:pPr>
              <w:rPr>
                <w:b/>
                <w:bCs/>
              </w:rPr>
            </w:pPr>
            <w:r>
              <w:rPr>
                <w:b/>
                <w:bCs/>
              </w:rPr>
              <w:t>Contact:</w:t>
            </w:r>
          </w:p>
        </w:tc>
        <w:tc>
          <w:tcPr>
            <w:tcW w:w="3279" w:type="dxa"/>
            <w:tcBorders>
              <w:top w:val="nil"/>
              <w:left w:val="nil"/>
              <w:bottom w:val="single" w:sz="12" w:space="0" w:color="auto"/>
              <w:right w:val="nil"/>
            </w:tcBorders>
            <w:hideMark/>
          </w:tcPr>
          <w:p w14:paraId="304D70B1" w14:textId="77777777" w:rsidR="0072722A" w:rsidRDefault="0072722A" w:rsidP="002D344A">
            <w:pPr>
              <w:rPr>
                <w:szCs w:val="20"/>
              </w:rPr>
            </w:pPr>
            <w:r>
              <w:t>Paolo Gemma</w:t>
            </w:r>
            <w:r>
              <w:br/>
              <w:t>Chairman of WP2/5</w:t>
            </w:r>
          </w:p>
        </w:tc>
        <w:tc>
          <w:tcPr>
            <w:tcW w:w="4394" w:type="dxa"/>
            <w:gridSpan w:val="2"/>
            <w:tcBorders>
              <w:top w:val="nil"/>
              <w:left w:val="nil"/>
              <w:bottom w:val="single" w:sz="12" w:space="0" w:color="auto"/>
              <w:right w:val="nil"/>
            </w:tcBorders>
            <w:hideMark/>
          </w:tcPr>
          <w:p w14:paraId="25E90DAB" w14:textId="52BE0311" w:rsidR="0072722A" w:rsidRDefault="0072722A" w:rsidP="002D344A">
            <w:r>
              <w:t xml:space="preserve">Tel: </w:t>
            </w:r>
            <w:r>
              <w:tab/>
              <w:t>+39 02 3999 4947</w:t>
            </w:r>
            <w:r>
              <w:br/>
              <w:t>Fax:</w:t>
            </w:r>
            <w:r>
              <w:tab/>
              <w:t>+39 01119743499</w:t>
            </w:r>
            <w:r>
              <w:br/>
              <w:t xml:space="preserve">Email: </w:t>
            </w:r>
            <w:hyperlink r:id="rId16" w:history="1">
              <w:r w:rsidR="002D344A" w:rsidRPr="00845F9B">
                <w:rPr>
                  <w:rStyle w:val="Hyperlink"/>
                </w:rPr>
                <w:t>paolo.gemma@huawei.com</w:t>
              </w:r>
            </w:hyperlink>
            <w:r w:rsidR="002D344A">
              <w:t xml:space="preserve"> </w:t>
            </w:r>
          </w:p>
        </w:tc>
      </w:tr>
    </w:tbl>
    <w:p w14:paraId="328526C0" w14:textId="77777777" w:rsidR="0072722A" w:rsidRDefault="0072722A" w:rsidP="0072722A">
      <w:pPr>
        <w:rPr>
          <w:szCs w:val="20"/>
        </w:rPr>
      </w:pPr>
    </w:p>
    <w:p w14:paraId="392C559D" w14:textId="77777777" w:rsidR="0072722A" w:rsidRDefault="0072722A" w:rsidP="0072722A">
      <w:r>
        <w:t>A new liaison statement has been received from SG5.</w:t>
      </w:r>
    </w:p>
    <w:p w14:paraId="74DD34E9" w14:textId="77777777" w:rsidR="0072722A" w:rsidRDefault="0072722A" w:rsidP="0072722A">
      <w:r>
        <w:t xml:space="preserve">This liaison statement follows and the original file can be downloaded from the ITU ftp server at </w:t>
      </w:r>
      <w:hyperlink r:id="rId17" w:tooltip="ITU-T ftp file restricted to TIES access only" w:history="1">
        <w:r>
          <w:rPr>
            <w:rStyle w:val="Hyperlink"/>
          </w:rPr>
          <w:t>http://handle.itu.int/11.1002/ls/sp16-sg5-oLS-00224.docx</w:t>
        </w:r>
      </w:hyperlink>
      <w:r>
        <w:t>.</w:t>
      </w:r>
    </w:p>
    <w:p w14:paraId="6543B66B" w14:textId="77777777" w:rsidR="0072722A" w:rsidRDefault="0072722A" w:rsidP="0072722A">
      <w:pPr>
        <w:spacing w:before="0"/>
        <w:jc w:val="center"/>
        <w:rPr>
          <w:szCs w:val="20"/>
        </w:rPr>
      </w:pPr>
    </w:p>
    <w:p w14:paraId="368F83FB" w14:textId="77777777" w:rsidR="0072722A" w:rsidRDefault="0072722A" w:rsidP="0072722A">
      <w:pPr>
        <w:jc w:val="right"/>
      </w:pPr>
      <w:r>
        <w:br w:type="page"/>
      </w:r>
    </w:p>
    <w:tbl>
      <w:tblPr>
        <w:tblW w:w="9923" w:type="dxa"/>
        <w:tblLayout w:type="fixed"/>
        <w:tblCellMar>
          <w:left w:w="57" w:type="dxa"/>
          <w:right w:w="57" w:type="dxa"/>
        </w:tblCellMar>
        <w:tblLook w:val="04A0" w:firstRow="1" w:lastRow="0" w:firstColumn="1" w:lastColumn="0" w:noHBand="0" w:noVBand="1"/>
      </w:tblPr>
      <w:tblGrid>
        <w:gridCol w:w="1191"/>
        <w:gridCol w:w="416"/>
        <w:gridCol w:w="10"/>
        <w:gridCol w:w="510"/>
        <w:gridCol w:w="3115"/>
        <w:gridCol w:w="145"/>
        <w:gridCol w:w="4536"/>
      </w:tblGrid>
      <w:tr w:rsidR="00B0022E" w:rsidRPr="00052697" w14:paraId="3D85481A" w14:textId="77777777">
        <w:trPr>
          <w:cantSplit/>
        </w:trPr>
        <w:tc>
          <w:tcPr>
            <w:tcW w:w="1191" w:type="dxa"/>
            <w:vMerge w:val="restart"/>
          </w:tcPr>
          <w:p w14:paraId="08FF7AEC" w14:textId="106CBCB1" w:rsidR="00B0022E" w:rsidRPr="00055F0A" w:rsidRDefault="00B17993">
            <w:pPr>
              <w:rPr>
                <w:sz w:val="20"/>
                <w:szCs w:val="20"/>
              </w:rPr>
            </w:pPr>
            <w:r>
              <w:rPr>
                <w:noProof/>
                <w:sz w:val="20"/>
                <w:szCs w:val="20"/>
                <w:lang w:val="en-US" w:eastAsia="en-US"/>
              </w:rPr>
              <w:lastRenderedPageBreak/>
              <w:drawing>
                <wp:inline distT="0" distB="0" distL="0" distR="0" wp14:anchorId="7DA0E066" wp14:editId="01BC8876">
                  <wp:extent cx="643894" cy="838200"/>
                  <wp:effectExtent l="0" t="0" r="0" b="0"/>
                  <wp:docPr id="2"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title="ITU logo"/>
                          <pic:cNvPicPr>
                            <a:picLocks noChangeAspect="1" noChangeArrowheads="1"/>
                          </pic:cNvPicPr>
                        </pic:nvPicPr>
                        <pic:blipFill>
                          <a:blip r:embed="rId12" cstate="print"/>
                          <a:srcRect t="-1" b="-12987"/>
                          <a:stretch>
                            <a:fillRect/>
                          </a:stretch>
                        </pic:blipFill>
                        <pic:spPr>
                          <a:xfrm>
                            <a:off x="0" y="0"/>
                            <a:ext cx="643890" cy="838200"/>
                          </a:xfrm>
                          <a:prstGeom prst="rect">
                            <a:avLst/>
                          </a:prstGeom>
                          <a:noFill/>
                          <a:ln>
                            <a:noFill/>
                          </a:ln>
                        </pic:spPr>
                      </pic:pic>
                    </a:graphicData>
                  </a:graphic>
                </wp:inline>
              </w:drawing>
            </w:r>
          </w:p>
        </w:tc>
        <w:tc>
          <w:tcPr>
            <w:tcW w:w="4051" w:type="dxa"/>
            <w:gridSpan w:val="4"/>
            <w:vMerge w:val="restart"/>
          </w:tcPr>
          <w:p w14:paraId="4C1B55DF" w14:textId="77777777" w:rsidR="00B0022E" w:rsidRPr="00055F0A" w:rsidRDefault="00D12115">
            <w:pPr>
              <w:rPr>
                <w:sz w:val="16"/>
                <w:szCs w:val="16"/>
              </w:rPr>
            </w:pPr>
            <w:r w:rsidRPr="00055F0A">
              <w:rPr>
                <w:sz w:val="16"/>
                <w:szCs w:val="16"/>
              </w:rPr>
              <w:t>INTERNATIONAL TELECOMMUNICATION UNION</w:t>
            </w:r>
          </w:p>
          <w:p w14:paraId="4FBA374F" w14:textId="77777777" w:rsidR="00B0022E" w:rsidRPr="00055F0A" w:rsidRDefault="00D12115">
            <w:pPr>
              <w:rPr>
                <w:b/>
                <w:bCs/>
                <w:sz w:val="26"/>
                <w:szCs w:val="26"/>
              </w:rPr>
            </w:pPr>
            <w:r w:rsidRPr="00055F0A">
              <w:rPr>
                <w:b/>
                <w:bCs/>
                <w:sz w:val="26"/>
                <w:szCs w:val="26"/>
              </w:rPr>
              <w:t>TELECOMMUNICATION</w:t>
            </w:r>
            <w:r w:rsidRPr="00055F0A">
              <w:rPr>
                <w:b/>
                <w:bCs/>
                <w:sz w:val="26"/>
                <w:szCs w:val="26"/>
              </w:rPr>
              <w:br/>
              <w:t>STANDARDIZATION SECTOR</w:t>
            </w:r>
          </w:p>
          <w:p w14:paraId="35E8AFBC" w14:textId="77777777" w:rsidR="00B0022E" w:rsidRPr="00055F0A" w:rsidRDefault="00D12115">
            <w:pPr>
              <w:rPr>
                <w:sz w:val="20"/>
                <w:szCs w:val="20"/>
              </w:rPr>
            </w:pPr>
            <w:r w:rsidRPr="00055F0A">
              <w:rPr>
                <w:sz w:val="20"/>
                <w:szCs w:val="20"/>
              </w:rPr>
              <w:t xml:space="preserve">STUDY PERIOD </w:t>
            </w:r>
            <w:bookmarkStart w:id="5" w:name="dstudyperiod"/>
            <w:r w:rsidRPr="00055F0A">
              <w:rPr>
                <w:sz w:val="20"/>
                <w:szCs w:val="20"/>
              </w:rPr>
              <w:t>2017-2020</w:t>
            </w:r>
            <w:bookmarkEnd w:id="5"/>
          </w:p>
        </w:tc>
        <w:tc>
          <w:tcPr>
            <w:tcW w:w="4681" w:type="dxa"/>
            <w:gridSpan w:val="2"/>
            <w:vAlign w:val="center"/>
          </w:tcPr>
          <w:p w14:paraId="3AAA9790" w14:textId="63BBC936" w:rsidR="00B0022E" w:rsidRPr="00052697" w:rsidRDefault="00D12115" w:rsidP="00752B04">
            <w:pPr>
              <w:jc w:val="right"/>
              <w:rPr>
                <w:b/>
                <w:sz w:val="28"/>
              </w:rPr>
            </w:pPr>
            <w:r w:rsidRPr="00052697">
              <w:rPr>
                <w:b/>
                <w:sz w:val="32"/>
              </w:rPr>
              <w:t>SG5-</w:t>
            </w:r>
            <w:r w:rsidR="00524802" w:rsidRPr="00052697">
              <w:rPr>
                <w:b/>
                <w:sz w:val="32"/>
              </w:rPr>
              <w:t>LS</w:t>
            </w:r>
            <w:r w:rsidR="00524802">
              <w:rPr>
                <w:b/>
                <w:sz w:val="32"/>
              </w:rPr>
              <w:t>224</w:t>
            </w:r>
          </w:p>
        </w:tc>
      </w:tr>
      <w:bookmarkEnd w:id="0"/>
      <w:tr w:rsidR="00B0022E" w:rsidRPr="00055F0A" w14:paraId="7E27F15E" w14:textId="77777777">
        <w:trPr>
          <w:cantSplit/>
        </w:trPr>
        <w:tc>
          <w:tcPr>
            <w:tcW w:w="1191" w:type="dxa"/>
            <w:vMerge/>
          </w:tcPr>
          <w:p w14:paraId="3D2BF0A7" w14:textId="77777777" w:rsidR="00B0022E" w:rsidRPr="00055F0A" w:rsidRDefault="00B0022E">
            <w:pPr>
              <w:rPr>
                <w:smallCaps/>
                <w:sz w:val="20"/>
              </w:rPr>
            </w:pPr>
          </w:p>
        </w:tc>
        <w:tc>
          <w:tcPr>
            <w:tcW w:w="4051" w:type="dxa"/>
            <w:gridSpan w:val="4"/>
            <w:vMerge/>
          </w:tcPr>
          <w:p w14:paraId="59BBFD06" w14:textId="77777777" w:rsidR="00B0022E" w:rsidRPr="00055F0A" w:rsidRDefault="00B0022E">
            <w:pPr>
              <w:rPr>
                <w:smallCaps/>
                <w:sz w:val="20"/>
              </w:rPr>
            </w:pPr>
          </w:p>
        </w:tc>
        <w:tc>
          <w:tcPr>
            <w:tcW w:w="4681" w:type="dxa"/>
            <w:gridSpan w:val="2"/>
          </w:tcPr>
          <w:p w14:paraId="1BE6BE87" w14:textId="77777777" w:rsidR="00B0022E" w:rsidRPr="00055F0A" w:rsidRDefault="00D12115">
            <w:pPr>
              <w:jc w:val="right"/>
              <w:rPr>
                <w:b/>
                <w:bCs/>
                <w:smallCaps/>
                <w:sz w:val="28"/>
                <w:szCs w:val="28"/>
              </w:rPr>
            </w:pPr>
            <w:r w:rsidRPr="00055F0A">
              <w:rPr>
                <w:b/>
                <w:bCs/>
                <w:smallCaps/>
                <w:sz w:val="28"/>
                <w:szCs w:val="28"/>
              </w:rPr>
              <w:t>STUDY GROUP 5</w:t>
            </w:r>
          </w:p>
        </w:tc>
      </w:tr>
      <w:tr w:rsidR="00B0022E" w:rsidRPr="00055F0A" w14:paraId="67111CC8" w14:textId="77777777">
        <w:trPr>
          <w:cantSplit/>
        </w:trPr>
        <w:tc>
          <w:tcPr>
            <w:tcW w:w="1191" w:type="dxa"/>
            <w:vMerge/>
            <w:tcBorders>
              <w:bottom w:val="single" w:sz="12" w:space="0" w:color="auto"/>
            </w:tcBorders>
          </w:tcPr>
          <w:p w14:paraId="5D63A96B" w14:textId="77777777" w:rsidR="00B0022E" w:rsidRPr="00055F0A" w:rsidRDefault="00B0022E">
            <w:pPr>
              <w:rPr>
                <w:b/>
                <w:bCs/>
                <w:sz w:val="26"/>
              </w:rPr>
            </w:pPr>
          </w:p>
        </w:tc>
        <w:tc>
          <w:tcPr>
            <w:tcW w:w="4051" w:type="dxa"/>
            <w:gridSpan w:val="4"/>
            <w:vMerge/>
            <w:tcBorders>
              <w:bottom w:val="single" w:sz="12" w:space="0" w:color="auto"/>
            </w:tcBorders>
          </w:tcPr>
          <w:p w14:paraId="53675AE4" w14:textId="77777777" w:rsidR="00B0022E" w:rsidRPr="00055F0A" w:rsidRDefault="00B0022E">
            <w:pPr>
              <w:rPr>
                <w:b/>
                <w:bCs/>
                <w:sz w:val="26"/>
              </w:rPr>
            </w:pPr>
          </w:p>
        </w:tc>
        <w:tc>
          <w:tcPr>
            <w:tcW w:w="4681" w:type="dxa"/>
            <w:gridSpan w:val="2"/>
            <w:tcBorders>
              <w:bottom w:val="single" w:sz="12" w:space="0" w:color="auto"/>
            </w:tcBorders>
            <w:vAlign w:val="center"/>
          </w:tcPr>
          <w:p w14:paraId="3F16C1AF" w14:textId="77777777" w:rsidR="00B0022E" w:rsidRPr="00055F0A" w:rsidRDefault="00D12115">
            <w:pPr>
              <w:jc w:val="right"/>
              <w:rPr>
                <w:b/>
                <w:bCs/>
                <w:sz w:val="28"/>
                <w:szCs w:val="28"/>
              </w:rPr>
            </w:pPr>
            <w:r w:rsidRPr="00055F0A">
              <w:rPr>
                <w:b/>
                <w:bCs/>
                <w:sz w:val="28"/>
                <w:szCs w:val="28"/>
              </w:rPr>
              <w:t>Original: English</w:t>
            </w:r>
          </w:p>
        </w:tc>
      </w:tr>
      <w:tr w:rsidR="00B0022E" w:rsidRPr="005621F0" w14:paraId="197B1090" w14:textId="77777777">
        <w:trPr>
          <w:cantSplit/>
        </w:trPr>
        <w:tc>
          <w:tcPr>
            <w:tcW w:w="1617" w:type="dxa"/>
            <w:gridSpan w:val="3"/>
          </w:tcPr>
          <w:p w14:paraId="168A0611" w14:textId="77777777" w:rsidR="00B0022E" w:rsidRPr="005621F0" w:rsidRDefault="00D12115">
            <w:pPr>
              <w:rPr>
                <w:b/>
                <w:bCs/>
              </w:rPr>
            </w:pPr>
            <w:bookmarkStart w:id="6" w:name="dbluepink" w:colFirst="1" w:colLast="1"/>
            <w:bookmarkStart w:id="7" w:name="dmeeting" w:colFirst="2" w:colLast="2"/>
            <w:bookmarkEnd w:id="1"/>
            <w:r w:rsidRPr="005621F0">
              <w:rPr>
                <w:b/>
                <w:bCs/>
              </w:rPr>
              <w:t>Question(s):</w:t>
            </w:r>
          </w:p>
        </w:tc>
        <w:tc>
          <w:tcPr>
            <w:tcW w:w="3625" w:type="dxa"/>
            <w:gridSpan w:val="2"/>
          </w:tcPr>
          <w:p w14:paraId="481772BF" w14:textId="77777777" w:rsidR="00B0022E" w:rsidRPr="005621F0" w:rsidRDefault="00D12115">
            <w:r w:rsidRPr="005621F0">
              <w:t>All/5</w:t>
            </w:r>
          </w:p>
        </w:tc>
        <w:tc>
          <w:tcPr>
            <w:tcW w:w="4681" w:type="dxa"/>
            <w:gridSpan w:val="2"/>
          </w:tcPr>
          <w:p w14:paraId="4699E88C" w14:textId="77777777" w:rsidR="00B0022E" w:rsidRPr="005621F0" w:rsidRDefault="00B0022E">
            <w:pPr>
              <w:jc w:val="right"/>
            </w:pPr>
          </w:p>
        </w:tc>
      </w:tr>
      <w:tr w:rsidR="00B0022E" w:rsidRPr="005621F0" w14:paraId="5BAC3A21" w14:textId="77777777">
        <w:trPr>
          <w:cantSplit/>
        </w:trPr>
        <w:tc>
          <w:tcPr>
            <w:tcW w:w="9923" w:type="dxa"/>
            <w:gridSpan w:val="7"/>
          </w:tcPr>
          <w:p w14:paraId="213725A7" w14:textId="77777777" w:rsidR="00B0022E" w:rsidRPr="005621F0" w:rsidRDefault="00D12115">
            <w:pPr>
              <w:jc w:val="center"/>
              <w:rPr>
                <w:b/>
                <w:bCs/>
              </w:rPr>
            </w:pPr>
            <w:bookmarkStart w:id="8" w:name="ddoctype" w:colFirst="0" w:colLast="0"/>
            <w:bookmarkStart w:id="9" w:name="dtitle" w:colFirst="0" w:colLast="0"/>
            <w:bookmarkEnd w:id="6"/>
            <w:bookmarkEnd w:id="7"/>
            <w:r w:rsidRPr="005621F0">
              <w:rPr>
                <w:b/>
                <w:bCs/>
              </w:rPr>
              <w:t>LIAISON STATEMENT</w:t>
            </w:r>
          </w:p>
        </w:tc>
      </w:tr>
      <w:tr w:rsidR="00B0022E" w:rsidRPr="005621F0" w14:paraId="015CA3F5" w14:textId="77777777">
        <w:trPr>
          <w:cantSplit/>
        </w:trPr>
        <w:tc>
          <w:tcPr>
            <w:tcW w:w="1617" w:type="dxa"/>
            <w:gridSpan w:val="3"/>
          </w:tcPr>
          <w:p w14:paraId="793EE23F" w14:textId="77777777" w:rsidR="00B0022E" w:rsidRPr="005621F0" w:rsidRDefault="00D12115">
            <w:pPr>
              <w:rPr>
                <w:b/>
                <w:bCs/>
              </w:rPr>
            </w:pPr>
            <w:bookmarkStart w:id="10" w:name="dsource" w:colFirst="1" w:colLast="1"/>
            <w:bookmarkEnd w:id="8"/>
            <w:bookmarkEnd w:id="9"/>
            <w:r w:rsidRPr="005621F0">
              <w:rPr>
                <w:b/>
                <w:bCs/>
              </w:rPr>
              <w:t>Source:</w:t>
            </w:r>
          </w:p>
        </w:tc>
        <w:tc>
          <w:tcPr>
            <w:tcW w:w="8306" w:type="dxa"/>
            <w:gridSpan w:val="4"/>
          </w:tcPr>
          <w:p w14:paraId="7C7A780E" w14:textId="77777777" w:rsidR="00B0022E" w:rsidRPr="005621F0" w:rsidRDefault="00D12115">
            <w:r w:rsidRPr="005621F0">
              <w:t>ITU-T Study Group 5</w:t>
            </w:r>
          </w:p>
        </w:tc>
      </w:tr>
      <w:tr w:rsidR="00B0022E" w:rsidRPr="005621F0" w14:paraId="02B33350" w14:textId="77777777">
        <w:trPr>
          <w:cantSplit/>
        </w:trPr>
        <w:tc>
          <w:tcPr>
            <w:tcW w:w="1617" w:type="dxa"/>
            <w:gridSpan w:val="3"/>
          </w:tcPr>
          <w:p w14:paraId="5A0A8CA6" w14:textId="77777777" w:rsidR="00B0022E" w:rsidRPr="005621F0" w:rsidRDefault="00D12115">
            <w:bookmarkStart w:id="11" w:name="dtitle1" w:colFirst="1" w:colLast="1"/>
            <w:bookmarkEnd w:id="10"/>
            <w:r w:rsidRPr="005621F0">
              <w:rPr>
                <w:b/>
                <w:bCs/>
              </w:rPr>
              <w:t>Title:</w:t>
            </w:r>
          </w:p>
        </w:tc>
        <w:tc>
          <w:tcPr>
            <w:tcW w:w="8306" w:type="dxa"/>
            <w:gridSpan w:val="4"/>
          </w:tcPr>
          <w:p w14:paraId="61C2A14F" w14:textId="77777777" w:rsidR="00B0022E" w:rsidRPr="005621F0" w:rsidRDefault="00D12115">
            <w:pPr>
              <w:rPr>
                <w:lang w:val="en-US"/>
              </w:rPr>
            </w:pPr>
            <w:r w:rsidRPr="005621F0">
              <w:t>LS on ITU-T Study Group 5 Lead Study Group Report</w:t>
            </w:r>
            <w:r w:rsidR="000B456E" w:rsidRPr="005621F0">
              <w:t xml:space="preserve"> </w:t>
            </w:r>
          </w:p>
        </w:tc>
      </w:tr>
      <w:bookmarkEnd w:id="2"/>
      <w:bookmarkEnd w:id="11"/>
      <w:tr w:rsidR="00B0022E" w:rsidRPr="005621F0" w14:paraId="75AD91FD" w14:textId="77777777">
        <w:trPr>
          <w:cantSplit/>
          <w:trHeight w:val="357"/>
        </w:trPr>
        <w:tc>
          <w:tcPr>
            <w:tcW w:w="9923" w:type="dxa"/>
            <w:gridSpan w:val="7"/>
            <w:tcBorders>
              <w:top w:val="single" w:sz="12" w:space="0" w:color="auto"/>
            </w:tcBorders>
          </w:tcPr>
          <w:p w14:paraId="54024212" w14:textId="77777777" w:rsidR="00B0022E" w:rsidRPr="005621F0" w:rsidRDefault="00D12115">
            <w:pPr>
              <w:jc w:val="center"/>
              <w:rPr>
                <w:b/>
              </w:rPr>
            </w:pPr>
            <w:r w:rsidRPr="005621F0">
              <w:rPr>
                <w:b/>
              </w:rPr>
              <w:t>LIAISON STATEMENT</w:t>
            </w:r>
          </w:p>
        </w:tc>
      </w:tr>
      <w:tr w:rsidR="00B0022E" w:rsidRPr="005621F0" w14:paraId="00B712CC" w14:textId="77777777">
        <w:trPr>
          <w:cantSplit/>
          <w:trHeight w:val="357"/>
        </w:trPr>
        <w:tc>
          <w:tcPr>
            <w:tcW w:w="2127" w:type="dxa"/>
            <w:gridSpan w:val="4"/>
          </w:tcPr>
          <w:p w14:paraId="1EC694DE" w14:textId="77777777" w:rsidR="00B0022E" w:rsidRPr="005621F0" w:rsidRDefault="00D12115">
            <w:pPr>
              <w:rPr>
                <w:b/>
                <w:bCs/>
              </w:rPr>
            </w:pPr>
            <w:r w:rsidRPr="005621F0">
              <w:rPr>
                <w:b/>
                <w:bCs/>
              </w:rPr>
              <w:t>For action to:</w:t>
            </w:r>
          </w:p>
        </w:tc>
        <w:tc>
          <w:tcPr>
            <w:tcW w:w="7796" w:type="dxa"/>
            <w:gridSpan w:val="3"/>
          </w:tcPr>
          <w:p w14:paraId="4349C929" w14:textId="77777777" w:rsidR="00B0022E" w:rsidRPr="005621F0" w:rsidRDefault="00D12115">
            <w:pPr>
              <w:pStyle w:val="LSForAction"/>
              <w:rPr>
                <w:szCs w:val="24"/>
              </w:rPr>
            </w:pPr>
            <w:r w:rsidRPr="005621F0">
              <w:rPr>
                <w:szCs w:val="24"/>
              </w:rPr>
              <w:t>-</w:t>
            </w:r>
          </w:p>
        </w:tc>
      </w:tr>
      <w:tr w:rsidR="00B0022E" w:rsidRPr="005621F0" w14:paraId="4F8A3287" w14:textId="77777777">
        <w:trPr>
          <w:cantSplit/>
          <w:trHeight w:val="357"/>
        </w:trPr>
        <w:tc>
          <w:tcPr>
            <w:tcW w:w="2127" w:type="dxa"/>
            <w:gridSpan w:val="4"/>
          </w:tcPr>
          <w:p w14:paraId="0A58DAFA" w14:textId="77777777" w:rsidR="00B0022E" w:rsidRPr="005621F0" w:rsidRDefault="00D12115">
            <w:pPr>
              <w:rPr>
                <w:b/>
                <w:bCs/>
              </w:rPr>
            </w:pPr>
            <w:r w:rsidRPr="005621F0">
              <w:rPr>
                <w:b/>
                <w:bCs/>
              </w:rPr>
              <w:t>For comment to:</w:t>
            </w:r>
          </w:p>
        </w:tc>
        <w:tc>
          <w:tcPr>
            <w:tcW w:w="7796" w:type="dxa"/>
            <w:gridSpan w:val="3"/>
          </w:tcPr>
          <w:p w14:paraId="0DD56B83" w14:textId="77777777" w:rsidR="00B0022E" w:rsidRPr="005621F0" w:rsidRDefault="00D12115">
            <w:pPr>
              <w:pStyle w:val="LSForComment"/>
              <w:rPr>
                <w:szCs w:val="24"/>
              </w:rPr>
            </w:pPr>
            <w:r w:rsidRPr="005621F0">
              <w:rPr>
                <w:szCs w:val="24"/>
              </w:rPr>
              <w:t>-</w:t>
            </w:r>
          </w:p>
        </w:tc>
      </w:tr>
      <w:tr w:rsidR="00B0022E" w:rsidRPr="005621F0" w14:paraId="0EF2ABD8" w14:textId="77777777">
        <w:trPr>
          <w:cantSplit/>
          <w:trHeight w:val="357"/>
        </w:trPr>
        <w:tc>
          <w:tcPr>
            <w:tcW w:w="2127" w:type="dxa"/>
            <w:gridSpan w:val="4"/>
          </w:tcPr>
          <w:p w14:paraId="03C15481" w14:textId="77777777" w:rsidR="00B0022E" w:rsidRPr="005621F0" w:rsidRDefault="00D12115">
            <w:pPr>
              <w:rPr>
                <w:b/>
                <w:bCs/>
              </w:rPr>
            </w:pPr>
            <w:r w:rsidRPr="005621F0">
              <w:rPr>
                <w:b/>
                <w:bCs/>
              </w:rPr>
              <w:t>For information to:</w:t>
            </w:r>
          </w:p>
        </w:tc>
        <w:tc>
          <w:tcPr>
            <w:tcW w:w="7796" w:type="dxa"/>
            <w:gridSpan w:val="3"/>
          </w:tcPr>
          <w:p w14:paraId="2AD3806D" w14:textId="77777777" w:rsidR="00B0022E" w:rsidRPr="005621F0" w:rsidRDefault="00D12115">
            <w:pPr>
              <w:pStyle w:val="LSForInfo"/>
              <w:rPr>
                <w:szCs w:val="24"/>
              </w:rPr>
            </w:pPr>
            <w:r w:rsidRPr="005621F0">
              <w:rPr>
                <w:b w:val="0"/>
                <w:bCs w:val="0"/>
                <w:szCs w:val="24"/>
              </w:rPr>
              <w:t>TSAG</w:t>
            </w:r>
          </w:p>
        </w:tc>
      </w:tr>
      <w:tr w:rsidR="00B0022E" w:rsidRPr="005621F0" w14:paraId="74FB1F0D" w14:textId="77777777">
        <w:trPr>
          <w:cantSplit/>
          <w:trHeight w:val="357"/>
        </w:trPr>
        <w:tc>
          <w:tcPr>
            <w:tcW w:w="2127" w:type="dxa"/>
            <w:gridSpan w:val="4"/>
          </w:tcPr>
          <w:p w14:paraId="0EB73392" w14:textId="77777777" w:rsidR="00B0022E" w:rsidRPr="005621F0" w:rsidRDefault="00D12115">
            <w:pPr>
              <w:rPr>
                <w:b/>
                <w:bCs/>
              </w:rPr>
            </w:pPr>
            <w:r w:rsidRPr="005621F0">
              <w:rPr>
                <w:b/>
                <w:bCs/>
              </w:rPr>
              <w:t>Approval:</w:t>
            </w:r>
          </w:p>
        </w:tc>
        <w:tc>
          <w:tcPr>
            <w:tcW w:w="7796" w:type="dxa"/>
            <w:gridSpan w:val="3"/>
          </w:tcPr>
          <w:p w14:paraId="25422110" w14:textId="67714BBF" w:rsidR="00B0022E" w:rsidRPr="005621F0" w:rsidRDefault="00D12115" w:rsidP="001C4F19">
            <w:pPr>
              <w:rPr>
                <w:b/>
                <w:bCs/>
              </w:rPr>
            </w:pPr>
            <w:r w:rsidRPr="005621F0">
              <w:rPr>
                <w:lang w:eastAsia="zh-CN"/>
              </w:rPr>
              <w:t>ITU-T Study Group 5 management team (</w:t>
            </w:r>
            <w:r w:rsidR="003C304C">
              <w:rPr>
                <w:lang w:eastAsia="zh-CN"/>
              </w:rPr>
              <w:t>1</w:t>
            </w:r>
            <w:r w:rsidR="00B8077B">
              <w:rPr>
                <w:lang w:eastAsia="zh-CN"/>
              </w:rPr>
              <w:t>8</w:t>
            </w:r>
            <w:r w:rsidR="003C304C">
              <w:rPr>
                <w:lang w:eastAsia="zh-CN"/>
              </w:rPr>
              <w:t xml:space="preserve"> </w:t>
            </w:r>
            <w:r w:rsidR="00B8077B">
              <w:rPr>
                <w:lang w:eastAsia="zh-CN"/>
              </w:rPr>
              <w:t>October 2021</w:t>
            </w:r>
            <w:r w:rsidRPr="005621F0">
              <w:rPr>
                <w:lang w:eastAsia="zh-CN"/>
              </w:rPr>
              <w:t xml:space="preserve"> by correspondence)</w:t>
            </w:r>
          </w:p>
        </w:tc>
      </w:tr>
      <w:tr w:rsidR="00B0022E" w:rsidRPr="005621F0" w14:paraId="216002A4" w14:textId="77777777">
        <w:trPr>
          <w:cantSplit/>
          <w:trHeight w:val="357"/>
        </w:trPr>
        <w:tc>
          <w:tcPr>
            <w:tcW w:w="2127" w:type="dxa"/>
            <w:gridSpan w:val="4"/>
            <w:tcBorders>
              <w:bottom w:val="single" w:sz="12" w:space="0" w:color="auto"/>
            </w:tcBorders>
          </w:tcPr>
          <w:p w14:paraId="60E3376C" w14:textId="77777777" w:rsidR="00B0022E" w:rsidRPr="005621F0" w:rsidRDefault="00D12115">
            <w:pPr>
              <w:rPr>
                <w:b/>
                <w:bCs/>
              </w:rPr>
            </w:pPr>
            <w:r w:rsidRPr="005621F0">
              <w:rPr>
                <w:b/>
                <w:bCs/>
              </w:rPr>
              <w:t>Deadline:</w:t>
            </w:r>
          </w:p>
        </w:tc>
        <w:tc>
          <w:tcPr>
            <w:tcW w:w="7796" w:type="dxa"/>
            <w:gridSpan w:val="3"/>
            <w:tcBorders>
              <w:bottom w:val="single" w:sz="12" w:space="0" w:color="auto"/>
            </w:tcBorders>
          </w:tcPr>
          <w:p w14:paraId="07D21443" w14:textId="77777777" w:rsidR="00B0022E" w:rsidRPr="005621F0" w:rsidRDefault="00D12115">
            <w:pPr>
              <w:pStyle w:val="LSDeadline"/>
              <w:rPr>
                <w:b w:val="0"/>
                <w:bCs w:val="0"/>
                <w:szCs w:val="24"/>
              </w:rPr>
            </w:pPr>
            <w:r w:rsidRPr="005621F0">
              <w:rPr>
                <w:b w:val="0"/>
                <w:bCs w:val="0"/>
                <w:szCs w:val="24"/>
              </w:rPr>
              <w:t>N/A</w:t>
            </w:r>
          </w:p>
        </w:tc>
      </w:tr>
      <w:tr w:rsidR="00B0022E" w:rsidRPr="0090410C" w14:paraId="03FA2264" w14:textId="77777777">
        <w:trPr>
          <w:cantSplit/>
        </w:trPr>
        <w:tc>
          <w:tcPr>
            <w:tcW w:w="1607" w:type="dxa"/>
            <w:gridSpan w:val="2"/>
            <w:tcBorders>
              <w:top w:val="single" w:sz="8" w:space="0" w:color="auto"/>
              <w:bottom w:val="single" w:sz="8" w:space="0" w:color="auto"/>
            </w:tcBorders>
          </w:tcPr>
          <w:p w14:paraId="7B521F2C" w14:textId="77777777" w:rsidR="00B0022E" w:rsidRPr="005621F0" w:rsidRDefault="00D12115">
            <w:pPr>
              <w:rPr>
                <w:b/>
                <w:bCs/>
              </w:rPr>
            </w:pPr>
            <w:r w:rsidRPr="005621F0">
              <w:rPr>
                <w:b/>
                <w:bCs/>
              </w:rPr>
              <w:t>Contact:</w:t>
            </w:r>
          </w:p>
        </w:tc>
        <w:tc>
          <w:tcPr>
            <w:tcW w:w="3780" w:type="dxa"/>
            <w:gridSpan w:val="4"/>
            <w:tcBorders>
              <w:top w:val="single" w:sz="8" w:space="0" w:color="auto"/>
              <w:bottom w:val="single" w:sz="8" w:space="0" w:color="auto"/>
            </w:tcBorders>
          </w:tcPr>
          <w:p w14:paraId="1882D3C6" w14:textId="77777777" w:rsidR="00B0022E" w:rsidRPr="005621F0" w:rsidRDefault="000326F2">
            <w:proofErr w:type="spellStart"/>
            <w:r>
              <w:t>Shuguang</w:t>
            </w:r>
            <w:proofErr w:type="spellEnd"/>
            <w:r>
              <w:t xml:space="preserve"> Qi</w:t>
            </w:r>
            <w:r w:rsidRPr="005621F0">
              <w:rPr>
                <w:lang w:val="en-US"/>
              </w:rPr>
              <w:t xml:space="preserve"> </w:t>
            </w:r>
            <w:r w:rsidR="00D12115" w:rsidRPr="005621F0">
              <w:rPr>
                <w:lang w:val="en-US"/>
              </w:rPr>
              <w:br/>
            </w:r>
            <w:r w:rsidR="00597AB5" w:rsidRPr="005621F0">
              <w:rPr>
                <w:lang w:val="en-US"/>
              </w:rPr>
              <w:t xml:space="preserve">Acting </w:t>
            </w:r>
            <w:r w:rsidR="00D12115" w:rsidRPr="005621F0">
              <w:rPr>
                <w:lang w:val="en-US"/>
              </w:rPr>
              <w:t>Chairman ITU-T SG5</w:t>
            </w:r>
          </w:p>
        </w:tc>
        <w:tc>
          <w:tcPr>
            <w:tcW w:w="4536" w:type="dxa"/>
            <w:tcBorders>
              <w:top w:val="single" w:sz="8" w:space="0" w:color="auto"/>
              <w:bottom w:val="single" w:sz="8" w:space="0" w:color="auto"/>
            </w:tcBorders>
          </w:tcPr>
          <w:p w14:paraId="6E02FEE9" w14:textId="77777777" w:rsidR="00B0022E" w:rsidRPr="005621F0" w:rsidRDefault="00D12115" w:rsidP="008D5EE5">
            <w:pPr>
              <w:spacing w:after="40"/>
              <w:rPr>
                <w:lang w:val="de-CH"/>
              </w:rPr>
            </w:pPr>
            <w:r w:rsidRPr="005621F0">
              <w:rPr>
                <w:lang w:val="de-CH"/>
              </w:rPr>
              <w:t xml:space="preserve">Tel: </w:t>
            </w:r>
            <w:r w:rsidRPr="005621F0">
              <w:rPr>
                <w:lang w:val="de-CH"/>
              </w:rPr>
              <w:tab/>
            </w:r>
            <w:r w:rsidR="00597AB5" w:rsidRPr="005621F0">
              <w:rPr>
                <w:lang w:val="de-CH"/>
              </w:rPr>
              <w:t>+</w:t>
            </w:r>
            <w:r w:rsidR="000326F2" w:rsidRPr="000326F2">
              <w:rPr>
                <w:lang w:val="de-CH"/>
              </w:rPr>
              <w:t>86 10 82053589-8858</w:t>
            </w:r>
            <w:r w:rsidRPr="005621F0">
              <w:rPr>
                <w:lang w:val="de-CH"/>
              </w:rPr>
              <w:br/>
              <w:t xml:space="preserve">E-mail: </w:t>
            </w:r>
            <w:hyperlink r:id="rId18" w:history="1">
              <w:r w:rsidR="000326F2" w:rsidRPr="007B6A01">
                <w:rPr>
                  <w:rStyle w:val="Hyperlink"/>
                  <w:lang w:val="de-CH"/>
                </w:rPr>
                <w:t>qishuguang@caict.ac.cn</w:t>
              </w:r>
            </w:hyperlink>
            <w:r w:rsidR="000326F2">
              <w:rPr>
                <w:lang w:val="de-CH"/>
              </w:rPr>
              <w:t xml:space="preserve"> </w:t>
            </w:r>
          </w:p>
        </w:tc>
      </w:tr>
      <w:tr w:rsidR="00B0022E" w:rsidRPr="0090410C" w14:paraId="7033C10B" w14:textId="77777777">
        <w:trPr>
          <w:cantSplit/>
        </w:trPr>
        <w:tc>
          <w:tcPr>
            <w:tcW w:w="1607" w:type="dxa"/>
            <w:gridSpan w:val="2"/>
            <w:tcBorders>
              <w:top w:val="single" w:sz="8" w:space="0" w:color="auto"/>
              <w:bottom w:val="single" w:sz="8" w:space="0" w:color="auto"/>
            </w:tcBorders>
          </w:tcPr>
          <w:p w14:paraId="2E05FF9D" w14:textId="77777777" w:rsidR="00B0022E" w:rsidRPr="005621F0" w:rsidRDefault="00D12115">
            <w:pPr>
              <w:rPr>
                <w:b/>
                <w:bCs/>
              </w:rPr>
            </w:pPr>
            <w:r w:rsidRPr="005621F0">
              <w:rPr>
                <w:b/>
                <w:bCs/>
              </w:rPr>
              <w:t>Contact:</w:t>
            </w:r>
          </w:p>
        </w:tc>
        <w:tc>
          <w:tcPr>
            <w:tcW w:w="3780" w:type="dxa"/>
            <w:gridSpan w:val="4"/>
            <w:tcBorders>
              <w:top w:val="single" w:sz="8" w:space="0" w:color="auto"/>
              <w:bottom w:val="single" w:sz="8" w:space="0" w:color="auto"/>
            </w:tcBorders>
          </w:tcPr>
          <w:p w14:paraId="372C0719" w14:textId="77777777" w:rsidR="00B0022E" w:rsidRPr="005621F0" w:rsidRDefault="00D12115">
            <w:pPr>
              <w:rPr>
                <w:lang w:val="en-US"/>
              </w:rPr>
            </w:pPr>
            <w:r w:rsidRPr="005621F0">
              <w:rPr>
                <w:lang w:val="en-US"/>
              </w:rPr>
              <w:t xml:space="preserve">Fryderyk </w:t>
            </w:r>
            <w:proofErr w:type="spellStart"/>
            <w:r w:rsidRPr="005621F0">
              <w:rPr>
                <w:lang w:val="en-US"/>
              </w:rPr>
              <w:t>Lewicki</w:t>
            </w:r>
            <w:proofErr w:type="spellEnd"/>
            <w:r w:rsidRPr="005621F0">
              <w:rPr>
                <w:lang w:val="en-US"/>
              </w:rPr>
              <w:br/>
              <w:t>Chairman of WP1/5</w:t>
            </w:r>
          </w:p>
        </w:tc>
        <w:tc>
          <w:tcPr>
            <w:tcW w:w="4536" w:type="dxa"/>
            <w:tcBorders>
              <w:top w:val="single" w:sz="8" w:space="0" w:color="auto"/>
              <w:bottom w:val="single" w:sz="8" w:space="0" w:color="auto"/>
            </w:tcBorders>
          </w:tcPr>
          <w:p w14:paraId="2F19147D" w14:textId="77777777" w:rsidR="00B0022E" w:rsidRPr="005621F0" w:rsidRDefault="00D12115" w:rsidP="008D5EE5">
            <w:pPr>
              <w:spacing w:after="40"/>
              <w:rPr>
                <w:lang w:val="de-CH"/>
              </w:rPr>
            </w:pPr>
            <w:r w:rsidRPr="005621F0">
              <w:rPr>
                <w:lang w:val="de-CH"/>
              </w:rPr>
              <w:t xml:space="preserve">Tel: </w:t>
            </w:r>
            <w:r w:rsidRPr="005621F0">
              <w:rPr>
                <w:lang w:val="de-CH"/>
              </w:rPr>
              <w:tab/>
              <w:t>+48 71 321 09 24</w:t>
            </w:r>
            <w:r w:rsidRPr="005621F0">
              <w:rPr>
                <w:lang w:val="de-CH"/>
              </w:rPr>
              <w:br/>
              <w:t xml:space="preserve">E-mail: </w:t>
            </w:r>
            <w:hyperlink r:id="rId19" w:history="1">
              <w:r w:rsidRPr="005621F0">
                <w:rPr>
                  <w:rStyle w:val="Hyperlink"/>
                  <w:lang w:val="de-CH"/>
                </w:rPr>
                <w:t>fryderyk.lewicki@orange.com</w:t>
              </w:r>
            </w:hyperlink>
            <w:r w:rsidRPr="005621F0">
              <w:rPr>
                <w:lang w:val="de-CH"/>
              </w:rPr>
              <w:t xml:space="preserve"> </w:t>
            </w:r>
          </w:p>
        </w:tc>
      </w:tr>
      <w:tr w:rsidR="00B0022E" w:rsidRPr="005621F0" w14:paraId="706819A6" w14:textId="77777777">
        <w:trPr>
          <w:cantSplit/>
        </w:trPr>
        <w:tc>
          <w:tcPr>
            <w:tcW w:w="1607" w:type="dxa"/>
            <w:gridSpan w:val="2"/>
            <w:tcBorders>
              <w:top w:val="single" w:sz="8" w:space="0" w:color="auto"/>
              <w:bottom w:val="single" w:sz="8" w:space="0" w:color="auto"/>
            </w:tcBorders>
          </w:tcPr>
          <w:p w14:paraId="0C81C7B3" w14:textId="77777777" w:rsidR="00B0022E" w:rsidRPr="005621F0" w:rsidRDefault="00D12115">
            <w:pPr>
              <w:rPr>
                <w:b/>
                <w:bCs/>
              </w:rPr>
            </w:pPr>
            <w:r w:rsidRPr="005621F0">
              <w:rPr>
                <w:b/>
                <w:bCs/>
              </w:rPr>
              <w:t>Contact:</w:t>
            </w:r>
          </w:p>
        </w:tc>
        <w:tc>
          <w:tcPr>
            <w:tcW w:w="3780" w:type="dxa"/>
            <w:gridSpan w:val="4"/>
            <w:tcBorders>
              <w:top w:val="single" w:sz="8" w:space="0" w:color="auto"/>
              <w:bottom w:val="single" w:sz="8" w:space="0" w:color="auto"/>
            </w:tcBorders>
          </w:tcPr>
          <w:p w14:paraId="69D6C583" w14:textId="77777777" w:rsidR="00B0022E" w:rsidRPr="005621F0" w:rsidRDefault="00D12115">
            <w:pPr>
              <w:rPr>
                <w:lang w:val="en-US"/>
              </w:rPr>
            </w:pPr>
            <w:r w:rsidRPr="005621F0">
              <w:t>Paolo Gemma</w:t>
            </w:r>
            <w:r w:rsidRPr="005621F0">
              <w:br/>
              <w:t>Chairman of WP2/5</w:t>
            </w:r>
          </w:p>
        </w:tc>
        <w:tc>
          <w:tcPr>
            <w:tcW w:w="4536" w:type="dxa"/>
            <w:tcBorders>
              <w:top w:val="single" w:sz="8" w:space="0" w:color="auto"/>
              <w:bottom w:val="single" w:sz="8" w:space="0" w:color="auto"/>
            </w:tcBorders>
          </w:tcPr>
          <w:p w14:paraId="6F64283A" w14:textId="77777777" w:rsidR="00B0022E" w:rsidRPr="005621F0" w:rsidRDefault="00D12115" w:rsidP="008D5EE5">
            <w:pPr>
              <w:spacing w:after="40"/>
            </w:pPr>
            <w:r w:rsidRPr="005621F0">
              <w:t xml:space="preserve">Tel: </w:t>
            </w:r>
            <w:r w:rsidRPr="005621F0">
              <w:tab/>
              <w:t>+39 02 3999 4947</w:t>
            </w:r>
            <w:r w:rsidRPr="005621F0">
              <w:br/>
              <w:t>Fax:</w:t>
            </w:r>
            <w:r w:rsidRPr="005621F0">
              <w:tab/>
              <w:t>+39 01119743499</w:t>
            </w:r>
            <w:r w:rsidRPr="005621F0">
              <w:br/>
              <w:t xml:space="preserve">Email: </w:t>
            </w:r>
            <w:hyperlink r:id="rId20" w:history="1">
              <w:r w:rsidRPr="005621F0">
                <w:rPr>
                  <w:rStyle w:val="Hyperlink"/>
                </w:rPr>
                <w:t>paolo.gemma@huawei.com</w:t>
              </w:r>
            </w:hyperlink>
          </w:p>
        </w:tc>
      </w:tr>
    </w:tbl>
    <w:p w14:paraId="64ACFAC0" w14:textId="77777777" w:rsidR="00B0022E" w:rsidRPr="005621F0" w:rsidRDefault="00B0022E">
      <w:pPr>
        <w:rPr>
          <w:highlight w:val="yellow"/>
        </w:rPr>
      </w:pPr>
    </w:p>
    <w:tbl>
      <w:tblPr>
        <w:tblW w:w="9923" w:type="dxa"/>
        <w:tblLayout w:type="fixed"/>
        <w:tblCellMar>
          <w:left w:w="57" w:type="dxa"/>
          <w:right w:w="57" w:type="dxa"/>
        </w:tblCellMar>
        <w:tblLook w:val="04A0" w:firstRow="1" w:lastRow="0" w:firstColumn="1" w:lastColumn="0" w:noHBand="0" w:noVBand="1"/>
      </w:tblPr>
      <w:tblGrid>
        <w:gridCol w:w="1641"/>
        <w:gridCol w:w="8282"/>
      </w:tblGrid>
      <w:tr w:rsidR="00B0022E" w:rsidRPr="005621F0" w14:paraId="34A5EF39" w14:textId="77777777">
        <w:trPr>
          <w:cantSplit/>
          <w:trHeight w:val="698"/>
        </w:trPr>
        <w:tc>
          <w:tcPr>
            <w:tcW w:w="1641" w:type="dxa"/>
          </w:tcPr>
          <w:p w14:paraId="5B1C84EB" w14:textId="77777777" w:rsidR="00B0022E" w:rsidRPr="005621F0" w:rsidRDefault="00D12115">
            <w:pPr>
              <w:jc w:val="both"/>
              <w:rPr>
                <w:b/>
                <w:bCs/>
              </w:rPr>
            </w:pPr>
            <w:r w:rsidRPr="005621F0">
              <w:rPr>
                <w:b/>
                <w:bCs/>
              </w:rPr>
              <w:t>Keywords:</w:t>
            </w:r>
          </w:p>
        </w:tc>
        <w:tc>
          <w:tcPr>
            <w:tcW w:w="8282" w:type="dxa"/>
          </w:tcPr>
          <w:p w14:paraId="70241E29" w14:textId="77777777" w:rsidR="00B0022E" w:rsidRPr="005621F0" w:rsidRDefault="00D12115">
            <w:pPr>
              <w:jc w:val="both"/>
            </w:pPr>
            <w:r w:rsidRPr="005621F0">
              <w:rPr>
                <w:lang w:val="pl-PL"/>
              </w:rPr>
              <w:t>SG5; lead roles; electromagnetic compatibility; lightning protection; electromagnetic effects; ICTs; environment; climate change; energy efficiency; circular economy; e</w:t>
            </w:r>
            <w:r w:rsidRPr="005621F0">
              <w:rPr>
                <w:rFonts w:eastAsia="MS Mincho"/>
                <w:lang w:val="pl-PL"/>
              </w:rPr>
              <w:t>‑</w:t>
            </w:r>
            <w:r w:rsidRPr="005621F0">
              <w:rPr>
                <w:lang w:val="pl-PL"/>
              </w:rPr>
              <w:t>waste</w:t>
            </w:r>
            <w:r w:rsidR="00FF7F70">
              <w:rPr>
                <w:lang w:val="pl-PL"/>
              </w:rPr>
              <w:t>;</w:t>
            </w:r>
          </w:p>
        </w:tc>
      </w:tr>
      <w:tr w:rsidR="00B0022E" w:rsidRPr="005621F0" w14:paraId="0B13D98E" w14:textId="77777777">
        <w:trPr>
          <w:cantSplit/>
          <w:trHeight w:val="374"/>
        </w:trPr>
        <w:tc>
          <w:tcPr>
            <w:tcW w:w="1641" w:type="dxa"/>
          </w:tcPr>
          <w:p w14:paraId="5CD73FF0" w14:textId="77777777" w:rsidR="00B0022E" w:rsidRPr="005621F0" w:rsidRDefault="00D12115">
            <w:pPr>
              <w:jc w:val="both"/>
              <w:rPr>
                <w:b/>
                <w:bCs/>
              </w:rPr>
            </w:pPr>
            <w:r w:rsidRPr="005621F0">
              <w:rPr>
                <w:b/>
                <w:bCs/>
              </w:rPr>
              <w:t>Abstract:</w:t>
            </w:r>
          </w:p>
        </w:tc>
        <w:tc>
          <w:tcPr>
            <w:tcW w:w="8282" w:type="dxa"/>
          </w:tcPr>
          <w:p w14:paraId="48BCB90C" w14:textId="2BD289CA" w:rsidR="00B0022E" w:rsidRPr="005621F0" w:rsidRDefault="00D12115" w:rsidP="00A70F5A">
            <w:pPr>
              <w:jc w:val="both"/>
            </w:pPr>
            <w:r w:rsidRPr="005621F0">
              <w:t xml:space="preserve">This liaison statement informs TSAG on SG5 lead roles and gives an update on SG5 activities from </w:t>
            </w:r>
            <w:r w:rsidR="00B8077B">
              <w:t xml:space="preserve">January </w:t>
            </w:r>
            <w:r w:rsidRPr="005621F0">
              <w:t xml:space="preserve">until </w:t>
            </w:r>
            <w:r w:rsidR="00B8077B">
              <w:t>15 October</w:t>
            </w:r>
            <w:r w:rsidR="00EC774F" w:rsidRPr="005621F0">
              <w:t xml:space="preserve"> </w:t>
            </w:r>
            <w:r w:rsidR="00597AB5" w:rsidRPr="005621F0">
              <w:t>202</w:t>
            </w:r>
            <w:r w:rsidR="00B8077B">
              <w:t>1</w:t>
            </w:r>
            <w:r w:rsidR="007264B0" w:rsidRPr="005621F0">
              <w:t>.</w:t>
            </w:r>
          </w:p>
        </w:tc>
      </w:tr>
    </w:tbl>
    <w:p w14:paraId="138DC80C" w14:textId="77777777" w:rsidR="00B0022E" w:rsidRPr="005621F0" w:rsidRDefault="00D12115" w:rsidP="00AE6133">
      <w:pPr>
        <w:spacing w:before="240"/>
        <w:jc w:val="both"/>
      </w:pPr>
      <w:r w:rsidRPr="005621F0">
        <w:t xml:space="preserve">ITU-T Study Group </w:t>
      </w:r>
      <w:r w:rsidRPr="005621F0">
        <w:rPr>
          <w:rFonts w:eastAsia="MS Mincho"/>
        </w:rPr>
        <w:t>5</w:t>
      </w:r>
      <w:r w:rsidRPr="005621F0">
        <w:t xml:space="preserve"> is actively fulfilling its mandate as the lead study group on electromagnetic compatibility, lightning protection and electromagnetic effects; ICTs related to the environment, climate change, energy efficiency and clean energy and circular economy, including e‑waste.</w:t>
      </w:r>
    </w:p>
    <w:p w14:paraId="41403553" w14:textId="77777777" w:rsidR="00B0022E" w:rsidRPr="005621F0" w:rsidRDefault="00D12115">
      <w:pPr>
        <w:pStyle w:val="Heading1"/>
        <w:tabs>
          <w:tab w:val="left" w:pos="765"/>
          <w:tab w:val="left" w:pos="4144"/>
        </w:tabs>
        <w:spacing w:before="240" w:after="120"/>
        <w:ind w:left="0" w:firstLine="0"/>
        <w:jc w:val="both"/>
        <w:rPr>
          <w:szCs w:val="24"/>
        </w:rPr>
      </w:pPr>
      <w:r w:rsidRPr="005621F0">
        <w:rPr>
          <w:szCs w:val="24"/>
        </w:rPr>
        <w:t>1</w:t>
      </w:r>
      <w:r w:rsidRPr="005621F0">
        <w:rPr>
          <w:szCs w:val="24"/>
        </w:rPr>
        <w:tab/>
        <w:t>Main achievements</w:t>
      </w:r>
    </w:p>
    <w:p w14:paraId="574A7722" w14:textId="5ADA691C" w:rsidR="00B0022E" w:rsidRPr="005621F0" w:rsidRDefault="00D12115">
      <w:pPr>
        <w:jc w:val="both"/>
        <w:rPr>
          <w:lang w:eastAsia="zh-CN"/>
        </w:rPr>
      </w:pPr>
      <w:r w:rsidRPr="005621F0">
        <w:t xml:space="preserve">The list of results pertaining to ITU-T </w:t>
      </w:r>
      <w:r w:rsidRPr="005621F0">
        <w:rPr>
          <w:rFonts w:eastAsia="MS Mincho"/>
        </w:rPr>
        <w:t xml:space="preserve">SGs Recommendations on </w:t>
      </w:r>
      <w:r w:rsidRPr="005621F0">
        <w:t xml:space="preserve">electromagnetic compatibility, lightning protection and electromagnetic effects; ICTs related to the environment, climate change, energy efficiency and clean energy and circular economy, including e‑waste, since </w:t>
      </w:r>
      <w:r w:rsidR="00FF4493">
        <w:rPr>
          <w:rFonts w:eastAsia="MS Mincho"/>
        </w:rPr>
        <w:t>January 2021</w:t>
      </w:r>
      <w:r w:rsidRPr="005621F0">
        <w:t xml:space="preserve">, are provided in Annex 1 </w:t>
      </w:r>
      <w:r w:rsidRPr="005621F0">
        <w:rPr>
          <w:lang w:eastAsia="zh-CN"/>
        </w:rPr>
        <w:t xml:space="preserve">(status: until </w:t>
      </w:r>
      <w:r w:rsidR="00FF4493">
        <w:rPr>
          <w:lang w:eastAsia="zh-CN"/>
        </w:rPr>
        <w:t>15 October 2021</w:t>
      </w:r>
      <w:r w:rsidRPr="005621F0">
        <w:rPr>
          <w:lang w:eastAsia="zh-CN"/>
        </w:rPr>
        <w:t>).</w:t>
      </w:r>
    </w:p>
    <w:p w14:paraId="4C2EFEC0" w14:textId="5D3FCB3E" w:rsidR="003660E8" w:rsidRPr="00FF1F7A" w:rsidRDefault="00D12115" w:rsidP="00637FF0">
      <w:pPr>
        <w:jc w:val="both"/>
      </w:pPr>
      <w:r w:rsidRPr="005621F0">
        <w:rPr>
          <w:lang w:eastAsia="zh-CN"/>
        </w:rPr>
        <w:t>The main highlights are described in the following text.</w:t>
      </w:r>
    </w:p>
    <w:p w14:paraId="36F138A9" w14:textId="565E07AA" w:rsidR="007E235F" w:rsidRDefault="00B65FE7" w:rsidP="000E3821">
      <w:pPr>
        <w:pStyle w:val="ListParagraph"/>
        <w:ind w:left="0"/>
        <w:contextualSpacing w:val="0"/>
        <w:jc w:val="both"/>
      </w:pPr>
      <w:r w:rsidRPr="005621F0">
        <w:rPr>
          <w:b/>
        </w:rPr>
        <w:t>W</w:t>
      </w:r>
      <w:r w:rsidR="00F85E39" w:rsidRPr="005621F0">
        <w:rPr>
          <w:b/>
        </w:rPr>
        <w:t xml:space="preserve">orking Party </w:t>
      </w:r>
      <w:r w:rsidRPr="005621F0">
        <w:rPr>
          <w:b/>
        </w:rPr>
        <w:t>1/5</w:t>
      </w:r>
      <w:r w:rsidRPr="005621F0">
        <w:t xml:space="preserve"> </w:t>
      </w:r>
      <w:r w:rsidR="00156997">
        <w:t>approved two Recommendations: ITU-T K.56 (rev.) “</w:t>
      </w:r>
      <w:r w:rsidR="00156997" w:rsidRPr="00156997">
        <w:t>Protection of radio base stations against lightning discharges</w:t>
      </w:r>
      <w:r w:rsidR="00156997">
        <w:t>” and ITU-T K.112 (rev.) “</w:t>
      </w:r>
      <w:r w:rsidR="00156997" w:rsidRPr="00DC7B0B">
        <w:t xml:space="preserve">Lightning protection, </w:t>
      </w:r>
      <w:proofErr w:type="spellStart"/>
      <w:r w:rsidR="00156997" w:rsidRPr="00DC7B0B">
        <w:t>earthing</w:t>
      </w:r>
      <w:proofErr w:type="spellEnd"/>
      <w:r w:rsidR="00156997" w:rsidRPr="00DC7B0B">
        <w:t xml:space="preserve"> and bonding: Practical procedures for radio base stations</w:t>
      </w:r>
      <w:r w:rsidR="00156997">
        <w:t xml:space="preserve">”. Additionally, experts </w:t>
      </w:r>
      <w:r w:rsidR="003660E8">
        <w:t>consented</w:t>
      </w:r>
      <w:r w:rsidR="00AB4B62" w:rsidRPr="005621F0">
        <w:t xml:space="preserve"> </w:t>
      </w:r>
      <w:r w:rsidR="00A8698D">
        <w:t>five</w:t>
      </w:r>
      <w:r w:rsidRPr="005621F0">
        <w:t xml:space="preserve"> </w:t>
      </w:r>
      <w:r w:rsidR="00F83147" w:rsidRPr="005621F0">
        <w:t xml:space="preserve">revised </w:t>
      </w:r>
      <w:r w:rsidRPr="005621F0">
        <w:t xml:space="preserve">Recommendations: </w:t>
      </w:r>
      <w:r w:rsidR="00396140" w:rsidRPr="005621F0">
        <w:t>ITU-T K.</w:t>
      </w:r>
      <w:r w:rsidR="00A8698D">
        <w:t>147 “</w:t>
      </w:r>
      <w:r w:rsidR="00A8698D" w:rsidRPr="00A8698D">
        <w:t xml:space="preserve">Ethernet port resistibility testing for </w:t>
      </w:r>
      <w:proofErr w:type="spellStart"/>
      <w:r w:rsidR="00A8698D" w:rsidRPr="00A8698D">
        <w:t>overvoltages</w:t>
      </w:r>
      <w:proofErr w:type="spellEnd"/>
      <w:r w:rsidR="00A8698D" w:rsidRPr="00A8698D">
        <w:t xml:space="preserve"> and </w:t>
      </w:r>
      <w:proofErr w:type="spellStart"/>
      <w:r w:rsidR="00A8698D" w:rsidRPr="00A8698D">
        <w:lastRenderedPageBreak/>
        <w:t>overcurrents</w:t>
      </w:r>
      <w:proofErr w:type="spellEnd"/>
      <w:r w:rsidR="00A8698D">
        <w:t>”, ITU-T K.20 “</w:t>
      </w:r>
      <w:r w:rsidR="00A8698D" w:rsidRPr="00A8698D">
        <w:t xml:space="preserve">Resistibility of telecommunication equipment installed in a telecommunication centre to </w:t>
      </w:r>
      <w:proofErr w:type="spellStart"/>
      <w:r w:rsidR="00A8698D" w:rsidRPr="00A8698D">
        <w:t>overvoltages</w:t>
      </w:r>
      <w:proofErr w:type="spellEnd"/>
      <w:r w:rsidR="00A8698D" w:rsidRPr="00A8698D">
        <w:t xml:space="preserve"> and </w:t>
      </w:r>
      <w:proofErr w:type="spellStart"/>
      <w:r w:rsidR="00A8698D" w:rsidRPr="00A8698D">
        <w:t>overcurrents</w:t>
      </w:r>
      <w:proofErr w:type="spellEnd"/>
      <w:r w:rsidR="00A8698D">
        <w:t>”,</w:t>
      </w:r>
      <w:r w:rsidR="007E291D">
        <w:t xml:space="preserve"> </w:t>
      </w:r>
      <w:r w:rsidR="00A8698D">
        <w:t>ITU-T K.52 “</w:t>
      </w:r>
      <w:r w:rsidR="00A8698D" w:rsidRPr="00A8698D">
        <w:t>Guidance on complying with limits for human exposure to electromagnetic fields</w:t>
      </w:r>
      <w:r w:rsidR="00A8698D">
        <w:t>”, and ITU-T K.100 “</w:t>
      </w:r>
      <w:r w:rsidR="00A8698D" w:rsidRPr="00A8698D">
        <w:t>Measurement of radio frequency electromagnetic fields to determine compliance with human exposure limits when a base station is put into service</w:t>
      </w:r>
      <w:r w:rsidR="00A8698D">
        <w:t xml:space="preserve">”. </w:t>
      </w:r>
    </w:p>
    <w:p w14:paraId="5F178E26" w14:textId="73C31CCD" w:rsidR="00B65FE7" w:rsidRPr="005621F0" w:rsidRDefault="00575A01" w:rsidP="009251D3">
      <w:pPr>
        <w:pStyle w:val="ListParagraph"/>
        <w:ind w:left="0"/>
        <w:contextualSpacing w:val="0"/>
        <w:jc w:val="both"/>
        <w:rPr>
          <w:highlight w:val="yellow"/>
        </w:rPr>
      </w:pPr>
      <w:r>
        <w:t xml:space="preserve">Experts </w:t>
      </w:r>
      <w:r w:rsidR="00552DE6">
        <w:t xml:space="preserve">consented the </w:t>
      </w:r>
      <w:r w:rsidR="007E291D">
        <w:t>Corrigendum to ITU-T K.50 “</w:t>
      </w:r>
      <w:r w:rsidR="007E291D" w:rsidRPr="00A8698D">
        <w:t>Safe limits for operating voltages and currents in telecommunication systems powered over the network</w:t>
      </w:r>
      <w:r w:rsidR="007E291D">
        <w:t xml:space="preserve">”. </w:t>
      </w:r>
    </w:p>
    <w:p w14:paraId="238D5766" w14:textId="75C9FE1F" w:rsidR="00BB60C4" w:rsidRDefault="00156997" w:rsidP="00B429E5">
      <w:pPr>
        <w:pStyle w:val="ListParagraph"/>
        <w:ind w:left="0"/>
        <w:contextualSpacing w:val="0"/>
        <w:jc w:val="both"/>
      </w:pPr>
      <w:r>
        <w:t xml:space="preserve">Three </w:t>
      </w:r>
      <w:r w:rsidR="00396140" w:rsidRPr="005621F0">
        <w:t>new Supplement</w:t>
      </w:r>
      <w:r w:rsidR="00552DE6">
        <w:t>s were agreed</w:t>
      </w:r>
      <w:r>
        <w:t xml:space="preserve">: ITU-T </w:t>
      </w:r>
      <w:r w:rsidRPr="00BB60C4">
        <w:t>K.Suppl.24 to Recommendation ITU-T K.20</w:t>
      </w:r>
      <w:r>
        <w:t xml:space="preserve"> “</w:t>
      </w:r>
      <w:r w:rsidRPr="00BB60C4">
        <w:t>Rationale for setting resistibility requirements of telecommunication equipment installed in a telecommunication centre against lightning</w:t>
      </w:r>
      <w:r>
        <w:t xml:space="preserve">”, ITU-T </w:t>
      </w:r>
      <w:r w:rsidRPr="00BB60C4">
        <w:t>K.Suppl.25 to Recommendation ITU-T K.117</w:t>
      </w:r>
      <w:r>
        <w:t xml:space="preserve"> “</w:t>
      </w:r>
      <w:r w:rsidRPr="00BB60C4">
        <w:t>Long reach single twisted-pair Ethernet resistibility testing</w:t>
      </w:r>
      <w:r>
        <w:t>”, and ITU-T K.Suppl.26 “</w:t>
      </w:r>
      <w:r w:rsidRPr="00156997">
        <w:t xml:space="preserve">Analysis of electromagnetic compatibility requirements and test methods of 5G Active Antenna System base </w:t>
      </w:r>
      <w:proofErr w:type="spellStart"/>
      <w:r w:rsidRPr="00156997">
        <w:t>statio</w:t>
      </w:r>
      <w:proofErr w:type="spellEnd"/>
      <w:r>
        <w:t xml:space="preserve">”. Furthermore, </w:t>
      </w:r>
      <w:r w:rsidR="00913B13">
        <w:t xml:space="preserve">three </w:t>
      </w:r>
      <w:r w:rsidR="00FF4493">
        <w:t>Supplements were revised and agreed</w:t>
      </w:r>
      <w:r w:rsidR="00552DE6">
        <w:t xml:space="preserve">: </w:t>
      </w:r>
      <w:r w:rsidR="00B429E5" w:rsidRPr="005621F0">
        <w:t>ITU-T K.Sup</w:t>
      </w:r>
      <w:r w:rsidR="00357764">
        <w:t>pl</w:t>
      </w:r>
      <w:r w:rsidR="00B429E5" w:rsidRPr="005621F0">
        <w:t>.</w:t>
      </w:r>
      <w:r w:rsidR="00357764">
        <w:t>2</w:t>
      </w:r>
      <w:r w:rsidR="00552DE6">
        <w:t>1</w:t>
      </w:r>
      <w:r w:rsidR="00B429E5" w:rsidRPr="005621F0">
        <w:t xml:space="preserve"> to </w:t>
      </w:r>
      <w:r w:rsidR="00BB60C4" w:rsidRPr="00BB60C4">
        <w:t>Recommendation ITU-T K.44</w:t>
      </w:r>
      <w:r w:rsidR="00BB60C4">
        <w:t xml:space="preserve"> “</w:t>
      </w:r>
      <w:r w:rsidR="00BB60C4" w:rsidRPr="00BB60C4">
        <w:t>Rationale for setting resistibility requirements of telecommunication equipment installed in customer premises against lightning</w:t>
      </w:r>
      <w:r w:rsidR="00BB60C4">
        <w:t xml:space="preserve">”, </w:t>
      </w:r>
      <w:r w:rsidR="00BB60C4" w:rsidRPr="00BB60C4">
        <w:t>K.Suppl.22 to Recommendation ITU-T K.45</w:t>
      </w:r>
      <w:r w:rsidR="00BB60C4">
        <w:t xml:space="preserve"> “</w:t>
      </w:r>
      <w:r w:rsidR="00BB60C4" w:rsidRPr="00BB60C4">
        <w:t>Rationale of resistibility of telecommunication equipment installed in the access and trunk networks against lightning</w:t>
      </w:r>
      <w:r w:rsidR="00BB60C4">
        <w:t xml:space="preserve">”, </w:t>
      </w:r>
      <w:r w:rsidR="00FF4493">
        <w:t xml:space="preserve">and </w:t>
      </w:r>
      <w:r w:rsidR="00BB60C4" w:rsidRPr="00BB60C4">
        <w:t>K.Suppl.1 to Recommendation ITU-T K.91</w:t>
      </w:r>
      <w:r w:rsidR="00BB60C4">
        <w:t xml:space="preserve"> “</w:t>
      </w:r>
      <w:r w:rsidR="00BB60C4" w:rsidRPr="00BB60C4">
        <w:t>Guide on electromagnetic fields and health</w:t>
      </w:r>
      <w:r w:rsidR="00BB60C4">
        <w:t xml:space="preserve">”. </w:t>
      </w:r>
    </w:p>
    <w:p w14:paraId="795B8B12" w14:textId="5CDBFE36" w:rsidR="00156997" w:rsidRDefault="00156997" w:rsidP="00B429E5">
      <w:pPr>
        <w:pStyle w:val="ListParagraph"/>
        <w:ind w:left="0"/>
        <w:contextualSpacing w:val="0"/>
        <w:jc w:val="both"/>
      </w:pPr>
      <w:r>
        <w:t>WP1/5 experts also agreed on the revision of Appendix II to Recommendation ITU-T K.90 on Software “EMFACDC”.</w:t>
      </w:r>
    </w:p>
    <w:p w14:paraId="35BF7C1D" w14:textId="5319ECE3" w:rsidR="00980846" w:rsidRDefault="009863E1" w:rsidP="00B429E5">
      <w:pPr>
        <w:jc w:val="both"/>
      </w:pPr>
      <w:r w:rsidRPr="005621F0">
        <w:rPr>
          <w:rFonts w:eastAsia="MS Mincho"/>
        </w:rPr>
        <w:t xml:space="preserve">Under the umbrella of </w:t>
      </w:r>
      <w:r w:rsidRPr="005621F0">
        <w:rPr>
          <w:rFonts w:eastAsia="MS Mincho"/>
          <w:b/>
        </w:rPr>
        <w:t>Working Party 2/5</w:t>
      </w:r>
      <w:r w:rsidRPr="005621F0">
        <w:rPr>
          <w:rFonts w:eastAsia="MS Mincho"/>
        </w:rPr>
        <w:t>,</w:t>
      </w:r>
      <w:r w:rsidR="0054713E">
        <w:rPr>
          <w:rFonts w:eastAsia="MS Mincho"/>
        </w:rPr>
        <w:t xml:space="preserve"> </w:t>
      </w:r>
      <w:r w:rsidR="00F3637C">
        <w:rPr>
          <w:rFonts w:eastAsia="MS Mincho"/>
        </w:rPr>
        <w:t>six</w:t>
      </w:r>
      <w:r w:rsidR="00F3637C" w:rsidRPr="005621F0">
        <w:rPr>
          <w:rFonts w:eastAsia="MS Mincho"/>
        </w:rPr>
        <w:t xml:space="preserve"> </w:t>
      </w:r>
      <w:r w:rsidR="00B429E5" w:rsidRPr="005621F0">
        <w:rPr>
          <w:rFonts w:eastAsia="MS Mincho"/>
        </w:rPr>
        <w:t xml:space="preserve">new ITU-T Recommendations were </w:t>
      </w:r>
      <w:r w:rsidR="00552DE6">
        <w:rPr>
          <w:rFonts w:eastAsia="MS Mincho"/>
        </w:rPr>
        <w:t>consented</w:t>
      </w:r>
      <w:r w:rsidR="00B429E5" w:rsidRPr="005621F0">
        <w:rPr>
          <w:rFonts w:eastAsia="MS Mincho"/>
        </w:rPr>
        <w:t xml:space="preserve">: </w:t>
      </w:r>
      <w:r w:rsidR="00980846">
        <w:rPr>
          <w:rFonts w:eastAsia="MS Mincho"/>
        </w:rPr>
        <w:t>Recommendation ITU-T L.1317 “</w:t>
      </w:r>
      <w:r w:rsidR="00980846" w:rsidRPr="00980846">
        <w:rPr>
          <w:rFonts w:eastAsia="MS Mincho"/>
        </w:rPr>
        <w:t xml:space="preserve">Guidelines on Energy Efficient </w:t>
      </w:r>
      <w:proofErr w:type="spellStart"/>
      <w:r w:rsidR="00980846" w:rsidRPr="00980846">
        <w:rPr>
          <w:rFonts w:eastAsia="MS Mincho"/>
        </w:rPr>
        <w:t>Blockchain</w:t>
      </w:r>
      <w:proofErr w:type="spellEnd"/>
      <w:r w:rsidR="00980846" w:rsidRPr="00980846">
        <w:rPr>
          <w:rFonts w:eastAsia="MS Mincho"/>
        </w:rPr>
        <w:t xml:space="preserve"> Systems</w:t>
      </w:r>
      <w:r w:rsidR="00980846">
        <w:rPr>
          <w:rFonts w:eastAsia="MS Mincho"/>
        </w:rPr>
        <w:t>”, ITU-T L.1050 “</w:t>
      </w:r>
      <w:r w:rsidR="00980846" w:rsidRPr="00980846">
        <w:rPr>
          <w:rFonts w:eastAsia="MS Mincho"/>
        </w:rPr>
        <w:t>Methodology to identify key equipment in order to assess the environmental impact and e</w:t>
      </w:r>
      <w:r w:rsidR="00FF4493">
        <w:rPr>
          <w:rFonts w:eastAsia="MS Mincho"/>
        </w:rPr>
        <w:noBreakHyphen/>
      </w:r>
      <w:r w:rsidR="00980846" w:rsidRPr="00980846">
        <w:rPr>
          <w:rFonts w:eastAsia="MS Mincho"/>
        </w:rPr>
        <w:t>waste generation of different network architectures</w:t>
      </w:r>
      <w:r w:rsidR="00980846">
        <w:rPr>
          <w:rFonts w:eastAsia="MS Mincho"/>
        </w:rPr>
        <w:t>”, ITU-T L.1033 “</w:t>
      </w:r>
      <w:r w:rsidR="00980846" w:rsidRPr="00980846">
        <w:rPr>
          <w:rFonts w:eastAsia="MS Mincho"/>
        </w:rPr>
        <w:t>Guid</w:t>
      </w:r>
      <w:r w:rsidR="00FF4493">
        <w:rPr>
          <w:rFonts w:eastAsia="MS Mincho"/>
        </w:rPr>
        <w:t>ance</w:t>
      </w:r>
      <w:r w:rsidR="00980846" w:rsidRPr="00980846">
        <w:rPr>
          <w:rFonts w:eastAsia="MS Mincho"/>
        </w:rPr>
        <w:t xml:space="preserve"> for institutions of higher learning to contribute in the effective life cycle management of e-equipment and e-waste</w:t>
      </w:r>
      <w:r w:rsidR="00980846">
        <w:rPr>
          <w:rFonts w:eastAsia="MS Mincho"/>
        </w:rPr>
        <w:t>”, ITU-T L.1060 “</w:t>
      </w:r>
      <w:r w:rsidR="00980846" w:rsidRPr="00980846">
        <w:rPr>
          <w:rFonts w:eastAsia="MS Mincho"/>
        </w:rPr>
        <w:t>General principles for the green supply chain management of ICT manufacturing industry</w:t>
      </w:r>
      <w:r w:rsidR="00980846">
        <w:rPr>
          <w:rFonts w:eastAsia="MS Mincho"/>
        </w:rPr>
        <w:t>”, ITU-T L.1471 “</w:t>
      </w:r>
      <w:r w:rsidR="00980846" w:rsidRPr="00980846">
        <w:rPr>
          <w:rFonts w:eastAsia="MS Mincho"/>
        </w:rPr>
        <w:t>Guidance and criteria for ICT organisations on setting Net Zero targets and strategies</w:t>
      </w:r>
      <w:r w:rsidR="00980846">
        <w:rPr>
          <w:rFonts w:eastAsia="MS Mincho"/>
        </w:rPr>
        <w:t>”, and ITU-T L.1383 “</w:t>
      </w:r>
      <w:r w:rsidR="00980846" w:rsidRPr="00980846">
        <w:rPr>
          <w:rFonts w:eastAsia="MS Mincho"/>
        </w:rPr>
        <w:t>Smart energy solutions for cities and home applications</w:t>
      </w:r>
      <w:r w:rsidR="00980846">
        <w:rPr>
          <w:rFonts w:eastAsia="MS Mincho"/>
        </w:rPr>
        <w:t xml:space="preserve">”. </w:t>
      </w:r>
    </w:p>
    <w:p w14:paraId="618897DC" w14:textId="33A405DE" w:rsidR="00C66FCC" w:rsidRDefault="00980846" w:rsidP="00B429E5">
      <w:pPr>
        <w:jc w:val="both"/>
      </w:pPr>
      <w:r>
        <w:t>Four</w:t>
      </w:r>
      <w:r w:rsidR="009063A1">
        <w:t xml:space="preserve"> new Supplement</w:t>
      </w:r>
      <w:r w:rsidR="000A3BAE">
        <w:t>s</w:t>
      </w:r>
      <w:r w:rsidR="009063A1">
        <w:t xml:space="preserve"> w</w:t>
      </w:r>
      <w:r w:rsidR="000A3BAE">
        <w:t>ere</w:t>
      </w:r>
      <w:r w:rsidR="009063A1">
        <w:t xml:space="preserve"> agreed: ITU-T</w:t>
      </w:r>
      <w:r w:rsidR="00C66FCC">
        <w:t xml:space="preserve"> </w:t>
      </w:r>
      <w:r w:rsidR="00C66FCC" w:rsidRPr="00C66FCC">
        <w:t>L.Suppl.41</w:t>
      </w:r>
      <w:r w:rsidR="00C66FCC">
        <w:t xml:space="preserve"> “</w:t>
      </w:r>
      <w:r w:rsidR="00C66FCC" w:rsidRPr="00C66FCC">
        <w:t>Requirements on energy efficiency measurement models and the role of AI and big data</w:t>
      </w:r>
      <w:r w:rsidR="00C66FCC">
        <w:t xml:space="preserve">”, ITU-T </w:t>
      </w:r>
      <w:r w:rsidR="00C66FCC" w:rsidRPr="00C66FCC">
        <w:t>L.Suppl.42</w:t>
      </w:r>
      <w:r w:rsidR="00C66FCC">
        <w:t xml:space="preserve"> “</w:t>
      </w:r>
      <w:r w:rsidR="00C66FCC" w:rsidRPr="00C66FCC">
        <w:t>Guidelines on the Environmental Efficiency of Machine Learning Processes in Supply Chain Management</w:t>
      </w:r>
      <w:r w:rsidR="00C66FCC">
        <w:t xml:space="preserve">”, ITU-T </w:t>
      </w:r>
      <w:r w:rsidR="00C66FCC" w:rsidRPr="00C66FCC">
        <w:t>L.Suppl.43</w:t>
      </w:r>
      <w:r w:rsidR="00C66FCC">
        <w:t xml:space="preserve"> “</w:t>
      </w:r>
      <w:r w:rsidR="00C66FCC" w:rsidRPr="00C66FCC">
        <w:t>Smart energy saving of 5G base station: Based on AI and other emerging technologies to forecast and optimize the management of 5G wireless network energy consumption</w:t>
      </w:r>
      <w:r w:rsidR="00C66FCC">
        <w:t xml:space="preserve">”, and ITU-T </w:t>
      </w:r>
      <w:r w:rsidR="00DE40C9" w:rsidRPr="00DE40C9">
        <w:t>L.Suppl.44</w:t>
      </w:r>
      <w:r w:rsidR="00DE40C9">
        <w:t xml:space="preserve"> </w:t>
      </w:r>
      <w:r w:rsidR="00FF4493">
        <w:t>“</w:t>
      </w:r>
      <w:r w:rsidR="00DE40C9" w:rsidRPr="00DE40C9">
        <w:t>A Guideline on best practices and environment friendly policies for effective ICT deployment methods</w:t>
      </w:r>
      <w:r w:rsidR="00FF4493">
        <w:t>”</w:t>
      </w:r>
      <w:r w:rsidR="00DE40C9">
        <w:t xml:space="preserve">. </w:t>
      </w:r>
    </w:p>
    <w:p w14:paraId="50311D7C" w14:textId="1AB06B57" w:rsidR="00B0022E" w:rsidRPr="005621F0" w:rsidRDefault="004E56AE">
      <w:pPr>
        <w:tabs>
          <w:tab w:val="left" w:pos="1151"/>
        </w:tabs>
        <w:spacing w:before="360" w:line="240" w:lineRule="atLeast"/>
        <w:jc w:val="both"/>
        <w:rPr>
          <w:b/>
          <w:bCs/>
        </w:rPr>
      </w:pPr>
      <w:r>
        <w:t xml:space="preserve"> </w:t>
      </w:r>
      <w:r w:rsidR="00D12115" w:rsidRPr="005621F0">
        <w:rPr>
          <w:b/>
          <w:bCs/>
        </w:rPr>
        <w:t>2</w:t>
      </w:r>
      <w:r w:rsidR="00D12115" w:rsidRPr="005621F0">
        <w:rPr>
          <w:b/>
          <w:bCs/>
        </w:rPr>
        <w:tab/>
        <w:t>Plan of work for this study period and towards the next study period and progress</w:t>
      </w:r>
    </w:p>
    <w:p w14:paraId="0745012E" w14:textId="6126E2C5" w:rsidR="00B0022E" w:rsidRPr="005621F0" w:rsidRDefault="00F942C2" w:rsidP="00DA2BE9">
      <w:pPr>
        <w:spacing w:after="120"/>
        <w:rPr>
          <w:lang w:eastAsia="zh-CN"/>
        </w:rPr>
      </w:pPr>
      <w:r>
        <w:rPr>
          <w:lang w:eastAsia="zh-CN"/>
        </w:rPr>
        <w:t xml:space="preserve">The list of </w:t>
      </w:r>
      <w:r w:rsidR="00D12115" w:rsidRPr="005621F0">
        <w:rPr>
          <w:lang w:eastAsia="zh-CN"/>
        </w:rPr>
        <w:t>Recommendations and other texts on electromagnetic compatibility</w:t>
      </w:r>
      <w:r w:rsidR="00913B13">
        <w:rPr>
          <w:lang w:eastAsia="zh-CN"/>
        </w:rPr>
        <w:t xml:space="preserve">, lightning </w:t>
      </w:r>
      <w:proofErr w:type="spellStart"/>
      <w:r w:rsidR="00913B13">
        <w:rPr>
          <w:lang w:eastAsia="zh-CN"/>
        </w:rPr>
        <w:t>protection,</w:t>
      </w:r>
      <w:r w:rsidR="00D12115" w:rsidRPr="005621F0">
        <w:rPr>
          <w:lang w:eastAsia="zh-CN"/>
        </w:rPr>
        <w:t>electromagnetic</w:t>
      </w:r>
      <w:proofErr w:type="spellEnd"/>
      <w:r w:rsidR="00D12115" w:rsidRPr="005621F0">
        <w:rPr>
          <w:lang w:eastAsia="zh-CN"/>
        </w:rPr>
        <w:t xml:space="preserve"> effects, environment</w:t>
      </w:r>
      <w:r w:rsidR="00913B13">
        <w:rPr>
          <w:lang w:eastAsia="zh-CN"/>
        </w:rPr>
        <w:t>, climate change, energy efficiency, clean energy</w:t>
      </w:r>
      <w:r w:rsidR="00D12115" w:rsidRPr="005621F0">
        <w:rPr>
          <w:lang w:eastAsia="zh-CN"/>
        </w:rPr>
        <w:t xml:space="preserve"> and circular economy</w:t>
      </w:r>
      <w:r w:rsidR="00913B13">
        <w:rPr>
          <w:lang w:eastAsia="zh-CN"/>
        </w:rPr>
        <w:t>, including e-waste</w:t>
      </w:r>
      <w:r w:rsidR="00D12115" w:rsidRPr="005621F0">
        <w:rPr>
          <w:lang w:eastAsia="zh-CN"/>
        </w:rPr>
        <w:t xml:space="preserve"> </w:t>
      </w:r>
      <w:r>
        <w:rPr>
          <w:lang w:eastAsia="zh-CN"/>
        </w:rPr>
        <w:t xml:space="preserve">that are </w:t>
      </w:r>
      <w:r w:rsidR="00D12115" w:rsidRPr="005621F0">
        <w:rPr>
          <w:lang w:eastAsia="zh-CN"/>
        </w:rPr>
        <w:t xml:space="preserve">currently under development in ITU-T SG5 can be found at: </w:t>
      </w:r>
      <w:hyperlink r:id="rId21" w:history="1">
        <w:r w:rsidR="00D12115" w:rsidRPr="005621F0">
          <w:rPr>
            <w:rStyle w:val="Hyperlink"/>
            <w:lang w:eastAsia="zh-CN"/>
          </w:rPr>
          <w:t>https://www.itu.int/ITU-T/workprog/wp_search.aspx?isn_sp=3925&amp;isn_sg=3928&amp;isn_status=-1,1,3,7&amp;details=0&amp;field=acdefghijo</w:t>
        </w:r>
      </w:hyperlink>
      <w:r w:rsidR="00D12115" w:rsidRPr="005621F0">
        <w:rPr>
          <w:lang w:eastAsia="zh-CN"/>
        </w:rPr>
        <w:t xml:space="preserve"> </w:t>
      </w:r>
    </w:p>
    <w:p w14:paraId="7D4B0119" w14:textId="77777777" w:rsidR="00B0022E" w:rsidRPr="005621F0" w:rsidRDefault="00D12115" w:rsidP="00437BC7">
      <w:pPr>
        <w:keepNext/>
        <w:keepLines/>
        <w:tabs>
          <w:tab w:val="left" w:pos="567"/>
          <w:tab w:val="left" w:pos="993"/>
        </w:tabs>
        <w:spacing w:before="360"/>
        <w:jc w:val="both"/>
        <w:rPr>
          <w:b/>
        </w:rPr>
      </w:pPr>
      <w:r w:rsidRPr="005621F0">
        <w:rPr>
          <w:b/>
        </w:rPr>
        <w:lastRenderedPageBreak/>
        <w:t>3</w:t>
      </w:r>
      <w:r w:rsidRPr="005621F0">
        <w:rPr>
          <w:b/>
        </w:rPr>
        <w:tab/>
        <w:t>SG</w:t>
      </w:r>
      <w:r w:rsidRPr="005621F0">
        <w:rPr>
          <w:rFonts w:eastAsia="MS Mincho"/>
          <w:b/>
        </w:rPr>
        <w:t>5</w:t>
      </w:r>
      <w:r w:rsidRPr="005621F0">
        <w:rPr>
          <w:b/>
        </w:rPr>
        <w:t xml:space="preserve"> as Lead Study Group on electromagnetic compatibility lightning protection and electromagnetic effects; ICTs related to the environment, climate change, energy efficiency and clean energy and circular economy, including e</w:t>
      </w:r>
      <w:r w:rsidRPr="005621F0">
        <w:rPr>
          <w:rFonts w:eastAsia="MS Mincho"/>
          <w:b/>
        </w:rPr>
        <w:t>‑</w:t>
      </w:r>
      <w:r w:rsidRPr="005621F0">
        <w:rPr>
          <w:b/>
        </w:rPr>
        <w:t>waste</w:t>
      </w:r>
    </w:p>
    <w:p w14:paraId="41760F8C" w14:textId="4FDD8D93" w:rsidR="00B0022E" w:rsidRPr="005621F0" w:rsidRDefault="00D12115" w:rsidP="00437BC7">
      <w:pPr>
        <w:keepNext/>
        <w:keepLines/>
        <w:spacing w:before="240"/>
        <w:jc w:val="both"/>
        <w:rPr>
          <w:b/>
        </w:rPr>
      </w:pPr>
      <w:r w:rsidRPr="005621F0">
        <w:rPr>
          <w:b/>
        </w:rPr>
        <w:t>3.1</w:t>
      </w:r>
      <w:r w:rsidRPr="005621F0">
        <w:rPr>
          <w:b/>
        </w:rPr>
        <w:tab/>
      </w:r>
      <w:r w:rsidR="00A56774">
        <w:rPr>
          <w:b/>
        </w:rPr>
        <w:t>Electrical protection, reliability, safety and security systems</w:t>
      </w:r>
      <w:r w:rsidR="00704616">
        <w:rPr>
          <w:b/>
        </w:rPr>
        <w:t xml:space="preserve"> </w:t>
      </w:r>
    </w:p>
    <w:p w14:paraId="693F4440" w14:textId="7D43400B" w:rsidR="00B0022E" w:rsidRPr="005621F0" w:rsidRDefault="00D12115">
      <w:pPr>
        <w:keepNext/>
        <w:jc w:val="both"/>
      </w:pPr>
      <w:r w:rsidRPr="005621F0">
        <w:t>The protection</w:t>
      </w:r>
      <w:r w:rsidR="00D54321">
        <w:t>, reliability, safety and security</w:t>
      </w:r>
      <w:r w:rsidRPr="005621F0">
        <w:t xml:space="preserve"> of </w:t>
      </w:r>
      <w:r w:rsidR="00234B2E">
        <w:t>ICT systems</w:t>
      </w:r>
      <w:r w:rsidR="00D54321">
        <w:t xml:space="preserve"> </w:t>
      </w:r>
      <w:r w:rsidRPr="005621F0">
        <w:t xml:space="preserve">is studied by Question 1/5. </w:t>
      </w:r>
      <w:r w:rsidR="00E51C3D" w:rsidRPr="00E51C3D">
        <w:t>The reliability of infrastructure is essential for stability of society. The purpose of this Question is to produce new or revised Recommendations or Supplements regarding the protection of telecommunication systems against the effects of nearby lightning strikes, disturbances from nearby electric power systems.</w:t>
      </w:r>
    </w:p>
    <w:p w14:paraId="590000AE" w14:textId="6DBE1F1C" w:rsidR="003D6D08" w:rsidRDefault="00BF1EFF" w:rsidP="003D6D08">
      <w:pPr>
        <w:keepNext/>
        <w:jc w:val="both"/>
        <w:rPr>
          <w:bCs/>
        </w:rPr>
      </w:pPr>
      <w:r w:rsidRPr="005621F0">
        <w:rPr>
          <w:bCs/>
        </w:rPr>
        <w:t xml:space="preserve">Q1/5 is currently working on </w:t>
      </w:r>
      <w:r w:rsidR="00E51C3D">
        <w:rPr>
          <w:bCs/>
        </w:rPr>
        <w:t>thirteen</w:t>
      </w:r>
      <w:r w:rsidR="00E51C3D" w:rsidRPr="005621F0">
        <w:rPr>
          <w:bCs/>
        </w:rPr>
        <w:t xml:space="preserve"> </w:t>
      </w:r>
      <w:r w:rsidRPr="005621F0">
        <w:rPr>
          <w:bCs/>
        </w:rPr>
        <w:t>work items</w:t>
      </w:r>
      <w:r w:rsidR="00B52BD9">
        <w:rPr>
          <w:bCs/>
        </w:rPr>
        <w:t xml:space="preserve">. </w:t>
      </w:r>
    </w:p>
    <w:p w14:paraId="5D58F872" w14:textId="31BC74C7" w:rsidR="00B0022E" w:rsidRPr="005621F0" w:rsidRDefault="00D12115">
      <w:pPr>
        <w:keepNext/>
        <w:spacing w:before="240"/>
        <w:jc w:val="both"/>
        <w:rPr>
          <w:b/>
        </w:rPr>
      </w:pPr>
      <w:r w:rsidRPr="005621F0">
        <w:rPr>
          <w:b/>
        </w:rPr>
        <w:t>3.2</w:t>
      </w:r>
      <w:r w:rsidRPr="005621F0">
        <w:rPr>
          <w:b/>
        </w:rPr>
        <w:tab/>
      </w:r>
      <w:r w:rsidR="00A56774">
        <w:rPr>
          <w:b/>
        </w:rPr>
        <w:t>Protecting equipment and devices against lightning and other electrical events</w:t>
      </w:r>
    </w:p>
    <w:p w14:paraId="238A7625" w14:textId="4AA025AB" w:rsidR="000E3821" w:rsidRDefault="00D12115" w:rsidP="000E3821">
      <w:pPr>
        <w:keepNext/>
        <w:jc w:val="both"/>
      </w:pPr>
      <w:r w:rsidRPr="005621F0">
        <w:t xml:space="preserve">The resistibility and safety applied to telecommunications equipment and infrastructure is studied by Question 2/5. </w:t>
      </w:r>
      <w:r w:rsidR="000E3821" w:rsidRPr="000E3821">
        <w:t xml:space="preserve">The purpose of this Question is to produce new or revised Recommendations or Supplements regarding the resistibility </w:t>
      </w:r>
      <w:r w:rsidR="000E3821">
        <w:t xml:space="preserve">of </w:t>
      </w:r>
      <w:r w:rsidR="000E3821" w:rsidRPr="000E3821">
        <w:t xml:space="preserve">ICT equipment and also specifications, test methods and principles of application for protective components and assemblies. </w:t>
      </w:r>
    </w:p>
    <w:p w14:paraId="67606A61" w14:textId="1E4658FD" w:rsidR="00992A91" w:rsidRDefault="00BF1EFF" w:rsidP="000E3821">
      <w:pPr>
        <w:keepNext/>
        <w:jc w:val="both"/>
        <w:rPr>
          <w:bCs/>
        </w:rPr>
      </w:pPr>
      <w:r w:rsidRPr="005621F0">
        <w:rPr>
          <w:bCs/>
        </w:rPr>
        <w:t xml:space="preserve">Q2/5 is currently working on </w:t>
      </w:r>
      <w:r w:rsidR="00970992">
        <w:rPr>
          <w:bCs/>
        </w:rPr>
        <w:t>five</w:t>
      </w:r>
      <w:r w:rsidR="00970992" w:rsidRPr="005621F0">
        <w:rPr>
          <w:bCs/>
        </w:rPr>
        <w:t xml:space="preserve"> </w:t>
      </w:r>
      <w:r w:rsidRPr="005621F0">
        <w:rPr>
          <w:bCs/>
        </w:rPr>
        <w:t>work items</w:t>
      </w:r>
      <w:r w:rsidR="00B52BD9">
        <w:rPr>
          <w:bCs/>
        </w:rPr>
        <w:t xml:space="preserve">. During the last SG5 meeting, experts agreed to start working on draft </w:t>
      </w:r>
      <w:r w:rsidR="00992A91">
        <w:rPr>
          <w:bCs/>
        </w:rPr>
        <w:t xml:space="preserve">Recommendation </w:t>
      </w:r>
      <w:proofErr w:type="spellStart"/>
      <w:r w:rsidR="00992A91" w:rsidRPr="00992A91">
        <w:rPr>
          <w:bCs/>
        </w:rPr>
        <w:t>K.isolator</w:t>
      </w:r>
      <w:proofErr w:type="spellEnd"/>
      <w:r w:rsidR="00992A91">
        <w:rPr>
          <w:bCs/>
        </w:rPr>
        <w:t xml:space="preserve"> “</w:t>
      </w:r>
      <w:r w:rsidR="00992A91" w:rsidRPr="00992A91">
        <w:rPr>
          <w:bCs/>
        </w:rPr>
        <w:t>Integrated circuit isolators for telecommunications use</w:t>
      </w:r>
      <w:r w:rsidR="00992A91">
        <w:rPr>
          <w:bCs/>
        </w:rPr>
        <w:t>”,</w:t>
      </w:r>
      <w:r w:rsidR="0095225B">
        <w:rPr>
          <w:bCs/>
        </w:rPr>
        <w:t xml:space="preserve"> and to keep as active work items the revisions of</w:t>
      </w:r>
      <w:r w:rsidR="00992A91">
        <w:rPr>
          <w:bCs/>
        </w:rPr>
        <w:t xml:space="preserve"> draft Supplement ITU-T </w:t>
      </w:r>
      <w:r w:rsidR="00992A91" w:rsidRPr="00992A91">
        <w:rPr>
          <w:bCs/>
        </w:rPr>
        <w:t>K.Sup.21.rev</w:t>
      </w:r>
      <w:r w:rsidR="00992A91">
        <w:rPr>
          <w:bCs/>
        </w:rPr>
        <w:t xml:space="preserve"> “</w:t>
      </w:r>
      <w:r w:rsidR="00992A91" w:rsidRPr="00992A91">
        <w:rPr>
          <w:bCs/>
        </w:rPr>
        <w:t>Rationale for setting resistibility requirements of telecommunication equipment installed in customer premises against lightning</w:t>
      </w:r>
      <w:r w:rsidR="00992A91">
        <w:rPr>
          <w:bCs/>
        </w:rPr>
        <w:t xml:space="preserve">”, and draft Supplement </w:t>
      </w:r>
      <w:r w:rsidR="00992A91" w:rsidRPr="00992A91">
        <w:rPr>
          <w:bCs/>
        </w:rPr>
        <w:t>K.Sup.22.rev</w:t>
      </w:r>
      <w:r w:rsidR="00992A91">
        <w:rPr>
          <w:bCs/>
        </w:rPr>
        <w:t xml:space="preserve"> “</w:t>
      </w:r>
      <w:r w:rsidR="00992A91" w:rsidRPr="00992A91">
        <w:rPr>
          <w:bCs/>
        </w:rPr>
        <w:t>Rationale for setting resistibility requirements of telecommunication equipment installed in the access and trunk networks against lightning</w:t>
      </w:r>
      <w:r w:rsidR="00992A91">
        <w:rPr>
          <w:bCs/>
        </w:rPr>
        <w:t>”</w:t>
      </w:r>
      <w:r w:rsidR="00474E80">
        <w:rPr>
          <w:bCs/>
        </w:rPr>
        <w:t xml:space="preserve">. </w:t>
      </w:r>
    </w:p>
    <w:p w14:paraId="2386F1A0" w14:textId="68EA6EF5" w:rsidR="00B0022E" w:rsidRPr="005621F0" w:rsidRDefault="00D12115" w:rsidP="003371ED">
      <w:pPr>
        <w:keepNext/>
        <w:keepLines/>
        <w:tabs>
          <w:tab w:val="left" w:pos="540"/>
        </w:tabs>
        <w:spacing w:before="360" w:line="240" w:lineRule="atLeast"/>
        <w:jc w:val="both"/>
        <w:rPr>
          <w:b/>
        </w:rPr>
      </w:pPr>
      <w:r w:rsidRPr="005621F0">
        <w:rPr>
          <w:b/>
        </w:rPr>
        <w:t>3.3</w:t>
      </w:r>
      <w:r w:rsidRPr="005621F0">
        <w:rPr>
          <w:b/>
        </w:rPr>
        <w:tab/>
      </w:r>
      <w:r w:rsidR="00AE2004" w:rsidRPr="00AE2004">
        <w:rPr>
          <w:b/>
        </w:rPr>
        <w:t xml:space="preserve">Human exposure to electromagnetic fields (EMFs) due to digital technologies </w:t>
      </w:r>
    </w:p>
    <w:p w14:paraId="20B321F6" w14:textId="1DFEACC3" w:rsidR="00AE2004" w:rsidRPr="005621F0" w:rsidRDefault="00A0600B" w:rsidP="00AE2004">
      <w:pPr>
        <w:keepNext/>
        <w:keepLines/>
        <w:tabs>
          <w:tab w:val="left" w:pos="540"/>
        </w:tabs>
        <w:spacing w:line="240" w:lineRule="atLeast"/>
        <w:jc w:val="both"/>
        <w:rPr>
          <w:rFonts w:eastAsia="MS Mincho"/>
        </w:rPr>
      </w:pPr>
      <w:r>
        <w:rPr>
          <w:rFonts w:eastAsia="MS Mincho"/>
        </w:rPr>
        <w:t xml:space="preserve">The </w:t>
      </w:r>
      <w:r w:rsidR="000235E3">
        <w:rPr>
          <w:rFonts w:eastAsia="MS Mincho"/>
        </w:rPr>
        <w:t>EMF aspect of ICTs and digital technologies</w:t>
      </w:r>
      <w:r>
        <w:rPr>
          <w:rFonts w:eastAsia="MS Mincho"/>
        </w:rPr>
        <w:t xml:space="preserve"> is studied by Question 3/5. </w:t>
      </w:r>
      <w:r w:rsidR="00AE2004" w:rsidRPr="00AE2004">
        <w:rPr>
          <w:rFonts w:eastAsia="MS Mincho"/>
        </w:rPr>
        <w:t xml:space="preserve">The purpose of this Question is to develop international standards and guidelines concerning construction and maintenance, use of </w:t>
      </w:r>
      <w:proofErr w:type="spellStart"/>
      <w:r w:rsidR="00AE2004" w:rsidRPr="00AE2004">
        <w:rPr>
          <w:rFonts w:eastAsia="MS Mincho"/>
        </w:rPr>
        <w:t>radiocommunication</w:t>
      </w:r>
      <w:proofErr w:type="spellEnd"/>
      <w:r w:rsidR="00AE2004" w:rsidRPr="00AE2004">
        <w:rPr>
          <w:rFonts w:eastAsia="MS Mincho"/>
        </w:rPr>
        <w:t xml:space="preserve"> installations and proper use of devices and information on factors affecting exposure from devices in order to assure compliance with RF EMF limits. These Recommendations and guidelines should provide appropriate support to countries in establishing national regulations concerning assessment and compliance of RF EMF exposure.</w:t>
      </w:r>
      <w:r w:rsidR="00430728">
        <w:rPr>
          <w:rFonts w:eastAsia="MS Mincho"/>
        </w:rPr>
        <w:t xml:space="preserve"> </w:t>
      </w:r>
      <w:r w:rsidR="00AE2004" w:rsidRPr="00AE2004">
        <w:rPr>
          <w:rFonts w:eastAsia="MS Mincho"/>
        </w:rPr>
        <w:t>The Question will also develop standards, technical papers and methodologies for compliance with exposure limits of general public and workers to electromagnetic fields.</w:t>
      </w:r>
    </w:p>
    <w:p w14:paraId="574F4B19" w14:textId="77777777" w:rsidR="00ED6950" w:rsidRPr="005621F0" w:rsidRDefault="00ED6950">
      <w:pPr>
        <w:tabs>
          <w:tab w:val="left" w:pos="540"/>
        </w:tabs>
        <w:spacing w:line="240" w:lineRule="atLeast"/>
        <w:jc w:val="both"/>
        <w:rPr>
          <w:rFonts w:eastAsia="MS Mincho"/>
        </w:rPr>
      </w:pPr>
      <w:r w:rsidRPr="005621F0">
        <w:rPr>
          <w:bCs/>
        </w:rPr>
        <w:t xml:space="preserve">Q3/5 is currently working on </w:t>
      </w:r>
      <w:r w:rsidR="00C2506D">
        <w:rPr>
          <w:bCs/>
        </w:rPr>
        <w:t>six</w:t>
      </w:r>
      <w:r w:rsidRPr="005621F0">
        <w:rPr>
          <w:bCs/>
        </w:rPr>
        <w:t xml:space="preserve"> work items.</w:t>
      </w:r>
    </w:p>
    <w:p w14:paraId="1800EE2D" w14:textId="1F272706" w:rsidR="00B0022E" w:rsidRPr="005621F0" w:rsidRDefault="00D12115" w:rsidP="006C677D">
      <w:pPr>
        <w:tabs>
          <w:tab w:val="left" w:pos="540"/>
        </w:tabs>
        <w:spacing w:before="360" w:line="240" w:lineRule="atLeast"/>
        <w:jc w:val="both"/>
        <w:rPr>
          <w:b/>
        </w:rPr>
      </w:pPr>
      <w:r w:rsidRPr="005621F0">
        <w:rPr>
          <w:b/>
        </w:rPr>
        <w:t>3.4</w:t>
      </w:r>
      <w:r w:rsidRPr="005621F0">
        <w:rPr>
          <w:b/>
        </w:rPr>
        <w:tab/>
      </w:r>
      <w:r w:rsidR="000A0C54" w:rsidRPr="000A0C54">
        <w:rPr>
          <w:b/>
        </w:rPr>
        <w:t xml:space="preserve">Electromagnetic compatibility (EMC) aspects in ICT environment </w:t>
      </w:r>
    </w:p>
    <w:p w14:paraId="05E57634" w14:textId="002DB2E7" w:rsidR="003F60B1" w:rsidRDefault="00F72EBE" w:rsidP="006C677D">
      <w:pPr>
        <w:tabs>
          <w:tab w:val="left" w:pos="1151"/>
        </w:tabs>
        <w:spacing w:line="240" w:lineRule="atLeast"/>
        <w:jc w:val="both"/>
        <w:rPr>
          <w:rFonts w:eastAsia="MS Mincho"/>
        </w:rPr>
      </w:pPr>
      <w:r>
        <w:rPr>
          <w:rFonts w:eastAsia="MS Mincho"/>
        </w:rPr>
        <w:t xml:space="preserve">The </w:t>
      </w:r>
      <w:r w:rsidR="00743504">
        <w:rPr>
          <w:rFonts w:eastAsia="MS Mincho"/>
        </w:rPr>
        <w:t>EMC aspects in ICT environment</w:t>
      </w:r>
      <w:r>
        <w:rPr>
          <w:rFonts w:eastAsia="MS Mincho"/>
        </w:rPr>
        <w:t xml:space="preserve"> is studied by Question 4/5. </w:t>
      </w:r>
      <w:r w:rsidR="003F60B1" w:rsidRPr="003F60B1">
        <w:rPr>
          <w:rFonts w:eastAsia="MS Mincho"/>
        </w:rPr>
        <w:t>The electromagnetic environment is changing rapidly through the development and installation of new types of electric/electronic equipment and evolving the telecommunication infrastructure.</w:t>
      </w:r>
      <w:r w:rsidR="00ED16CF" w:rsidRPr="00ED16CF">
        <w:t xml:space="preserve"> </w:t>
      </w:r>
      <w:r w:rsidR="00ED16CF" w:rsidRPr="00ED16CF">
        <w:rPr>
          <w:rFonts w:eastAsia="MS Mincho"/>
        </w:rPr>
        <w:t xml:space="preserve">This </w:t>
      </w:r>
      <w:r w:rsidR="00ED16CF">
        <w:rPr>
          <w:rFonts w:eastAsia="MS Mincho"/>
        </w:rPr>
        <w:t>Q</w:t>
      </w:r>
      <w:r w:rsidR="00ED16CF" w:rsidRPr="00ED16CF">
        <w:rPr>
          <w:rFonts w:eastAsia="MS Mincho"/>
        </w:rPr>
        <w:t xml:space="preserve">uestion aims to establish </w:t>
      </w:r>
      <w:r w:rsidR="00746BBA">
        <w:rPr>
          <w:rFonts w:eastAsia="MS Mincho"/>
        </w:rPr>
        <w:t>the</w:t>
      </w:r>
      <w:r w:rsidR="00ED16CF" w:rsidRPr="00ED16CF">
        <w:rPr>
          <w:rFonts w:eastAsia="MS Mincho"/>
        </w:rPr>
        <w:t xml:space="preserve"> EMC requirements including emission and immunity requirements for ICT equipment, and countermeasures for facilities to reduce electromagnetic compatibility issues and maintain a controlled electromagnetic environment for ICT systems and services.</w:t>
      </w:r>
    </w:p>
    <w:p w14:paraId="76BE03FE" w14:textId="6649B011" w:rsidR="00B0022E" w:rsidRPr="005621F0" w:rsidRDefault="003F60B1" w:rsidP="006C677D">
      <w:pPr>
        <w:tabs>
          <w:tab w:val="left" w:pos="1151"/>
        </w:tabs>
        <w:spacing w:line="240" w:lineRule="atLeast"/>
        <w:jc w:val="both"/>
        <w:rPr>
          <w:rFonts w:eastAsia="MS Mincho"/>
        </w:rPr>
      </w:pPr>
      <w:r>
        <w:rPr>
          <w:rFonts w:eastAsia="MS Mincho"/>
        </w:rPr>
        <w:t>The Question is closely in collaboration</w:t>
      </w:r>
      <w:r w:rsidR="00D12115" w:rsidRPr="005621F0">
        <w:rPr>
          <w:rFonts w:eastAsia="MS Mincho"/>
        </w:rPr>
        <w:t xml:space="preserve"> with ITU-R SG1, SG5 and SG6, ITU-T SG9, IEC ACEC (Advisory Committee on Electromagnetic Compa</w:t>
      </w:r>
      <w:r w:rsidR="00FE10B6" w:rsidRPr="005621F0">
        <w:rPr>
          <w:rFonts w:eastAsia="MS Mincho"/>
        </w:rPr>
        <w:t>tibility), IEC CISPR and SC77B.</w:t>
      </w:r>
    </w:p>
    <w:p w14:paraId="72AC2AB2" w14:textId="43859BBB" w:rsidR="00C048EB" w:rsidRPr="005621F0" w:rsidRDefault="00C048EB" w:rsidP="006C677D">
      <w:pPr>
        <w:tabs>
          <w:tab w:val="left" w:pos="1151"/>
        </w:tabs>
        <w:spacing w:line="240" w:lineRule="atLeast"/>
        <w:jc w:val="both"/>
        <w:rPr>
          <w:rFonts w:eastAsia="MS Mincho"/>
        </w:rPr>
      </w:pPr>
      <w:r w:rsidRPr="005621F0">
        <w:rPr>
          <w:bCs/>
        </w:rPr>
        <w:t xml:space="preserve">Q4/5 is currently working on </w:t>
      </w:r>
      <w:r w:rsidR="00775EDA">
        <w:rPr>
          <w:bCs/>
        </w:rPr>
        <w:t xml:space="preserve">six </w:t>
      </w:r>
      <w:r w:rsidRPr="005621F0">
        <w:rPr>
          <w:bCs/>
        </w:rPr>
        <w:t>work items</w:t>
      </w:r>
      <w:r w:rsidR="00C2506D">
        <w:rPr>
          <w:bCs/>
        </w:rPr>
        <w:t xml:space="preserve">. </w:t>
      </w:r>
    </w:p>
    <w:p w14:paraId="51EEDF95" w14:textId="77B439A2" w:rsidR="00B0022E" w:rsidRPr="005621F0" w:rsidRDefault="00D12115" w:rsidP="003371ED">
      <w:pPr>
        <w:keepNext/>
        <w:keepLines/>
        <w:tabs>
          <w:tab w:val="left" w:pos="540"/>
        </w:tabs>
        <w:spacing w:before="360" w:line="240" w:lineRule="atLeast"/>
        <w:jc w:val="both"/>
        <w:rPr>
          <w:rFonts w:eastAsia="MS Mincho"/>
          <w:b/>
        </w:rPr>
      </w:pPr>
      <w:r w:rsidRPr="005621F0">
        <w:rPr>
          <w:b/>
        </w:rPr>
        <w:lastRenderedPageBreak/>
        <w:t>3.5</w:t>
      </w:r>
      <w:r w:rsidRPr="005621F0">
        <w:rPr>
          <w:b/>
        </w:rPr>
        <w:tab/>
      </w:r>
      <w:r w:rsidR="00F72EBE" w:rsidRPr="00F72EBE">
        <w:rPr>
          <w:b/>
        </w:rPr>
        <w:t xml:space="preserve">Environmental efficiency of digital technologies </w:t>
      </w:r>
    </w:p>
    <w:p w14:paraId="44EF87DB" w14:textId="3F3634C0" w:rsidR="00684E52" w:rsidRPr="005621F0" w:rsidRDefault="00684E52" w:rsidP="003371ED">
      <w:pPr>
        <w:keepNext/>
        <w:keepLines/>
        <w:jc w:val="both"/>
        <w:rPr>
          <w:rFonts w:eastAsia="MS Mincho"/>
        </w:rPr>
      </w:pPr>
      <w:r>
        <w:rPr>
          <w:rFonts w:eastAsia="MS Mincho"/>
        </w:rPr>
        <w:t>The environmental performance and</w:t>
      </w:r>
      <w:r w:rsidR="00595D46">
        <w:rPr>
          <w:rFonts w:eastAsia="MS Mincho"/>
        </w:rPr>
        <w:t xml:space="preserve"> efficiency</w:t>
      </w:r>
      <w:r>
        <w:rPr>
          <w:rFonts w:eastAsia="MS Mincho"/>
        </w:rPr>
        <w:t xml:space="preserve"> aspects of digital and frontier technologies are studied under Question 6/5. </w:t>
      </w:r>
      <w:r w:rsidR="00D87DA5">
        <w:rPr>
          <w:rFonts w:eastAsia="MS Mincho"/>
        </w:rPr>
        <w:t xml:space="preserve">These </w:t>
      </w:r>
      <w:r w:rsidR="00D87DA5" w:rsidRPr="00D87DA5">
        <w:rPr>
          <w:rFonts w:eastAsia="MS Mincho"/>
        </w:rPr>
        <w:t xml:space="preserve">technologies are capable of unlocking the next level of efficiency for the public and manufacturing sector while accelerating progress on </w:t>
      </w:r>
      <w:r w:rsidR="00AA7A61">
        <w:rPr>
          <w:rFonts w:eastAsia="MS Mincho"/>
        </w:rPr>
        <w:t>the SDGs</w:t>
      </w:r>
      <w:r w:rsidR="00D87DA5" w:rsidRPr="00D87DA5">
        <w:rPr>
          <w:rFonts w:eastAsia="MS Mincho"/>
        </w:rPr>
        <w:t xml:space="preserve">. </w:t>
      </w:r>
      <w:r w:rsidR="003435A5" w:rsidRPr="003435A5">
        <w:rPr>
          <w:rFonts w:eastAsia="MS Mincho"/>
        </w:rPr>
        <w:t>However, the environmental performance of digital and frontier technologies themselves is often overlooked</w:t>
      </w:r>
      <w:r w:rsidR="003435A5">
        <w:rPr>
          <w:rFonts w:eastAsia="MS Mincho"/>
        </w:rPr>
        <w:t xml:space="preserve">. </w:t>
      </w:r>
      <w:r w:rsidRPr="00684E52">
        <w:rPr>
          <w:rFonts w:eastAsia="MS Mincho"/>
        </w:rPr>
        <w:t>This Question identifies the environmental efficiency requirements of digital and frontier technologies, including their water, materials, and energy efficiency. It focuses on studying technical solutions, enhancements, metrics, key performance indicators and related accurate measurement methods and reference values for different type of technologies.</w:t>
      </w:r>
    </w:p>
    <w:p w14:paraId="6475D888" w14:textId="4A995D92" w:rsidR="0095225B" w:rsidRDefault="00D04F13" w:rsidP="00D04F13">
      <w:pPr>
        <w:rPr>
          <w:bCs/>
        </w:rPr>
      </w:pPr>
      <w:r w:rsidRPr="005621F0">
        <w:rPr>
          <w:bCs/>
        </w:rPr>
        <w:t>Q</w:t>
      </w:r>
      <w:r w:rsidR="0095225B">
        <w:rPr>
          <w:bCs/>
        </w:rPr>
        <w:t>6</w:t>
      </w:r>
      <w:r w:rsidRPr="005621F0">
        <w:rPr>
          <w:bCs/>
        </w:rPr>
        <w:t xml:space="preserve">/5 is currently working on </w:t>
      </w:r>
      <w:r w:rsidR="00A817EF">
        <w:rPr>
          <w:bCs/>
        </w:rPr>
        <w:t>sixteen</w:t>
      </w:r>
      <w:r w:rsidR="00A817EF" w:rsidRPr="005621F0">
        <w:rPr>
          <w:bCs/>
        </w:rPr>
        <w:t xml:space="preserve"> </w:t>
      </w:r>
      <w:r w:rsidRPr="005621F0">
        <w:rPr>
          <w:bCs/>
        </w:rPr>
        <w:t>work items</w:t>
      </w:r>
      <w:r w:rsidR="005848F4">
        <w:rPr>
          <w:bCs/>
        </w:rPr>
        <w:t xml:space="preserve">. </w:t>
      </w:r>
      <w:r w:rsidR="00D94134">
        <w:rPr>
          <w:bCs/>
        </w:rPr>
        <w:t xml:space="preserve">During the last SG5 meeting, experts agreed to start working </w:t>
      </w:r>
      <w:r w:rsidR="00D4703A">
        <w:rPr>
          <w:bCs/>
        </w:rPr>
        <w:t xml:space="preserve">on draft Recommendation ITU-T </w:t>
      </w:r>
      <w:proofErr w:type="spellStart"/>
      <w:r w:rsidR="00D4703A" w:rsidRPr="00D4703A">
        <w:rPr>
          <w:bCs/>
        </w:rPr>
        <w:t>L.soft_ES</w:t>
      </w:r>
      <w:proofErr w:type="spellEnd"/>
      <w:r w:rsidR="00D4703A" w:rsidRPr="00D4703A">
        <w:t xml:space="preserve"> </w:t>
      </w:r>
      <w:r w:rsidR="00D4703A">
        <w:t>“</w:t>
      </w:r>
      <w:r w:rsidR="00D4703A" w:rsidRPr="00D4703A">
        <w:rPr>
          <w:bCs/>
        </w:rPr>
        <w:t>Functional requirements and test methods of software energy-saving for 5G network</w:t>
      </w:r>
      <w:r w:rsidR="00D4703A">
        <w:rPr>
          <w:bCs/>
        </w:rPr>
        <w:t xml:space="preserve">”, draft Recommendation </w:t>
      </w:r>
      <w:r w:rsidR="0095225B">
        <w:rPr>
          <w:bCs/>
        </w:rPr>
        <w:t xml:space="preserve">ITU-T </w:t>
      </w:r>
      <w:r w:rsidR="00D4703A" w:rsidRPr="00D4703A">
        <w:rPr>
          <w:bCs/>
        </w:rPr>
        <w:t>L.BBU</w:t>
      </w:r>
      <w:r w:rsidR="00D4703A">
        <w:rPr>
          <w:bCs/>
        </w:rPr>
        <w:t xml:space="preserve"> “</w:t>
      </w:r>
      <w:r w:rsidR="00D4703A" w:rsidRPr="00D4703A">
        <w:rPr>
          <w:bCs/>
        </w:rPr>
        <w:t>Requirements and use cases of liquid cooling solutions and high energy efficiency solutions for 5G BBU in C-RAN mode</w:t>
      </w:r>
      <w:r w:rsidR="00D4703A">
        <w:rPr>
          <w:bCs/>
        </w:rPr>
        <w:t xml:space="preserve">”, draft Recommendation </w:t>
      </w:r>
      <w:r w:rsidR="0095225B">
        <w:rPr>
          <w:bCs/>
        </w:rPr>
        <w:t xml:space="preserve">ITU-T </w:t>
      </w:r>
      <w:r w:rsidR="00D4703A" w:rsidRPr="00D4703A">
        <w:rPr>
          <w:bCs/>
        </w:rPr>
        <w:t>L.TIME</w:t>
      </w:r>
      <w:r w:rsidR="00D4703A">
        <w:rPr>
          <w:bCs/>
        </w:rPr>
        <w:t xml:space="preserve"> “</w:t>
      </w:r>
      <w:r w:rsidR="00D4703A" w:rsidRPr="00D4703A">
        <w:rPr>
          <w:bCs/>
        </w:rPr>
        <w:t>Q-factor: fundamental metric expressing Integrated Circuit energy-efficiency</w:t>
      </w:r>
      <w:r w:rsidR="00D4703A">
        <w:rPr>
          <w:bCs/>
        </w:rPr>
        <w:t xml:space="preserve">”, </w:t>
      </w:r>
      <w:r w:rsidR="0095225B">
        <w:rPr>
          <w:bCs/>
        </w:rPr>
        <w:t xml:space="preserve">and </w:t>
      </w:r>
      <w:r w:rsidR="00D4703A">
        <w:rPr>
          <w:bCs/>
        </w:rPr>
        <w:t xml:space="preserve">draft Recommendation </w:t>
      </w:r>
      <w:r w:rsidR="0004446D" w:rsidRPr="0004446D">
        <w:rPr>
          <w:bCs/>
        </w:rPr>
        <w:t>L.SDT</w:t>
      </w:r>
      <w:r w:rsidR="0004446D">
        <w:rPr>
          <w:bCs/>
        </w:rPr>
        <w:t xml:space="preserve"> “</w:t>
      </w:r>
      <w:r w:rsidR="0004446D" w:rsidRPr="0004446D">
        <w:rPr>
          <w:bCs/>
        </w:rPr>
        <w:t>Definition of Sustainable Digital Transformation</w:t>
      </w:r>
      <w:r w:rsidR="0004446D">
        <w:rPr>
          <w:bCs/>
        </w:rPr>
        <w:t>”</w:t>
      </w:r>
      <w:r w:rsidR="0095225B">
        <w:rPr>
          <w:bCs/>
        </w:rPr>
        <w:t>.</w:t>
      </w:r>
    </w:p>
    <w:p w14:paraId="3E507D5B" w14:textId="3451D42B" w:rsidR="00D04F13" w:rsidRPr="005621F0" w:rsidRDefault="0095225B" w:rsidP="00D04F13">
      <w:r>
        <w:rPr>
          <w:bCs/>
        </w:rPr>
        <w:t>Taking into consideration the first set of approved deliverables of the FG-AI4EE. Q6/5 agreed to</w:t>
      </w:r>
      <w:r w:rsidR="00267E8F">
        <w:rPr>
          <w:bCs/>
        </w:rPr>
        <w:t xml:space="preserve"> adopt one technical specification into </w:t>
      </w:r>
      <w:r w:rsidR="0004446D">
        <w:rPr>
          <w:bCs/>
        </w:rPr>
        <w:t xml:space="preserve">draft Recommendation </w:t>
      </w:r>
      <w:r>
        <w:rPr>
          <w:bCs/>
        </w:rPr>
        <w:t xml:space="preserve">ITU-T </w:t>
      </w:r>
      <w:proofErr w:type="spellStart"/>
      <w:r w:rsidR="00CF4EE3" w:rsidRPr="00CF4EE3">
        <w:rPr>
          <w:bCs/>
        </w:rPr>
        <w:t>L.gee_bs</w:t>
      </w:r>
      <w:proofErr w:type="spellEnd"/>
      <w:r w:rsidR="00CF4EE3">
        <w:rPr>
          <w:bCs/>
        </w:rPr>
        <w:t xml:space="preserve"> “</w:t>
      </w:r>
      <w:r w:rsidR="00CF4EE3" w:rsidRPr="00CF4EE3">
        <w:rPr>
          <w:bCs/>
        </w:rPr>
        <w:t xml:space="preserve">Guidelines on Energy Efficient </w:t>
      </w:r>
      <w:proofErr w:type="spellStart"/>
      <w:r w:rsidR="00CF4EE3" w:rsidRPr="00CF4EE3">
        <w:rPr>
          <w:bCs/>
        </w:rPr>
        <w:t>Blockchain</w:t>
      </w:r>
      <w:proofErr w:type="spellEnd"/>
      <w:r w:rsidR="00CF4EE3" w:rsidRPr="00CF4EE3">
        <w:rPr>
          <w:bCs/>
        </w:rPr>
        <w:t xml:space="preserve"> Systems</w:t>
      </w:r>
      <w:r w:rsidR="00CF4EE3">
        <w:rPr>
          <w:bCs/>
        </w:rPr>
        <w:t>”</w:t>
      </w:r>
      <w:r w:rsidR="00267E8F">
        <w:rPr>
          <w:bCs/>
        </w:rPr>
        <w:t>. This Recommendation was consented during the May 2021 meeting. Additionally experts agreed to adopt three FG-AI4EE technical reports into the following draft Supplements:</w:t>
      </w:r>
      <w:r w:rsidR="00CF4EE3">
        <w:rPr>
          <w:bCs/>
        </w:rPr>
        <w:t xml:space="preserve">, draft </w:t>
      </w:r>
      <w:r w:rsidR="00240EB1">
        <w:rPr>
          <w:bCs/>
        </w:rPr>
        <w:t xml:space="preserve">Supplement </w:t>
      </w:r>
      <w:r w:rsidR="00FE03ED">
        <w:rPr>
          <w:bCs/>
        </w:rPr>
        <w:t xml:space="preserve">ITU-T </w:t>
      </w:r>
      <w:proofErr w:type="spellStart"/>
      <w:r w:rsidR="00FE03ED" w:rsidRPr="00FE03ED">
        <w:rPr>
          <w:bCs/>
        </w:rPr>
        <w:t>L.Suppl.ee_aibd</w:t>
      </w:r>
      <w:proofErr w:type="spellEnd"/>
      <w:r w:rsidR="00A2658F">
        <w:rPr>
          <w:bCs/>
        </w:rPr>
        <w:t xml:space="preserve"> “</w:t>
      </w:r>
      <w:r w:rsidR="00A2658F" w:rsidRPr="00A2658F">
        <w:rPr>
          <w:bCs/>
        </w:rPr>
        <w:t>Requirements on energy efficiency measurement models and the role of AI and big data</w:t>
      </w:r>
      <w:r w:rsidR="00A2658F">
        <w:rPr>
          <w:bCs/>
        </w:rPr>
        <w:t xml:space="preserve">”, draft Supplement </w:t>
      </w:r>
      <w:r w:rsidR="001D16A3">
        <w:rPr>
          <w:bCs/>
        </w:rPr>
        <w:t xml:space="preserve">ITU-T </w:t>
      </w:r>
      <w:proofErr w:type="spellStart"/>
      <w:r w:rsidR="001D16A3" w:rsidRPr="001D16A3">
        <w:rPr>
          <w:bCs/>
        </w:rPr>
        <w:t>L.Suppl.ee_ml_scm</w:t>
      </w:r>
      <w:proofErr w:type="spellEnd"/>
      <w:r w:rsidR="00567CD7">
        <w:rPr>
          <w:bCs/>
        </w:rPr>
        <w:t xml:space="preserve"> “</w:t>
      </w:r>
      <w:r w:rsidR="00567CD7" w:rsidRPr="00567CD7">
        <w:rPr>
          <w:bCs/>
        </w:rPr>
        <w:t>Guidelines on the Environmental Efficiency of Machine Learning Processes in Supply Chain Management</w:t>
      </w:r>
      <w:r w:rsidR="00567CD7">
        <w:rPr>
          <w:bCs/>
        </w:rPr>
        <w:t xml:space="preserve">”, </w:t>
      </w:r>
      <w:r w:rsidR="00F83600">
        <w:rPr>
          <w:bCs/>
        </w:rPr>
        <w:t xml:space="preserve">and </w:t>
      </w:r>
      <w:r w:rsidR="00567CD7">
        <w:rPr>
          <w:bCs/>
        </w:rPr>
        <w:t xml:space="preserve">draft Supplement ITU-T </w:t>
      </w:r>
      <w:r w:rsidR="00F83600" w:rsidRPr="00F83600">
        <w:rPr>
          <w:bCs/>
        </w:rPr>
        <w:t>L.Suppl.ses5Gbs</w:t>
      </w:r>
      <w:r w:rsidR="00F83600">
        <w:rPr>
          <w:bCs/>
        </w:rPr>
        <w:t xml:space="preserve"> “</w:t>
      </w:r>
      <w:r w:rsidR="00F83600" w:rsidRPr="00F83600">
        <w:rPr>
          <w:bCs/>
        </w:rPr>
        <w:t>Smart energy saving of 5G base station: Based on AI and other emerging technologies to forecast and optimize the management of 5G wireless network energy consumption</w:t>
      </w:r>
      <w:r w:rsidR="00F83600">
        <w:rPr>
          <w:bCs/>
        </w:rPr>
        <w:t xml:space="preserve">”. </w:t>
      </w:r>
      <w:r w:rsidR="00267E8F">
        <w:rPr>
          <w:bCs/>
        </w:rPr>
        <w:t>These Supplements were agreed during the May 2021 meeting.</w:t>
      </w:r>
    </w:p>
    <w:p w14:paraId="30E5D677" w14:textId="4B9B1602" w:rsidR="00B0022E" w:rsidRDefault="00D12115">
      <w:pPr>
        <w:tabs>
          <w:tab w:val="left" w:pos="540"/>
        </w:tabs>
        <w:spacing w:before="360" w:line="240" w:lineRule="atLeast"/>
        <w:jc w:val="both"/>
        <w:rPr>
          <w:b/>
        </w:rPr>
      </w:pPr>
      <w:r w:rsidRPr="005621F0">
        <w:rPr>
          <w:b/>
        </w:rPr>
        <w:t>3.6</w:t>
      </w:r>
      <w:r w:rsidRPr="005621F0">
        <w:rPr>
          <w:b/>
        </w:rPr>
        <w:tab/>
      </w:r>
      <w:r w:rsidR="0042388D" w:rsidRPr="0042388D">
        <w:rPr>
          <w:b/>
        </w:rPr>
        <w:t xml:space="preserve">E-waste, circular economy and sustainable supply chain management </w:t>
      </w:r>
    </w:p>
    <w:p w14:paraId="0BC60479" w14:textId="17A821DF" w:rsidR="00E1769B" w:rsidRDefault="00AC2204">
      <w:pPr>
        <w:tabs>
          <w:tab w:val="left" w:pos="540"/>
        </w:tabs>
        <w:spacing w:before="360" w:line="240" w:lineRule="atLeast"/>
        <w:jc w:val="both"/>
        <w:rPr>
          <w:bCs/>
        </w:rPr>
      </w:pPr>
      <w:r>
        <w:rPr>
          <w:bCs/>
        </w:rPr>
        <w:t>The e-waste challenge</w:t>
      </w:r>
      <w:r w:rsidR="0071611D">
        <w:rPr>
          <w:bCs/>
        </w:rPr>
        <w:t xml:space="preserve"> and the potential of </w:t>
      </w:r>
      <w:r w:rsidR="009A77FE">
        <w:rPr>
          <w:bCs/>
        </w:rPr>
        <w:t xml:space="preserve">the circular economy to </w:t>
      </w:r>
      <w:r w:rsidR="00A64B4E">
        <w:rPr>
          <w:bCs/>
        </w:rPr>
        <w:t xml:space="preserve">facilitate sustainability in ICTs and </w:t>
      </w:r>
      <w:r w:rsidR="00BD7AF1">
        <w:rPr>
          <w:bCs/>
        </w:rPr>
        <w:t xml:space="preserve">add new values to supply chain management </w:t>
      </w:r>
      <w:r w:rsidRPr="005621F0">
        <w:rPr>
          <w:bCs/>
        </w:rPr>
        <w:t>is studied by Question 7</w:t>
      </w:r>
      <w:r w:rsidR="00267E8F">
        <w:rPr>
          <w:bCs/>
        </w:rPr>
        <w:t>/5</w:t>
      </w:r>
      <w:r w:rsidR="00401499">
        <w:rPr>
          <w:bCs/>
        </w:rPr>
        <w:t xml:space="preserve">. </w:t>
      </w:r>
      <w:r w:rsidR="008F2A0D" w:rsidRPr="008F2A0D">
        <w:rPr>
          <w:bCs/>
        </w:rPr>
        <w:t>This Question seeks to address the e-waste challenge by identifying the environmental requirements of digital technologies including IoT, end-user equipment and ICT infrastructures or installations, based on the circular economy principles and improving the supply chain management</w:t>
      </w:r>
      <w:r w:rsidR="008F2A0D">
        <w:rPr>
          <w:bCs/>
        </w:rPr>
        <w:t xml:space="preserve">. </w:t>
      </w:r>
    </w:p>
    <w:p w14:paraId="6ECC562E" w14:textId="470F6BC3" w:rsidR="00E80463" w:rsidRPr="00637FF0" w:rsidRDefault="00E80463">
      <w:pPr>
        <w:tabs>
          <w:tab w:val="left" w:pos="540"/>
        </w:tabs>
        <w:spacing w:before="360" w:line="240" w:lineRule="atLeast"/>
        <w:jc w:val="both"/>
        <w:rPr>
          <w:bCs/>
        </w:rPr>
      </w:pPr>
      <w:r>
        <w:rPr>
          <w:bCs/>
        </w:rPr>
        <w:t xml:space="preserve">Q7/5 is </w:t>
      </w:r>
      <w:r w:rsidR="008E279E">
        <w:rPr>
          <w:bCs/>
        </w:rPr>
        <w:t>currently</w:t>
      </w:r>
      <w:r>
        <w:rPr>
          <w:bCs/>
        </w:rPr>
        <w:t xml:space="preserve"> working on </w:t>
      </w:r>
      <w:r w:rsidR="00E01E6D">
        <w:rPr>
          <w:bCs/>
        </w:rPr>
        <w:t>seventeen</w:t>
      </w:r>
      <w:r w:rsidR="008974F6">
        <w:rPr>
          <w:bCs/>
        </w:rPr>
        <w:t xml:space="preserve"> work items. </w:t>
      </w:r>
      <w:r w:rsidR="00E01E6D">
        <w:rPr>
          <w:bCs/>
        </w:rPr>
        <w:t xml:space="preserve">During the last SG5 meeting, </w:t>
      </w:r>
      <w:r w:rsidR="005F19F9">
        <w:rPr>
          <w:bCs/>
        </w:rPr>
        <w:t xml:space="preserve">experts agreed to </w:t>
      </w:r>
      <w:r w:rsidR="00267E8F">
        <w:rPr>
          <w:bCs/>
        </w:rPr>
        <w:t xml:space="preserve">start working on </w:t>
      </w:r>
      <w:r w:rsidR="008E7F1D">
        <w:rPr>
          <w:bCs/>
        </w:rPr>
        <w:t xml:space="preserve">draft Recommendation </w:t>
      </w:r>
      <w:r w:rsidR="00267E8F">
        <w:rPr>
          <w:bCs/>
        </w:rPr>
        <w:t xml:space="preserve">ITU-T </w:t>
      </w:r>
      <w:r w:rsidR="008E7F1D" w:rsidRPr="008E7F1D">
        <w:rPr>
          <w:bCs/>
        </w:rPr>
        <w:t>L.GDSPP</w:t>
      </w:r>
      <w:r w:rsidR="008E7F1D">
        <w:rPr>
          <w:bCs/>
        </w:rPr>
        <w:t xml:space="preserve"> “</w:t>
      </w:r>
      <w:r w:rsidR="008E7F1D" w:rsidRPr="008E7F1D">
        <w:rPr>
          <w:bCs/>
        </w:rPr>
        <w:t>Requirements for a global digital sustainable product passport to achieve a circular economy</w:t>
      </w:r>
      <w:r w:rsidR="008E7F1D">
        <w:rPr>
          <w:bCs/>
        </w:rPr>
        <w:t xml:space="preserve">”. </w:t>
      </w:r>
    </w:p>
    <w:p w14:paraId="37C4945B" w14:textId="745ABC04" w:rsidR="00B0022E" w:rsidRPr="005621F0" w:rsidRDefault="00D12115">
      <w:pPr>
        <w:tabs>
          <w:tab w:val="left" w:pos="540"/>
        </w:tabs>
        <w:spacing w:before="360" w:line="240" w:lineRule="atLeast"/>
        <w:jc w:val="both"/>
        <w:rPr>
          <w:b/>
        </w:rPr>
      </w:pPr>
      <w:r w:rsidRPr="005621F0">
        <w:rPr>
          <w:b/>
        </w:rPr>
        <w:t>3.7</w:t>
      </w:r>
      <w:r w:rsidRPr="005621F0">
        <w:rPr>
          <w:b/>
        </w:rPr>
        <w:tab/>
      </w:r>
      <w:r w:rsidR="0073245A" w:rsidRPr="0073245A">
        <w:rPr>
          <w:b/>
        </w:rPr>
        <w:t>Guides and terminology on environment</w:t>
      </w:r>
    </w:p>
    <w:p w14:paraId="63236CA9" w14:textId="5AD70B9D" w:rsidR="0073245A" w:rsidRDefault="0073245A" w:rsidP="0073245A">
      <w:pPr>
        <w:jc w:val="both"/>
      </w:pPr>
      <w:r w:rsidRPr="0073245A">
        <w:rPr>
          <w:bCs/>
        </w:rPr>
        <w:t xml:space="preserve">The activities on the development of Guides and terminology on environment and climate change </w:t>
      </w:r>
      <w:r>
        <w:rPr>
          <w:bCs/>
        </w:rPr>
        <w:t>are studied</w:t>
      </w:r>
      <w:r w:rsidRPr="0073245A">
        <w:rPr>
          <w:bCs/>
        </w:rPr>
        <w:t xml:space="preserve"> </w:t>
      </w:r>
      <w:r w:rsidR="00053826">
        <w:rPr>
          <w:bCs/>
        </w:rPr>
        <w:t>by</w:t>
      </w:r>
      <w:r w:rsidRPr="0073245A">
        <w:rPr>
          <w:bCs/>
        </w:rPr>
        <w:t xml:space="preserve"> Question 8/5.</w:t>
      </w:r>
      <w:r w:rsidR="00C42DCF">
        <w:rPr>
          <w:bCs/>
        </w:rPr>
        <w:t xml:space="preserve"> </w:t>
      </w:r>
      <w:r w:rsidRPr="005621F0">
        <w:t>Q8/5 is tasked to work on all terms, definitions, abbreviations, letter symbols and schematic symbols used in the ITU-T Study Group 5 Recommendations, Supplements, Handbooks and Directives; harmonize with terminology used by other parties outside of ITU-T Study Group 5; and liaise with other bodies regarding terminology used in the Study Group 5 Recommendations, among others.</w:t>
      </w:r>
    </w:p>
    <w:p w14:paraId="2C07EDC8" w14:textId="77777777" w:rsidR="00A316F5" w:rsidRDefault="00A316F5" w:rsidP="00A316F5">
      <w:pPr>
        <w:jc w:val="both"/>
      </w:pPr>
      <w:r>
        <w:lastRenderedPageBreak/>
        <w:t>Q8/5 is currently working on four work items including: Guide to the K &amp; relevant L-series Recommendations “Extension of the Guide to cover relevant L-series Recommendations”; Mitigation Handbook - Additional case studies “Additional case studies to be added”; Terminology Handbook “Extension of the Terminology Handbook to cover relevant L-series terminologies” and Terminology Handbook - web version “Web version of the Terminology Handbook”.</w:t>
      </w:r>
    </w:p>
    <w:p w14:paraId="1B250D3E" w14:textId="11C792EF" w:rsidR="0073245A" w:rsidRPr="00A316F5" w:rsidRDefault="00A316F5" w:rsidP="00637FF0">
      <w:pPr>
        <w:jc w:val="both"/>
      </w:pPr>
      <w:r>
        <w:t>Q8/5 works closely with ITU-T Standardization Committee for Vocabulary (SCV).</w:t>
      </w:r>
    </w:p>
    <w:p w14:paraId="13BD001C" w14:textId="3AF243FD" w:rsidR="00B0022E" w:rsidRPr="005621F0" w:rsidRDefault="00D12115">
      <w:pPr>
        <w:tabs>
          <w:tab w:val="left" w:pos="540"/>
        </w:tabs>
        <w:spacing w:before="360" w:line="240" w:lineRule="atLeast"/>
        <w:jc w:val="both"/>
        <w:rPr>
          <w:b/>
        </w:rPr>
      </w:pPr>
      <w:r w:rsidRPr="005621F0">
        <w:rPr>
          <w:b/>
        </w:rPr>
        <w:t>3.8</w:t>
      </w:r>
      <w:r w:rsidRPr="005621F0">
        <w:rPr>
          <w:b/>
        </w:rPr>
        <w:tab/>
      </w:r>
      <w:r w:rsidR="00A316F5" w:rsidRPr="00A316F5">
        <w:rPr>
          <w:b/>
        </w:rPr>
        <w:t>Climate change and assessment of digital technologies in the framework of the Sustainable Development Goals (SDGs) and the Paris Agreement</w:t>
      </w:r>
    </w:p>
    <w:p w14:paraId="5222DABA" w14:textId="154DE567" w:rsidR="00A83931" w:rsidRPr="005621F0" w:rsidRDefault="008A2AE0" w:rsidP="009863E1">
      <w:pPr>
        <w:keepNext/>
        <w:tabs>
          <w:tab w:val="left" w:pos="1151"/>
        </w:tabs>
        <w:spacing w:line="240" w:lineRule="atLeast"/>
        <w:jc w:val="both"/>
      </w:pPr>
      <w:r w:rsidRPr="008A2AE0">
        <w:t>Question 9/5 aims to develop assessment methodologies and guidance that allow objective, transparent and practical assessments of the sustainability impacts of digital technologies, including information and communication technologies (ICTs), artificial intelligence, 5G, etc., in order to align their developmental trajectories with the Paris Agreement and the United Nations Sustainable Development Agenda.</w:t>
      </w:r>
      <w:r w:rsidR="00F83686">
        <w:t xml:space="preserve"> </w:t>
      </w:r>
      <w:r w:rsidR="00F83686" w:rsidRPr="00F83686">
        <w:t>This Question also aims to study how environmental assessments may be used in the frame of broader sustainable development assessments including economic, environmental and social assessments.</w:t>
      </w:r>
    </w:p>
    <w:p w14:paraId="2B80BF31" w14:textId="428D0E55" w:rsidR="00B51A3A" w:rsidRPr="005621F0" w:rsidRDefault="00B51A3A" w:rsidP="009863E1">
      <w:pPr>
        <w:keepNext/>
        <w:tabs>
          <w:tab w:val="left" w:pos="1151"/>
        </w:tabs>
        <w:spacing w:line="240" w:lineRule="atLeast"/>
        <w:jc w:val="both"/>
        <w:rPr>
          <w:bCs/>
        </w:rPr>
      </w:pPr>
      <w:r w:rsidRPr="005621F0">
        <w:rPr>
          <w:bCs/>
        </w:rPr>
        <w:t xml:space="preserve">Q9/5 is currently working on </w:t>
      </w:r>
      <w:r w:rsidR="00E057F7">
        <w:rPr>
          <w:bCs/>
        </w:rPr>
        <w:t>five</w:t>
      </w:r>
      <w:r w:rsidR="00E057F7" w:rsidRPr="005621F0">
        <w:rPr>
          <w:bCs/>
        </w:rPr>
        <w:t xml:space="preserve"> </w:t>
      </w:r>
      <w:r w:rsidRPr="005621F0">
        <w:rPr>
          <w:bCs/>
        </w:rPr>
        <w:t>work items</w:t>
      </w:r>
      <w:r w:rsidR="00794214">
        <w:rPr>
          <w:bCs/>
        </w:rPr>
        <w:t xml:space="preserve">. During the last ITU-T SG5 meeting, experts agreed to start working on draft Recommendation </w:t>
      </w:r>
      <w:r w:rsidR="00925F53">
        <w:rPr>
          <w:bCs/>
        </w:rPr>
        <w:t xml:space="preserve">ITU-T </w:t>
      </w:r>
      <w:proofErr w:type="spellStart"/>
      <w:r w:rsidR="00E057F7" w:rsidRPr="00E057F7">
        <w:rPr>
          <w:bCs/>
        </w:rPr>
        <w:t>L.VirtualMeetings</w:t>
      </w:r>
      <w:proofErr w:type="spellEnd"/>
      <w:r w:rsidR="00E057F7">
        <w:rPr>
          <w:bCs/>
        </w:rPr>
        <w:t xml:space="preserve"> “</w:t>
      </w:r>
      <w:r w:rsidR="00E057F7" w:rsidRPr="00E057F7">
        <w:rPr>
          <w:bCs/>
        </w:rPr>
        <w:t>Methodology for estimating GHG emissions in the frame of virtual meetings and events</w:t>
      </w:r>
      <w:r w:rsidR="00E057F7">
        <w:rPr>
          <w:bCs/>
        </w:rPr>
        <w:t xml:space="preserve">”. </w:t>
      </w:r>
    </w:p>
    <w:p w14:paraId="77095E98" w14:textId="173DCFF7" w:rsidR="00105FA9" w:rsidRPr="005621F0" w:rsidRDefault="008B2E55" w:rsidP="00EE6AB1">
      <w:pPr>
        <w:jc w:val="both"/>
        <w:rPr>
          <w:b/>
        </w:rPr>
      </w:pPr>
      <w:r w:rsidRPr="005621F0">
        <w:rPr>
          <w:b/>
        </w:rPr>
        <w:t>3.9</w:t>
      </w:r>
      <w:r w:rsidRPr="005621F0">
        <w:rPr>
          <w:b/>
        </w:rPr>
        <w:tab/>
      </w:r>
      <w:r w:rsidR="00105FA9" w:rsidRPr="00105FA9">
        <w:rPr>
          <w:b/>
        </w:rPr>
        <w:t xml:space="preserve">Climate change mitigation and smart energy solutions </w:t>
      </w:r>
    </w:p>
    <w:p w14:paraId="20CBC691" w14:textId="28DD7AC6" w:rsidR="00A8242E" w:rsidRDefault="003474E1">
      <w:pPr>
        <w:keepLines/>
        <w:spacing w:before="240"/>
        <w:jc w:val="both"/>
      </w:pPr>
      <w:r>
        <w:t xml:space="preserve">The </w:t>
      </w:r>
      <w:r w:rsidR="00977787">
        <w:t>use of</w:t>
      </w:r>
      <w:r w:rsidR="00BF0FC3">
        <w:t xml:space="preserve"> </w:t>
      </w:r>
      <w:r w:rsidR="00E41163">
        <w:t xml:space="preserve">ICTs and </w:t>
      </w:r>
      <w:r w:rsidR="00BF0FC3">
        <w:t xml:space="preserve">smart technologies to </w:t>
      </w:r>
      <w:r w:rsidR="00397FE0">
        <w:t xml:space="preserve">improve </w:t>
      </w:r>
      <w:r w:rsidR="00D93A47">
        <w:t>th</w:t>
      </w:r>
      <w:r w:rsidR="000D1D65">
        <w:t>e</w:t>
      </w:r>
      <w:r w:rsidR="00D93A47">
        <w:t xml:space="preserve"> efficiency of </w:t>
      </w:r>
      <w:r w:rsidR="00397FE0">
        <w:t xml:space="preserve">energy </w:t>
      </w:r>
      <w:r w:rsidR="002637E4">
        <w:t xml:space="preserve">management </w:t>
      </w:r>
      <w:r w:rsidR="00397FE0">
        <w:t>systems</w:t>
      </w:r>
      <w:r w:rsidR="00222F2A">
        <w:t xml:space="preserve"> and</w:t>
      </w:r>
      <w:r w:rsidR="007E6558">
        <w:t xml:space="preserve"> reduce carbon emission</w:t>
      </w:r>
      <w:r w:rsidR="000253FC">
        <w:t>s</w:t>
      </w:r>
      <w:r w:rsidR="00C66FD2">
        <w:t xml:space="preserve"> </w:t>
      </w:r>
      <w:r w:rsidR="007806E0">
        <w:t>is being studied by</w:t>
      </w:r>
      <w:r w:rsidR="0024685F">
        <w:t xml:space="preserve"> </w:t>
      </w:r>
      <w:r w:rsidR="00670D68">
        <w:t>Question 11</w:t>
      </w:r>
      <w:r w:rsidR="00C40A06">
        <w:t>/5.</w:t>
      </w:r>
      <w:r w:rsidR="00C66FD2">
        <w:t xml:space="preserve"> </w:t>
      </w:r>
      <w:r w:rsidR="00105FA9" w:rsidRPr="00105FA9">
        <w:t>Question 11/5 aims to develop standards, guidance, Supplements and/or Technical Reports to create a smart energy system using ICT and digital technologies such as artificial intelligence</w:t>
      </w:r>
      <w:r w:rsidR="003B3764">
        <w:t>, apply</w:t>
      </w:r>
      <w:r w:rsidR="00B82087" w:rsidRPr="00B82087">
        <w:t xml:space="preserve"> smart energy solutions to achieve a low-carbon economy</w:t>
      </w:r>
      <w:r w:rsidR="00F836A6">
        <w:t xml:space="preserve">, </w:t>
      </w:r>
      <w:r w:rsidR="005A710C">
        <w:t xml:space="preserve">and </w:t>
      </w:r>
      <w:r w:rsidR="00F836A6">
        <w:t xml:space="preserve">develop </w:t>
      </w:r>
      <w:r w:rsidR="00F836A6" w:rsidRPr="00F836A6">
        <w:t xml:space="preserve">effective and efficient ICT and digital </w:t>
      </w:r>
      <w:r w:rsidR="00C770EE" w:rsidRPr="00F836A6">
        <w:t>technologies</w:t>
      </w:r>
      <w:r w:rsidR="00C770EE">
        <w:t>-based</w:t>
      </w:r>
      <w:r w:rsidR="0054562B">
        <w:t xml:space="preserve"> solutions for </w:t>
      </w:r>
      <w:r w:rsidR="0054562B" w:rsidRPr="00F836A6">
        <w:t>energy management</w:t>
      </w:r>
      <w:r w:rsidR="00913B13">
        <w:t xml:space="preserve"> and energy saving solutions</w:t>
      </w:r>
      <w:r w:rsidR="00D257C3">
        <w:t xml:space="preserve">. </w:t>
      </w:r>
    </w:p>
    <w:p w14:paraId="4CFD362D" w14:textId="398CA5C6" w:rsidR="00595D46" w:rsidRDefault="00BC197B" w:rsidP="00EE6AB1">
      <w:pPr>
        <w:jc w:val="both"/>
        <w:rPr>
          <w:bCs/>
        </w:rPr>
      </w:pPr>
      <w:r w:rsidRPr="005621F0">
        <w:rPr>
          <w:bCs/>
        </w:rPr>
        <w:t>Q</w:t>
      </w:r>
      <w:r>
        <w:rPr>
          <w:bCs/>
        </w:rPr>
        <w:t>11</w:t>
      </w:r>
      <w:r w:rsidRPr="005621F0">
        <w:rPr>
          <w:bCs/>
        </w:rPr>
        <w:t xml:space="preserve">/5 is currently working on </w:t>
      </w:r>
      <w:r>
        <w:rPr>
          <w:bCs/>
        </w:rPr>
        <w:t>eight</w:t>
      </w:r>
      <w:r w:rsidRPr="005621F0">
        <w:rPr>
          <w:bCs/>
        </w:rPr>
        <w:t xml:space="preserve"> work items</w:t>
      </w:r>
      <w:r w:rsidR="00D67039">
        <w:rPr>
          <w:bCs/>
        </w:rPr>
        <w:t>.</w:t>
      </w:r>
      <w:r w:rsidR="00D67039" w:rsidRPr="00D67039">
        <w:rPr>
          <w:bCs/>
        </w:rPr>
        <w:t xml:space="preserve"> </w:t>
      </w:r>
      <w:r w:rsidR="00D67039">
        <w:rPr>
          <w:bCs/>
        </w:rPr>
        <w:t>During the last ITU-T SG5 meeting, experts agreed to start working on draft Recommendation</w:t>
      </w:r>
      <w:r w:rsidR="001D580E">
        <w:rPr>
          <w:bCs/>
        </w:rPr>
        <w:t xml:space="preserve"> </w:t>
      </w:r>
      <w:r w:rsidR="00925F53">
        <w:rPr>
          <w:bCs/>
        </w:rPr>
        <w:t xml:space="preserve">ITU-T </w:t>
      </w:r>
      <w:proofErr w:type="spellStart"/>
      <w:r w:rsidR="001D580E" w:rsidRPr="001D580E">
        <w:rPr>
          <w:bCs/>
        </w:rPr>
        <w:t>L.NZ_solutions</w:t>
      </w:r>
      <w:proofErr w:type="spellEnd"/>
      <w:r w:rsidR="001D580E">
        <w:rPr>
          <w:bCs/>
        </w:rPr>
        <w:t xml:space="preserve"> “</w:t>
      </w:r>
      <w:r w:rsidR="001D580E" w:rsidRPr="001D580E">
        <w:rPr>
          <w:bCs/>
        </w:rPr>
        <w:t>Best practices to achieve Net Zero with information and communication technologies.</w:t>
      </w:r>
      <w:r w:rsidR="001D580E">
        <w:rPr>
          <w:bCs/>
        </w:rPr>
        <w:t xml:space="preserve">”. </w:t>
      </w:r>
    </w:p>
    <w:p w14:paraId="7DD5708D" w14:textId="7A2920A6" w:rsidR="006E5E8D" w:rsidRDefault="00AF235B" w:rsidP="006E5E8D">
      <w:pPr>
        <w:jc w:val="both"/>
        <w:rPr>
          <w:b/>
        </w:rPr>
      </w:pPr>
      <w:r w:rsidRPr="005621F0">
        <w:rPr>
          <w:b/>
        </w:rPr>
        <w:t>3.</w:t>
      </w:r>
      <w:r>
        <w:rPr>
          <w:b/>
        </w:rPr>
        <w:t>10</w:t>
      </w:r>
      <w:r w:rsidRPr="005621F0">
        <w:rPr>
          <w:b/>
        </w:rPr>
        <w:tab/>
      </w:r>
      <w:r w:rsidR="006E5E8D" w:rsidRPr="006E5E8D">
        <w:rPr>
          <w:b/>
        </w:rPr>
        <w:t xml:space="preserve">Adaptation to climate change through sustainable and resilient digital technologies </w:t>
      </w:r>
    </w:p>
    <w:p w14:paraId="5D69B139" w14:textId="3DD38CCC" w:rsidR="00C54BFA" w:rsidRDefault="007852ED" w:rsidP="006E5E8D">
      <w:pPr>
        <w:jc w:val="both"/>
      </w:pPr>
      <w:r>
        <w:t xml:space="preserve">The </w:t>
      </w:r>
      <w:r w:rsidR="006C3976">
        <w:t xml:space="preserve">use </w:t>
      </w:r>
      <w:r w:rsidR="00FA5F35">
        <w:t>of sustainable</w:t>
      </w:r>
      <w:r w:rsidR="002108BA">
        <w:t xml:space="preserve"> and </w:t>
      </w:r>
      <w:r w:rsidR="004F20AA">
        <w:t>resilient ICTs</w:t>
      </w:r>
      <w:r>
        <w:t xml:space="preserve"> </w:t>
      </w:r>
      <w:r w:rsidR="002108BA">
        <w:t xml:space="preserve">and digital technologies </w:t>
      </w:r>
      <w:r w:rsidR="0009714A">
        <w:t xml:space="preserve">to </w:t>
      </w:r>
      <w:r w:rsidR="00055266">
        <w:t xml:space="preserve">adapt to the effects of climate change </w:t>
      </w:r>
      <w:r w:rsidR="006C3976">
        <w:t>is being studied by</w:t>
      </w:r>
      <w:r w:rsidR="00055266">
        <w:t xml:space="preserve"> Question 12/5. </w:t>
      </w:r>
      <w:r w:rsidR="006E5E8D" w:rsidRPr="006E5E8D">
        <w:t xml:space="preserve">This Question </w:t>
      </w:r>
      <w:r w:rsidR="006E5E8D">
        <w:t>looks</w:t>
      </w:r>
      <w:r w:rsidR="004F20AA">
        <w:t xml:space="preserve"> to</w:t>
      </w:r>
      <w:r w:rsidR="006E5E8D" w:rsidRPr="006E5E8D">
        <w:t xml:space="preserve"> support the development of energy efficiency ICT architectures, add energy saving features to ICTs equipment and applications, improve air flow controlling technology, cooling technology and renewable energy systems and more. </w:t>
      </w:r>
      <w:r w:rsidR="00D10B23">
        <w:t xml:space="preserve">It also recognizes </w:t>
      </w:r>
      <w:r w:rsidR="00D10B23" w:rsidRPr="00D10B23">
        <w:t xml:space="preserve">the lack of adequate broadband infrastructure in rural areas. </w:t>
      </w:r>
      <w:r w:rsidR="00A509B2" w:rsidRPr="00A509B2">
        <w:t xml:space="preserve">Question 12/5 aims to develop Recommendations, supplements and/or Technical </w:t>
      </w:r>
      <w:r w:rsidR="00C75F46">
        <w:t>R</w:t>
      </w:r>
      <w:r w:rsidR="00A509B2" w:rsidRPr="00A509B2">
        <w:t>eports that support the deployment of digital technologies in accelerating climate adaptation actions. Particular emphasis has been placed on expanding the capacity of rural communities and areas to build and maintain climate resilient ICT infrastructures.</w:t>
      </w:r>
    </w:p>
    <w:p w14:paraId="10C672BD" w14:textId="74348F1E" w:rsidR="00C54BFA" w:rsidRDefault="00AD5FF3" w:rsidP="006E5E8D">
      <w:pPr>
        <w:jc w:val="both"/>
        <w:rPr>
          <w:bCs/>
        </w:rPr>
      </w:pPr>
      <w:r w:rsidRPr="005621F0">
        <w:rPr>
          <w:bCs/>
        </w:rPr>
        <w:t>Q</w:t>
      </w:r>
      <w:r>
        <w:rPr>
          <w:bCs/>
        </w:rPr>
        <w:t>12</w:t>
      </w:r>
      <w:r w:rsidRPr="005621F0">
        <w:rPr>
          <w:bCs/>
        </w:rPr>
        <w:t xml:space="preserve">/5 is currently working on </w:t>
      </w:r>
      <w:r w:rsidR="00553825">
        <w:rPr>
          <w:bCs/>
        </w:rPr>
        <w:t>two</w:t>
      </w:r>
      <w:r w:rsidRPr="005621F0">
        <w:rPr>
          <w:bCs/>
        </w:rPr>
        <w:t xml:space="preserve"> work items</w:t>
      </w:r>
      <w:r>
        <w:rPr>
          <w:bCs/>
        </w:rPr>
        <w:t>.</w:t>
      </w:r>
      <w:r w:rsidRPr="00D67039">
        <w:rPr>
          <w:bCs/>
        </w:rPr>
        <w:t xml:space="preserve"> </w:t>
      </w:r>
      <w:r>
        <w:rPr>
          <w:bCs/>
        </w:rPr>
        <w:t>During the last ITU-T SG5 meeting, experts agreed to start working on draft Recommendation</w:t>
      </w:r>
      <w:r w:rsidR="00BD2363">
        <w:rPr>
          <w:bCs/>
        </w:rPr>
        <w:t xml:space="preserve"> </w:t>
      </w:r>
      <w:r w:rsidR="00925F53">
        <w:rPr>
          <w:bCs/>
        </w:rPr>
        <w:t xml:space="preserve">ITU-T </w:t>
      </w:r>
      <w:r w:rsidR="00BD2363" w:rsidRPr="00BD2363">
        <w:rPr>
          <w:bCs/>
        </w:rPr>
        <w:t>L. SRDT</w:t>
      </w:r>
      <w:r w:rsidR="00BD2363">
        <w:rPr>
          <w:bCs/>
        </w:rPr>
        <w:t xml:space="preserve"> “</w:t>
      </w:r>
      <w:r w:rsidR="00BD2363" w:rsidRPr="00BD2363">
        <w:rPr>
          <w:bCs/>
        </w:rPr>
        <w:t>Sustainable and Resilient Digital Technologies for Adaptation to Climate Change</w:t>
      </w:r>
      <w:r w:rsidR="00BD2363">
        <w:rPr>
          <w:bCs/>
        </w:rPr>
        <w:t xml:space="preserve">”, and draft </w:t>
      </w:r>
      <w:r w:rsidR="00CA44A2">
        <w:rPr>
          <w:bCs/>
        </w:rPr>
        <w:t>Supplement</w:t>
      </w:r>
      <w:r w:rsidR="00BD2363">
        <w:rPr>
          <w:bCs/>
        </w:rPr>
        <w:t xml:space="preserve"> ITU-T </w:t>
      </w:r>
      <w:r w:rsidR="00B95F35" w:rsidRPr="00B95F35">
        <w:rPr>
          <w:bCs/>
        </w:rPr>
        <w:t>L.Suppl.oa2cc</w:t>
      </w:r>
      <w:r w:rsidR="00B95F35">
        <w:rPr>
          <w:bCs/>
        </w:rPr>
        <w:t xml:space="preserve"> “</w:t>
      </w:r>
      <w:r w:rsidR="00B95F35" w:rsidRPr="00B95F35">
        <w:rPr>
          <w:bCs/>
        </w:rPr>
        <w:t>Overview on Adaptation to Climate Change for ICT Networks"</w:t>
      </w:r>
      <w:r w:rsidR="00B95F35">
        <w:rPr>
          <w:bCs/>
        </w:rPr>
        <w:t xml:space="preserve">. </w:t>
      </w:r>
    </w:p>
    <w:p w14:paraId="3D434932" w14:textId="168EF91C" w:rsidR="006279B8" w:rsidRDefault="009179CD" w:rsidP="00C9004E">
      <w:pPr>
        <w:jc w:val="both"/>
        <w:rPr>
          <w:b/>
        </w:rPr>
      </w:pPr>
      <w:r w:rsidRPr="005621F0">
        <w:rPr>
          <w:b/>
        </w:rPr>
        <w:t>3.</w:t>
      </w:r>
      <w:r>
        <w:rPr>
          <w:b/>
        </w:rPr>
        <w:t>1</w:t>
      </w:r>
      <w:r w:rsidR="005C3F50">
        <w:rPr>
          <w:b/>
        </w:rPr>
        <w:t>1</w:t>
      </w:r>
      <w:r w:rsidRPr="005621F0">
        <w:rPr>
          <w:b/>
        </w:rPr>
        <w:tab/>
      </w:r>
      <w:r w:rsidR="00C9004E" w:rsidRPr="00C9004E">
        <w:rPr>
          <w:b/>
        </w:rPr>
        <w:t xml:space="preserve">Building circular and sustainable cities and communities </w:t>
      </w:r>
    </w:p>
    <w:p w14:paraId="6FC582CB" w14:textId="681E3448" w:rsidR="006279B8" w:rsidRDefault="005F1113" w:rsidP="00C9004E">
      <w:pPr>
        <w:jc w:val="both"/>
      </w:pPr>
      <w:r>
        <w:t xml:space="preserve">The </w:t>
      </w:r>
      <w:r w:rsidR="005F3AC1">
        <w:t xml:space="preserve">building of </w:t>
      </w:r>
      <w:r w:rsidR="00590007">
        <w:t xml:space="preserve">circular and </w:t>
      </w:r>
      <w:r w:rsidR="00521F40">
        <w:t>sustainable</w:t>
      </w:r>
      <w:r w:rsidR="00590007">
        <w:t xml:space="preserve"> cities and communities </w:t>
      </w:r>
      <w:r w:rsidR="00FD4136">
        <w:t>is being studied by Question 13/5</w:t>
      </w:r>
      <w:r>
        <w:rPr>
          <w:b/>
        </w:rPr>
        <w:t xml:space="preserve">. </w:t>
      </w:r>
      <w:r w:rsidR="005235D8" w:rsidRPr="005235D8">
        <w:t xml:space="preserve">Question 13/5 aims to develop Recommendations, Supplements and/or Technical Reports identifying </w:t>
      </w:r>
      <w:r w:rsidR="005235D8" w:rsidRPr="005235D8">
        <w:lastRenderedPageBreak/>
        <w:t>requirements and providing guidance, innovative frameworks and tools that support the transition to a circular city.</w:t>
      </w:r>
    </w:p>
    <w:p w14:paraId="69C89DF2" w14:textId="3B595DDF" w:rsidR="00B60B43" w:rsidRPr="00637FF0" w:rsidRDefault="00B60B43" w:rsidP="00C9004E">
      <w:pPr>
        <w:jc w:val="both"/>
        <w:rPr>
          <w:b/>
        </w:rPr>
      </w:pPr>
      <w:r w:rsidRPr="005621F0">
        <w:rPr>
          <w:bCs/>
        </w:rPr>
        <w:t>Q</w:t>
      </w:r>
      <w:r>
        <w:rPr>
          <w:bCs/>
        </w:rPr>
        <w:t>13</w:t>
      </w:r>
      <w:r w:rsidRPr="005621F0">
        <w:rPr>
          <w:bCs/>
        </w:rPr>
        <w:t xml:space="preserve">/5 is currently working on </w:t>
      </w:r>
      <w:r w:rsidR="00874179">
        <w:rPr>
          <w:bCs/>
        </w:rPr>
        <w:t>six</w:t>
      </w:r>
      <w:r w:rsidRPr="005621F0">
        <w:rPr>
          <w:bCs/>
        </w:rPr>
        <w:t xml:space="preserve"> work items</w:t>
      </w:r>
      <w:r>
        <w:rPr>
          <w:bCs/>
        </w:rPr>
        <w:t>.</w:t>
      </w:r>
      <w:r w:rsidRPr="00D67039">
        <w:rPr>
          <w:bCs/>
        </w:rPr>
        <w:t xml:space="preserve"> </w:t>
      </w:r>
      <w:r>
        <w:rPr>
          <w:bCs/>
        </w:rPr>
        <w:t>During the last ITU-T SG5 meeting, experts agreed to start working on draft Recommendation</w:t>
      </w:r>
      <w:r w:rsidR="00850D34">
        <w:rPr>
          <w:bCs/>
        </w:rPr>
        <w:t xml:space="preserve"> </w:t>
      </w:r>
      <w:r w:rsidR="00925F53">
        <w:rPr>
          <w:bCs/>
        </w:rPr>
        <w:t xml:space="preserve">ITU-T </w:t>
      </w:r>
      <w:r w:rsidR="00850D34" w:rsidRPr="00850D34">
        <w:rPr>
          <w:bCs/>
        </w:rPr>
        <w:t>L.GCC</w:t>
      </w:r>
      <w:r w:rsidR="00850D34">
        <w:rPr>
          <w:bCs/>
        </w:rPr>
        <w:t xml:space="preserve"> “</w:t>
      </w:r>
      <w:r w:rsidR="00850D34" w:rsidRPr="00850D34">
        <w:rPr>
          <w:bCs/>
        </w:rPr>
        <w:t>Guide to Circular City</w:t>
      </w:r>
      <w:r w:rsidR="00850D34">
        <w:rPr>
          <w:bCs/>
        </w:rPr>
        <w:t xml:space="preserve">”, draft Recommendation ITU-T </w:t>
      </w:r>
      <w:r w:rsidR="005F4059" w:rsidRPr="005F4059">
        <w:rPr>
          <w:bCs/>
        </w:rPr>
        <w:t>L.FUB</w:t>
      </w:r>
      <w:r w:rsidR="005F4059">
        <w:rPr>
          <w:bCs/>
        </w:rPr>
        <w:t xml:space="preserve"> “</w:t>
      </w:r>
      <w:r w:rsidR="005F4059" w:rsidRPr="005F4059">
        <w:rPr>
          <w:bCs/>
        </w:rPr>
        <w:t xml:space="preserve">Development framework for </w:t>
      </w:r>
      <w:proofErr w:type="spellStart"/>
      <w:r w:rsidR="005F4059" w:rsidRPr="005F4059">
        <w:rPr>
          <w:bCs/>
        </w:rPr>
        <w:t>bioeconomy</w:t>
      </w:r>
      <w:proofErr w:type="spellEnd"/>
      <w:r w:rsidR="005F4059" w:rsidRPr="005F4059">
        <w:rPr>
          <w:bCs/>
        </w:rPr>
        <w:t xml:space="preserve"> for cities and communities</w:t>
      </w:r>
      <w:r w:rsidR="005F4059">
        <w:rPr>
          <w:bCs/>
        </w:rPr>
        <w:t xml:space="preserve">”, draft Supplement ITU-T </w:t>
      </w:r>
      <w:proofErr w:type="spellStart"/>
      <w:r w:rsidR="00E226A2" w:rsidRPr="00E226A2">
        <w:rPr>
          <w:bCs/>
        </w:rPr>
        <w:t>L.Suppl</w:t>
      </w:r>
      <w:proofErr w:type="spellEnd"/>
      <w:r w:rsidR="00E226A2" w:rsidRPr="00E226A2">
        <w:rPr>
          <w:bCs/>
        </w:rPr>
        <w:t xml:space="preserve">. </w:t>
      </w:r>
      <w:proofErr w:type="spellStart"/>
      <w:r w:rsidR="00E226A2" w:rsidRPr="00E226A2">
        <w:rPr>
          <w:bCs/>
        </w:rPr>
        <w:t>Definitions_CC</w:t>
      </w:r>
      <w:proofErr w:type="spellEnd"/>
      <w:r w:rsidR="00E226A2">
        <w:rPr>
          <w:bCs/>
        </w:rPr>
        <w:t xml:space="preserve"> “</w:t>
      </w:r>
      <w:r w:rsidR="00E226A2" w:rsidRPr="00E226A2">
        <w:rPr>
          <w:bCs/>
        </w:rPr>
        <w:t>Definitions and Recent Trends in Circular Cities</w:t>
      </w:r>
      <w:r w:rsidR="00E226A2">
        <w:rPr>
          <w:bCs/>
        </w:rPr>
        <w:t xml:space="preserve">”, draft Supplement </w:t>
      </w:r>
      <w:proofErr w:type="spellStart"/>
      <w:r w:rsidR="00DF4E84" w:rsidRPr="00DF4E84">
        <w:rPr>
          <w:bCs/>
        </w:rPr>
        <w:t>L.Suppl.ConnectSDG</w:t>
      </w:r>
      <w:proofErr w:type="spellEnd"/>
      <w:r w:rsidR="00DF4E84">
        <w:rPr>
          <w:bCs/>
        </w:rPr>
        <w:t xml:space="preserve"> “</w:t>
      </w:r>
      <w:r w:rsidR="00DF4E84" w:rsidRPr="00DF4E84">
        <w:rPr>
          <w:bCs/>
        </w:rPr>
        <w:t>Guidelines for connecting cities and communities with the Sustainable Development Goal</w:t>
      </w:r>
      <w:r w:rsidR="00DF4E84">
        <w:rPr>
          <w:bCs/>
        </w:rPr>
        <w:t xml:space="preserve">”, draft Supplement ITU-T </w:t>
      </w:r>
      <w:proofErr w:type="spellStart"/>
      <w:r w:rsidR="0010538C" w:rsidRPr="0010538C">
        <w:rPr>
          <w:bCs/>
        </w:rPr>
        <w:t>L.Suppl.CSAF_CaseStudies</w:t>
      </w:r>
      <w:proofErr w:type="spellEnd"/>
      <w:r w:rsidR="0010538C">
        <w:rPr>
          <w:bCs/>
        </w:rPr>
        <w:t xml:space="preserve"> “</w:t>
      </w:r>
      <w:r w:rsidR="0010538C" w:rsidRPr="0010538C">
        <w:rPr>
          <w:bCs/>
        </w:rPr>
        <w:t>Case studies on city science application framework</w:t>
      </w:r>
      <w:r w:rsidR="0010538C">
        <w:rPr>
          <w:bCs/>
        </w:rPr>
        <w:t xml:space="preserve">”, and draft Recommendation </w:t>
      </w:r>
      <w:r w:rsidR="006913DC">
        <w:rPr>
          <w:bCs/>
        </w:rPr>
        <w:t xml:space="preserve">ITU-T </w:t>
      </w:r>
      <w:r w:rsidR="00424843" w:rsidRPr="00424843">
        <w:rPr>
          <w:bCs/>
        </w:rPr>
        <w:t>L.CSAF</w:t>
      </w:r>
      <w:r w:rsidR="00424843">
        <w:rPr>
          <w:bCs/>
        </w:rPr>
        <w:t xml:space="preserve"> “</w:t>
      </w:r>
      <w:r w:rsidR="00424843" w:rsidRPr="00424843">
        <w:rPr>
          <w:bCs/>
        </w:rPr>
        <w:t>City Science Application Framework</w:t>
      </w:r>
      <w:r w:rsidR="00424843">
        <w:rPr>
          <w:bCs/>
        </w:rPr>
        <w:t xml:space="preserve">”. </w:t>
      </w:r>
    </w:p>
    <w:p w14:paraId="4D3F9999" w14:textId="77777777" w:rsidR="00B0022E" w:rsidRPr="005621F0" w:rsidRDefault="00D12115">
      <w:pPr>
        <w:keepLines/>
        <w:spacing w:before="240"/>
        <w:jc w:val="both"/>
        <w:rPr>
          <w:b/>
        </w:rPr>
      </w:pPr>
      <w:r w:rsidRPr="005621F0">
        <w:rPr>
          <w:b/>
          <w:bCs/>
        </w:rPr>
        <w:t>4</w:t>
      </w:r>
      <w:r w:rsidRPr="005621F0">
        <w:rPr>
          <w:b/>
          <w:bCs/>
        </w:rPr>
        <w:tab/>
      </w:r>
      <w:r w:rsidRPr="005621F0">
        <w:rPr>
          <w:b/>
        </w:rPr>
        <w:t>Collaboration with other SGs and external organizations</w:t>
      </w:r>
    </w:p>
    <w:p w14:paraId="1BF46C29" w14:textId="77777777" w:rsidR="00B0022E" w:rsidRPr="005621F0" w:rsidRDefault="00D12115">
      <w:pPr>
        <w:jc w:val="both"/>
        <w:rPr>
          <w:rFonts w:eastAsia="MS Mincho"/>
        </w:rPr>
      </w:pPr>
      <w:r w:rsidRPr="005621F0">
        <w:rPr>
          <w:rFonts w:eastAsia="MS Mincho"/>
        </w:rPr>
        <w:t>WP1/5 maintains collaboration with ITU-T SG15 on conformance and interoperability, IEC TC81 and CENELEC TC 81X on lightning protection, IEC TC 108 on safety (especially on remote power feeding), IEC SC 37A and 37B on surge protective devices, IEC SC 77B on high frequency transients, and ETSI ERM on lightning protection, CIGRÉ, CIRED and UIC on power frequency interference, IEC TC 64 on safety (protection against electric shock), and IEEE PES SP</w:t>
      </w:r>
      <w:r w:rsidR="00E12F95" w:rsidRPr="005621F0">
        <w:rPr>
          <w:rFonts w:eastAsia="MS Mincho"/>
        </w:rPr>
        <w:t>DC on surge protective devices.</w:t>
      </w:r>
      <w:r w:rsidR="00E47FCB">
        <w:rPr>
          <w:rFonts w:eastAsia="MS Mincho"/>
        </w:rPr>
        <w:t xml:space="preserve"> </w:t>
      </w:r>
    </w:p>
    <w:p w14:paraId="0AE611C0" w14:textId="77777777" w:rsidR="00B0022E" w:rsidRPr="005621F0" w:rsidRDefault="00D12115">
      <w:pPr>
        <w:jc w:val="both"/>
        <w:rPr>
          <w:rFonts w:eastAsia="MS Mincho"/>
        </w:rPr>
      </w:pPr>
      <w:r w:rsidRPr="005621F0">
        <w:rPr>
          <w:rFonts w:eastAsia="MS Mincho"/>
        </w:rPr>
        <w:t xml:space="preserve">It also maintains collaboration with </w:t>
      </w:r>
      <w:r w:rsidR="00484A21" w:rsidRPr="005621F0">
        <w:rPr>
          <w:rFonts w:eastAsia="MS Mincho"/>
        </w:rPr>
        <w:t xml:space="preserve">ITU-T </w:t>
      </w:r>
      <w:r w:rsidRPr="005621F0">
        <w:rPr>
          <w:rFonts w:eastAsia="MS Mincho"/>
        </w:rPr>
        <w:t xml:space="preserve">SG9 and ITU-R WP1A, </w:t>
      </w:r>
      <w:r w:rsidR="00525997" w:rsidRPr="005621F0">
        <w:rPr>
          <w:rFonts w:eastAsia="MS Mincho"/>
        </w:rPr>
        <w:t xml:space="preserve">WP1C, WP4A, </w:t>
      </w:r>
      <w:r w:rsidRPr="005621F0">
        <w:rPr>
          <w:rFonts w:eastAsia="MS Mincho"/>
        </w:rPr>
        <w:t xml:space="preserve">WP4C, </w:t>
      </w:r>
      <w:r w:rsidR="00525997" w:rsidRPr="005621F0">
        <w:rPr>
          <w:rFonts w:eastAsia="MS Mincho"/>
        </w:rPr>
        <w:t>WP5A,</w:t>
      </w:r>
      <w:r w:rsidRPr="005621F0">
        <w:rPr>
          <w:rFonts w:eastAsia="MS Mincho"/>
        </w:rPr>
        <w:t xml:space="preserve"> WP5B</w:t>
      </w:r>
      <w:r w:rsidR="00525997" w:rsidRPr="005621F0">
        <w:rPr>
          <w:rFonts w:eastAsia="MS Mincho"/>
        </w:rPr>
        <w:t xml:space="preserve">, WP5C, WP5D </w:t>
      </w:r>
      <w:r w:rsidR="00E12F95" w:rsidRPr="005621F0">
        <w:rPr>
          <w:rFonts w:eastAsia="MS Mincho"/>
        </w:rPr>
        <w:t>and</w:t>
      </w:r>
      <w:r w:rsidR="00525997" w:rsidRPr="005621F0">
        <w:rPr>
          <w:rFonts w:eastAsia="MS Mincho"/>
        </w:rPr>
        <w:t xml:space="preserve"> WP6A</w:t>
      </w:r>
      <w:r w:rsidRPr="005621F0">
        <w:rPr>
          <w:rFonts w:eastAsia="MS Mincho"/>
        </w:rPr>
        <w:t xml:space="preserve"> on EMC issues; with ITU-D, WHO, ICNRIP and IEC TC106 on topics on assessment of human exposure to electromagnetic fields (RF EMF); with </w:t>
      </w:r>
      <w:r w:rsidR="00E12F95" w:rsidRPr="005621F0">
        <w:rPr>
          <w:rFonts w:eastAsia="MS Mincho"/>
        </w:rPr>
        <w:t xml:space="preserve">ITU-T </w:t>
      </w:r>
      <w:r w:rsidRPr="005621F0">
        <w:rPr>
          <w:rFonts w:eastAsia="MS Mincho"/>
        </w:rPr>
        <w:t xml:space="preserve">SG17 and IEC SC77C on topics on </w:t>
      </w:r>
      <w:r w:rsidR="00AF4ACE" w:rsidRPr="005621F0">
        <w:rPr>
          <w:rFonts w:eastAsia="MS Mincho"/>
        </w:rPr>
        <w:t>s</w:t>
      </w:r>
      <w:r w:rsidRPr="005621F0">
        <w:rPr>
          <w:rFonts w:eastAsia="MS Mincho"/>
        </w:rPr>
        <w:t xml:space="preserve">ecurity of telecommunication and information systems concerning the electromagnetic environment. WP1/5 </w:t>
      </w:r>
      <w:r w:rsidR="00AF4ACE" w:rsidRPr="005621F0">
        <w:rPr>
          <w:rFonts w:eastAsia="MS Mincho"/>
        </w:rPr>
        <w:t>collaborates also</w:t>
      </w:r>
      <w:r w:rsidRPr="005621F0">
        <w:rPr>
          <w:rFonts w:eastAsia="MS Mincho"/>
        </w:rPr>
        <w:t xml:space="preserve"> with </w:t>
      </w:r>
      <w:r w:rsidR="00E12F95" w:rsidRPr="005621F0">
        <w:rPr>
          <w:rFonts w:eastAsia="MS Mincho"/>
        </w:rPr>
        <w:t xml:space="preserve">ITU-T </w:t>
      </w:r>
      <w:r w:rsidRPr="005621F0">
        <w:rPr>
          <w:rFonts w:eastAsia="MS Mincho"/>
        </w:rPr>
        <w:t>SG12,</w:t>
      </w:r>
      <w:r w:rsidR="003F5FE1" w:rsidRPr="005621F0">
        <w:rPr>
          <w:rFonts w:eastAsia="MS Mincho"/>
        </w:rPr>
        <w:t xml:space="preserve"> </w:t>
      </w:r>
      <w:r w:rsidRPr="005621F0">
        <w:rPr>
          <w:rFonts w:eastAsia="MS Mincho"/>
        </w:rPr>
        <w:t>IEC TC47 and IEC TC 107 for studies on soft error by particle radiations. Additionally, WP1/5 exchange</w:t>
      </w:r>
      <w:r w:rsidR="00AF4ACE" w:rsidRPr="005621F0">
        <w:rPr>
          <w:rFonts w:eastAsia="MS Mincho"/>
        </w:rPr>
        <w:t>s</w:t>
      </w:r>
      <w:r w:rsidRPr="005621F0">
        <w:rPr>
          <w:rFonts w:eastAsia="MS Mincho"/>
        </w:rPr>
        <w:t xml:space="preserve"> information with IEC SC77B, SC77C, TC106 and CISPR through liaison</w:t>
      </w:r>
      <w:r w:rsidR="00AF4ACE" w:rsidRPr="005621F0">
        <w:rPr>
          <w:rFonts w:eastAsia="MS Mincho"/>
        </w:rPr>
        <w:t>s</w:t>
      </w:r>
      <w:r w:rsidRPr="005621F0">
        <w:rPr>
          <w:rFonts w:eastAsia="MS Mincho"/>
        </w:rPr>
        <w:t xml:space="preserve"> with IEC ACEC. WP1/5 also maintains collaboration with CISPR/I.</w:t>
      </w:r>
    </w:p>
    <w:p w14:paraId="720CD27A" w14:textId="4525A4B2" w:rsidR="00E51801" w:rsidRPr="00E51801" w:rsidRDefault="00D12115" w:rsidP="00E51801">
      <w:pPr>
        <w:jc w:val="both"/>
      </w:pPr>
      <w:r w:rsidRPr="005621F0">
        <w:t>WP2/5 maintains close collaboration with ETSI TC EE, ITU-T SG11; ITU-T SG2; FAO</w:t>
      </w:r>
      <w:r w:rsidR="0048745D" w:rsidRPr="005621F0">
        <w:t xml:space="preserve">, </w:t>
      </w:r>
      <w:r w:rsidRPr="005621F0">
        <w:t xml:space="preserve"> and the World Bank on ICTs and adaptation to the effects of climate change topics; with IEC SEG4 on advance and low impact power feeding solutions and with</w:t>
      </w:r>
      <w:r w:rsidR="008C4487" w:rsidRPr="005621F0">
        <w:t xml:space="preserve"> </w:t>
      </w:r>
      <w:r w:rsidRPr="005621F0">
        <w:t xml:space="preserve">3GPP; </w:t>
      </w:r>
      <w:r w:rsidR="008C4487" w:rsidRPr="005621F0">
        <w:t xml:space="preserve">ATIS; </w:t>
      </w:r>
      <w:r w:rsidRPr="005621F0">
        <w:t xml:space="preserve">CCSA; </w:t>
      </w:r>
      <w:r w:rsidR="008C4487" w:rsidRPr="005621F0">
        <w:t>CEDARE; ETNO</w:t>
      </w:r>
      <w:r w:rsidRPr="005621F0">
        <w:t xml:space="preserve">; ETSI TC ATTM, </w:t>
      </w:r>
      <w:r w:rsidR="008C4487" w:rsidRPr="005621F0">
        <w:t xml:space="preserve">FG AI4H; FG ML5G; FG NET2030; FG-VM; </w:t>
      </w:r>
      <w:r w:rsidRPr="005621F0">
        <w:t xml:space="preserve">ISO; IEC; IEEE; CEN/CLC/JTC 10; JCA-IMT2020; </w:t>
      </w:r>
      <w:r w:rsidR="008C4487" w:rsidRPr="005621F0">
        <w:t xml:space="preserve">JCA-IoT and SC&amp;C; </w:t>
      </w:r>
      <w:r w:rsidRPr="005621F0">
        <w:t>ITU-T SG2; ITU-T SG3; ITU-T SG9; ITU-T SG11; ITU</w:t>
      </w:r>
      <w:r w:rsidR="00B8077B">
        <w:noBreakHyphen/>
      </w:r>
      <w:r w:rsidRPr="005621F0">
        <w:t>T SG12; ITU-T SG13; ITU-T SG15; ITU-T SG16; ITU-T SG17</w:t>
      </w:r>
      <w:r w:rsidR="008C4487" w:rsidRPr="005621F0">
        <w:t xml:space="preserve">; </w:t>
      </w:r>
      <w:r w:rsidRPr="005621F0">
        <w:t>ITU-T SG20</w:t>
      </w:r>
      <w:r w:rsidR="00E6010D">
        <w:t xml:space="preserve">, </w:t>
      </w:r>
      <w:r w:rsidR="008C4487" w:rsidRPr="005621F0">
        <w:t>SCV</w:t>
      </w:r>
      <w:r w:rsidR="00E6010D">
        <w:t>, ISO TC323 “Circular Economy”</w:t>
      </w:r>
      <w:r w:rsidRPr="005621F0">
        <w:t xml:space="preserve"> on e-waste management, energy efficiency, circular economy and other green ICT standard topics.</w:t>
      </w:r>
      <w:r w:rsidR="004C34D3">
        <w:t xml:space="preserve"> WP2/5 </w:t>
      </w:r>
      <w:r w:rsidR="00E6010D">
        <w:t xml:space="preserve">has also collaborated with </w:t>
      </w:r>
      <w:r w:rsidR="00E6010D" w:rsidRPr="00E6010D">
        <w:t>ISO/TMBG/CCCC "Climate Change Coordination Committee (CCCC)"</w:t>
      </w:r>
      <w:r w:rsidR="00E6010D">
        <w:t xml:space="preserve">. </w:t>
      </w:r>
      <w:r w:rsidR="00345468" w:rsidRPr="005621F0">
        <w:rPr>
          <w:rFonts w:eastAsia="MS Mincho"/>
        </w:rPr>
        <w:t xml:space="preserve">Additionally, </w:t>
      </w:r>
      <w:r w:rsidR="00E51801" w:rsidRPr="00E51801">
        <w:rPr>
          <w:rFonts w:eastAsia="MS Mincho"/>
        </w:rPr>
        <w:t xml:space="preserve">WP2/5 exchanges information with ISO TC 207, CEN/CLC environmental TC, </w:t>
      </w:r>
      <w:r w:rsidR="00E51801" w:rsidRPr="00B8077B">
        <w:rPr>
          <w:rFonts w:eastAsia="MS Mincho"/>
        </w:rPr>
        <w:t xml:space="preserve">IEC </w:t>
      </w:r>
      <w:proofErr w:type="spellStart"/>
      <w:r w:rsidR="00E51801" w:rsidRPr="00B8077B">
        <w:rPr>
          <w:rFonts w:eastAsia="MS Mincho"/>
        </w:rPr>
        <w:t>SyC</w:t>
      </w:r>
      <w:proofErr w:type="spellEnd"/>
      <w:r w:rsidR="00E51801" w:rsidRPr="00B8077B">
        <w:rPr>
          <w:rFonts w:eastAsia="MS Mincho"/>
        </w:rPr>
        <w:t xml:space="preserve"> Smart Cities</w:t>
      </w:r>
      <w:r w:rsidR="00E51801" w:rsidRPr="00E51801">
        <w:rPr>
          <w:rFonts w:eastAsia="MS Mincho"/>
        </w:rPr>
        <w:t xml:space="preserve"> through liaisons with IEC ACEA. </w:t>
      </w:r>
    </w:p>
    <w:p w14:paraId="3BC5344B" w14:textId="7163D34B" w:rsidR="00272C04" w:rsidRDefault="0048745D">
      <w:pPr>
        <w:jc w:val="both"/>
      </w:pPr>
      <w:r w:rsidRPr="005621F0">
        <w:t xml:space="preserve">Additionally, WP2/5 collaborates closely with GSMA, GESI, </w:t>
      </w:r>
      <w:proofErr w:type="spellStart"/>
      <w:r w:rsidRPr="005621F0">
        <w:t>SBTi</w:t>
      </w:r>
      <w:proofErr w:type="spellEnd"/>
      <w:r w:rsidRPr="005621F0">
        <w:t xml:space="preserve"> and IEA on the topics related to </w:t>
      </w:r>
      <w:r w:rsidR="0051443C" w:rsidRPr="005621F0">
        <w:t>GHG emissions trajectories for the ICT sector.</w:t>
      </w:r>
      <w:r w:rsidR="00272C04">
        <w:t xml:space="preserve"> </w:t>
      </w:r>
      <w:r w:rsidR="006576EE" w:rsidRPr="005621F0">
        <w:t>ITU-T SG5 collaborate</w:t>
      </w:r>
      <w:r w:rsidR="00AF4ACE" w:rsidRPr="005621F0">
        <w:t>s</w:t>
      </w:r>
      <w:r w:rsidR="006576EE" w:rsidRPr="005621F0">
        <w:t xml:space="preserve"> and cooperate</w:t>
      </w:r>
      <w:r w:rsidR="00AF4ACE" w:rsidRPr="005621F0">
        <w:t>s</w:t>
      </w:r>
      <w:r w:rsidR="006576EE" w:rsidRPr="005621F0">
        <w:t xml:space="preserve"> with the Basel Convention and UNIDO on e-waste management</w:t>
      </w:r>
      <w:r w:rsidR="00BD56A4">
        <w:t xml:space="preserve">. Additionally, SG5 is working together with UNIDO in a project </w:t>
      </w:r>
      <w:r w:rsidR="006576EE" w:rsidRPr="005621F0">
        <w:t>in Latin America</w:t>
      </w:r>
      <w:r w:rsidR="00BD56A4">
        <w:t xml:space="preserve"> in the implementation of the Recommendations on e-waste management</w:t>
      </w:r>
      <w:r w:rsidR="006576EE" w:rsidRPr="005621F0">
        <w:t>.</w:t>
      </w:r>
      <w:r w:rsidR="00272C04">
        <w:t xml:space="preserve"> </w:t>
      </w:r>
    </w:p>
    <w:p w14:paraId="1DADCAAD" w14:textId="77DB157A" w:rsidR="00F70B55" w:rsidRDefault="00F70B55">
      <w:pPr>
        <w:jc w:val="both"/>
      </w:pPr>
      <w:r>
        <w:t xml:space="preserve">ITU </w:t>
      </w:r>
      <w:r w:rsidR="008B28B9">
        <w:t xml:space="preserve">participated in the Technical Working Group on Innovation, Technology and Data as part of the preparations for the </w:t>
      </w:r>
      <w:r w:rsidR="00637FF0">
        <w:t>High-level</w:t>
      </w:r>
      <w:r w:rsidR="008B28B9">
        <w:t xml:space="preserve"> Dialogue on Energy which was held in September 2021. The technical working group produced a Theme Report on Innovation, Technology and Data. The full report is available </w:t>
      </w:r>
      <w:hyperlink r:id="rId22" w:history="1">
        <w:r w:rsidR="008B28B9" w:rsidRPr="008B28B9">
          <w:rPr>
            <w:rStyle w:val="Hyperlink"/>
          </w:rPr>
          <w:t>here</w:t>
        </w:r>
      </w:hyperlink>
      <w:r w:rsidR="008B28B9">
        <w:t xml:space="preserve"> and the executive summary is available </w:t>
      </w:r>
      <w:hyperlink r:id="rId23" w:history="1">
        <w:r w:rsidR="008B28B9" w:rsidRPr="008B28B9">
          <w:rPr>
            <w:rStyle w:val="Hyperlink"/>
          </w:rPr>
          <w:t>here</w:t>
        </w:r>
      </w:hyperlink>
      <w:r w:rsidR="008B28B9">
        <w:t xml:space="preserve">. The report contains a case study on the </w:t>
      </w:r>
      <w:r w:rsidR="008B28B9" w:rsidRPr="008B28B9">
        <w:t>Implementation of Recommendation ITU-T L.1381 'Smart energy solutions for data centres' in China</w:t>
      </w:r>
      <w:r w:rsidR="008B28B9">
        <w:t>.</w:t>
      </w:r>
    </w:p>
    <w:p w14:paraId="1617E82C" w14:textId="6C182178" w:rsidR="008B28B9" w:rsidRPr="008B28B9" w:rsidRDefault="008B28B9">
      <w:pPr>
        <w:jc w:val="both"/>
      </w:pPr>
      <w:r w:rsidRPr="008B28B9">
        <w:t>ITU-T SG5 is lead</w:t>
      </w:r>
      <w:r>
        <w:t xml:space="preserve">ing the subgroup on </w:t>
      </w:r>
      <w:r w:rsidRPr="008B28B9">
        <w:t>Supply Chain Transparency and Circularity</w:t>
      </w:r>
      <w:r>
        <w:t xml:space="preserve"> of the Policy Network of Environment (PNE) of the Internet Governance Forum. The overall objective of the PNE is to produce a report that will be </w:t>
      </w:r>
      <w:r w:rsidR="00AE1C9F">
        <w:t>launched at the IGF to be held from 6 to 10 December 2021.</w:t>
      </w:r>
    </w:p>
    <w:p w14:paraId="7CE96F3A" w14:textId="77777777" w:rsidR="00FF3677" w:rsidRPr="00272C04" w:rsidRDefault="00FF3677">
      <w:pPr>
        <w:keepNext/>
        <w:keepLines/>
        <w:tabs>
          <w:tab w:val="left" w:pos="567"/>
        </w:tabs>
        <w:spacing w:before="240"/>
        <w:jc w:val="both"/>
        <w:rPr>
          <w:b/>
          <w:bCs/>
        </w:rPr>
      </w:pPr>
      <w:r w:rsidRPr="005621F0">
        <w:rPr>
          <w:b/>
          <w:bCs/>
        </w:rPr>
        <w:lastRenderedPageBreak/>
        <w:t>5</w:t>
      </w:r>
      <w:r w:rsidRPr="005621F0">
        <w:rPr>
          <w:b/>
          <w:bCs/>
        </w:rPr>
        <w:tab/>
      </w:r>
      <w:r w:rsidRPr="00272C04">
        <w:rPr>
          <w:b/>
          <w:bCs/>
        </w:rPr>
        <w:t>ITU-T Study Group 5 Regional Groups</w:t>
      </w:r>
    </w:p>
    <w:p w14:paraId="225CF01E" w14:textId="77777777" w:rsidR="00FF3677" w:rsidRPr="00272C04" w:rsidRDefault="00FF3677" w:rsidP="00437BC7">
      <w:r w:rsidRPr="00272C04">
        <w:t>ITU-T Study Group 5 has the following Regional Groups:</w:t>
      </w:r>
    </w:p>
    <w:p w14:paraId="6274860A" w14:textId="454AA2BF" w:rsidR="00E6734C" w:rsidRPr="00272C04" w:rsidRDefault="004A2A82" w:rsidP="00C73EF0">
      <w:pPr>
        <w:numPr>
          <w:ilvl w:val="0"/>
          <w:numId w:val="2"/>
        </w:numPr>
        <w:ind w:left="425" w:hanging="425"/>
        <w:jc w:val="both"/>
        <w:rPr>
          <w:color w:val="0000FF"/>
          <w:u w:val="single"/>
        </w:rPr>
      </w:pPr>
      <w:hyperlink r:id="rId24" w:history="1">
        <w:r w:rsidR="00E6734C" w:rsidRPr="00272C04">
          <w:rPr>
            <w:rStyle w:val="Hyperlink"/>
          </w:rPr>
          <w:t>SG5 Regional Group for the Africa Region</w:t>
        </w:r>
      </w:hyperlink>
      <w:r w:rsidR="00E6734C" w:rsidRPr="00272C04">
        <w:t xml:space="preserve"> (SG5RG-AFR) held its first meeting in Zanzibar, Tanzania on 9 April 2018.</w:t>
      </w:r>
      <w:r w:rsidR="00DB7D19" w:rsidRPr="00272C04">
        <w:t xml:space="preserve"> The second meeting </w:t>
      </w:r>
      <w:r w:rsidR="002108B2" w:rsidRPr="00272C04">
        <w:t>was held</w:t>
      </w:r>
      <w:r w:rsidR="00DB7D19" w:rsidRPr="00272C04">
        <w:t xml:space="preserve"> on 29-30 August 2019</w:t>
      </w:r>
      <w:r w:rsidR="002108B2" w:rsidRPr="00272C04">
        <w:t xml:space="preserve"> in Abuja, Nigeria</w:t>
      </w:r>
      <w:r w:rsidR="00F63B3C" w:rsidRPr="00272C04">
        <w:t xml:space="preserve">, during the </w:t>
      </w:r>
      <w:hyperlink r:id="rId25" w:history="1">
        <w:r w:rsidR="00F63B3C" w:rsidRPr="00272C04">
          <w:rPr>
            <w:rStyle w:val="Hyperlink"/>
          </w:rPr>
          <w:t>1</w:t>
        </w:r>
        <w:r w:rsidR="00F63B3C" w:rsidRPr="00272C04">
          <w:rPr>
            <w:rStyle w:val="Hyperlink"/>
            <w:vertAlign w:val="superscript"/>
          </w:rPr>
          <w:t>st</w:t>
        </w:r>
        <w:r w:rsidR="00F63B3C" w:rsidRPr="00272C04">
          <w:rPr>
            <w:rStyle w:val="Hyperlink"/>
          </w:rPr>
          <w:t xml:space="preserve"> Digital African Week</w:t>
        </w:r>
      </w:hyperlink>
      <w:r w:rsidR="00DB7D19" w:rsidRPr="00272C04">
        <w:t>.</w:t>
      </w:r>
      <w:r w:rsidR="00E6010D">
        <w:t xml:space="preserve"> The third meeting was held virtually on 28 September 2021 during the </w:t>
      </w:r>
      <w:hyperlink r:id="rId26" w:history="1">
        <w:r w:rsidR="00E6010D" w:rsidRPr="00E6010D">
          <w:rPr>
            <w:rStyle w:val="Hyperlink"/>
          </w:rPr>
          <w:t>Sustainable Digital Transformation Dialogues</w:t>
        </w:r>
      </w:hyperlink>
      <w:r w:rsidR="00E6010D">
        <w:t>.</w:t>
      </w:r>
    </w:p>
    <w:p w14:paraId="2B4710FD" w14:textId="6E185191" w:rsidR="00E6734C" w:rsidRPr="00272C04" w:rsidRDefault="004A2A82" w:rsidP="00C73EF0">
      <w:pPr>
        <w:numPr>
          <w:ilvl w:val="0"/>
          <w:numId w:val="2"/>
        </w:numPr>
        <w:ind w:left="425" w:hanging="425"/>
        <w:jc w:val="both"/>
        <w:rPr>
          <w:color w:val="0000FF"/>
          <w:u w:val="single"/>
        </w:rPr>
      </w:pPr>
      <w:hyperlink r:id="rId27" w:history="1">
        <w:r w:rsidR="00E6734C" w:rsidRPr="00272C04">
          <w:rPr>
            <w:rStyle w:val="Hyperlink"/>
          </w:rPr>
          <w:t>SG5 Regional Group for the Arab Region</w:t>
        </w:r>
      </w:hyperlink>
      <w:r w:rsidR="00E6734C" w:rsidRPr="00272C04">
        <w:t xml:space="preserve"> (SG5RG-ARB) held its first meeting in Zanzibar, Tanzania on 10 April 2018. The second meeting </w:t>
      </w:r>
      <w:r w:rsidR="00DB7D19" w:rsidRPr="00272C04">
        <w:t>was</w:t>
      </w:r>
      <w:r w:rsidR="00E6734C" w:rsidRPr="00272C04">
        <w:t xml:space="preserve"> held on 18 December 2018 in Kuwait city, Kuwait.</w:t>
      </w:r>
      <w:r w:rsidR="00E6010D">
        <w:t xml:space="preserve"> The third meeting was held virtually on 29 September 2021 during the </w:t>
      </w:r>
      <w:hyperlink r:id="rId28" w:history="1">
        <w:r w:rsidR="00E6010D" w:rsidRPr="00E6010D">
          <w:rPr>
            <w:rStyle w:val="Hyperlink"/>
          </w:rPr>
          <w:t>Sustainable Digital Transformation Dialogues</w:t>
        </w:r>
      </w:hyperlink>
      <w:r w:rsidR="00E6010D">
        <w:t>.</w:t>
      </w:r>
    </w:p>
    <w:p w14:paraId="60638E34" w14:textId="7D77753D" w:rsidR="00E6734C" w:rsidRPr="00272C04" w:rsidRDefault="004A2A82" w:rsidP="00C73EF0">
      <w:pPr>
        <w:numPr>
          <w:ilvl w:val="0"/>
          <w:numId w:val="2"/>
        </w:numPr>
        <w:ind w:left="425" w:hanging="425"/>
        <w:jc w:val="both"/>
        <w:rPr>
          <w:color w:val="0000FF"/>
          <w:u w:val="single"/>
        </w:rPr>
      </w:pPr>
      <w:hyperlink r:id="rId29" w:history="1">
        <w:r w:rsidR="00E6734C" w:rsidRPr="00272C04">
          <w:rPr>
            <w:rStyle w:val="Hyperlink"/>
          </w:rPr>
          <w:t xml:space="preserve">SG5 Regional Group for </w:t>
        </w:r>
        <w:r w:rsidR="00062240" w:rsidRPr="00272C04">
          <w:rPr>
            <w:rStyle w:val="Hyperlink"/>
          </w:rPr>
          <w:t>Latin America</w:t>
        </w:r>
      </w:hyperlink>
      <w:r w:rsidR="00062240" w:rsidRPr="00272C04">
        <w:t xml:space="preserve"> (SG5RG-LATAM) held its first meeting in Cartagena de </w:t>
      </w:r>
      <w:proofErr w:type="spellStart"/>
      <w:r w:rsidR="00062240" w:rsidRPr="00272C04">
        <w:t>Indias</w:t>
      </w:r>
      <w:proofErr w:type="spellEnd"/>
      <w:r w:rsidR="00062240" w:rsidRPr="00272C04">
        <w:t xml:space="preserve">, Colombia on 19 April 2018. </w:t>
      </w:r>
      <w:r w:rsidR="00C73EF0" w:rsidRPr="00272C04">
        <w:t xml:space="preserve">The </w:t>
      </w:r>
      <w:r w:rsidR="00062240" w:rsidRPr="00272C04">
        <w:t>second meeting was held on 24 October 2018 in Bogotá, Colombia.</w:t>
      </w:r>
      <w:r w:rsidR="007C5F52">
        <w:t xml:space="preserve"> The third meeting was held virtually on 10 November 2020.</w:t>
      </w:r>
      <w:r w:rsidR="00E6010D">
        <w:t xml:space="preserve"> The fourth meeting was held virtually on 30 September 2021 during the </w:t>
      </w:r>
      <w:hyperlink r:id="rId30" w:history="1">
        <w:r w:rsidR="00E6010D" w:rsidRPr="00E6010D">
          <w:rPr>
            <w:rStyle w:val="Hyperlink"/>
          </w:rPr>
          <w:t>Sustainable Digital Transformation Dialogues</w:t>
        </w:r>
      </w:hyperlink>
      <w:r w:rsidR="00E6010D">
        <w:t>.</w:t>
      </w:r>
    </w:p>
    <w:p w14:paraId="665347FD" w14:textId="69C5E194" w:rsidR="00A835A7" w:rsidRPr="00272C04" w:rsidRDefault="004A2A82" w:rsidP="00C73EF0">
      <w:pPr>
        <w:numPr>
          <w:ilvl w:val="0"/>
          <w:numId w:val="2"/>
        </w:numPr>
        <w:ind w:left="425" w:hanging="425"/>
        <w:jc w:val="both"/>
      </w:pPr>
      <w:hyperlink r:id="rId31" w:history="1">
        <w:r w:rsidR="00062240" w:rsidRPr="00272C04">
          <w:rPr>
            <w:rStyle w:val="Hyperlink"/>
          </w:rPr>
          <w:t>SG5 Regional Group for Asia and the Pacific</w:t>
        </w:r>
      </w:hyperlink>
      <w:r w:rsidR="00062240" w:rsidRPr="00272C04">
        <w:t xml:space="preserve"> (SG5RG-AP) </w:t>
      </w:r>
      <w:r w:rsidR="007C5F52">
        <w:t>held</w:t>
      </w:r>
      <w:r w:rsidR="00062240" w:rsidRPr="00272C04">
        <w:t xml:space="preserve"> its first </w:t>
      </w:r>
      <w:r w:rsidR="003E71D8" w:rsidRPr="00272C04">
        <w:t xml:space="preserve">virtual </w:t>
      </w:r>
      <w:r w:rsidR="00062240" w:rsidRPr="00272C04">
        <w:t xml:space="preserve">meeting </w:t>
      </w:r>
      <w:r w:rsidR="003E71D8" w:rsidRPr="00272C04">
        <w:t>on 29 and 30 September</w:t>
      </w:r>
      <w:r w:rsidR="00062240" w:rsidRPr="00272C04">
        <w:t xml:space="preserve"> </w:t>
      </w:r>
      <w:r w:rsidR="00EE6AB1" w:rsidRPr="00272C04">
        <w:t>2020</w:t>
      </w:r>
      <w:r w:rsidR="00062240" w:rsidRPr="00272C04">
        <w:t>.</w:t>
      </w:r>
      <w:r w:rsidR="00E6010D">
        <w:t xml:space="preserve"> The second meeting was held virtually on 15-16 April 2021. The third meeting will </w:t>
      </w:r>
      <w:r w:rsidR="00C033B1">
        <w:t xml:space="preserve">be </w:t>
      </w:r>
      <w:r w:rsidR="00E6010D">
        <w:t xml:space="preserve">held on </w:t>
      </w:r>
      <w:r w:rsidR="00C033B1">
        <w:t xml:space="preserve">19 and 20 October 2021. The meeting will be collocated with the </w:t>
      </w:r>
      <w:hyperlink r:id="rId32" w:history="1">
        <w:r w:rsidR="00C033B1" w:rsidRPr="00C033B1">
          <w:rPr>
            <w:rStyle w:val="Hyperlink"/>
          </w:rPr>
          <w:t>Dialogue on Sustainable Digital Transformation in Asia and the Pacific</w:t>
        </w:r>
      </w:hyperlink>
      <w:r w:rsidR="00C033B1">
        <w:t xml:space="preserve"> on 19 October 2021. </w:t>
      </w:r>
    </w:p>
    <w:p w14:paraId="23FDB2B7" w14:textId="77777777" w:rsidR="00A835A7" w:rsidRPr="00272C04" w:rsidRDefault="00A835A7" w:rsidP="003F24A0">
      <w:pPr>
        <w:keepNext/>
        <w:keepLines/>
        <w:spacing w:after="240"/>
        <w:rPr>
          <w:b/>
          <w:bCs/>
        </w:rPr>
      </w:pPr>
      <w:r w:rsidRPr="00272C04">
        <w:rPr>
          <w:b/>
          <w:bCs/>
        </w:rPr>
        <w:t>6</w:t>
      </w:r>
      <w:r w:rsidRPr="00272C04">
        <w:rPr>
          <w:b/>
          <w:bCs/>
        </w:rPr>
        <w:tab/>
        <w:t>Focus Group on "Environmental Efficiency for Artificial Intelligence and other Emerging Technologies" (FG-AI4EE)</w:t>
      </w:r>
    </w:p>
    <w:p w14:paraId="74AABF1E" w14:textId="49A2DA96" w:rsidR="00202D64" w:rsidRDefault="00A835A7" w:rsidP="00A542B5">
      <w:pPr>
        <w:spacing w:after="240"/>
        <w:jc w:val="both"/>
        <w:rPr>
          <w:bCs/>
        </w:rPr>
      </w:pPr>
      <w:r w:rsidRPr="00995501">
        <w:rPr>
          <w:bCs/>
        </w:rPr>
        <w:t xml:space="preserve">The </w:t>
      </w:r>
      <w:r w:rsidR="00C033B1">
        <w:rPr>
          <w:bCs/>
        </w:rPr>
        <w:t>third meeting of the FG-AI4EE took place virtually on 8 April 2021.</w:t>
      </w:r>
      <w:r w:rsidR="00202D64">
        <w:rPr>
          <w:bCs/>
        </w:rPr>
        <w:t xml:space="preserve"> The meeting was preceded by a </w:t>
      </w:r>
      <w:hyperlink r:id="rId33" w:history="1">
        <w:r w:rsidR="00202D64" w:rsidRPr="00202D64">
          <w:rPr>
            <w:rStyle w:val="Hyperlink"/>
            <w:bCs/>
          </w:rPr>
          <w:t>Webinar on AI for sustainable transformation in smart cities, mobility &amp; energy</w:t>
        </w:r>
      </w:hyperlink>
      <w:r w:rsidR="00202D64">
        <w:rPr>
          <w:bCs/>
        </w:rPr>
        <w:t xml:space="preserve"> on 7 April 2021.</w:t>
      </w:r>
    </w:p>
    <w:p w14:paraId="4F08610C" w14:textId="5572EAF1" w:rsidR="00C033B1" w:rsidRDefault="00C033B1" w:rsidP="00A542B5">
      <w:pPr>
        <w:spacing w:after="240"/>
        <w:jc w:val="both"/>
        <w:rPr>
          <w:bCs/>
        </w:rPr>
      </w:pPr>
      <w:r>
        <w:rPr>
          <w:bCs/>
        </w:rPr>
        <w:t>During this meeting the FG-AI4EE approved the following six deliverables that were submitted to SG5 for consideration:</w:t>
      </w:r>
    </w:p>
    <w:p w14:paraId="1607AF6B" w14:textId="77777777" w:rsidR="00C033B1" w:rsidRPr="00637FF0" w:rsidRDefault="00C033B1" w:rsidP="00C033B1">
      <w:pPr>
        <w:pStyle w:val="ListParagraph"/>
        <w:numPr>
          <w:ilvl w:val="0"/>
          <w:numId w:val="20"/>
        </w:numPr>
        <w:spacing w:after="240"/>
        <w:jc w:val="both"/>
        <w:rPr>
          <w:lang w:val="en-CA"/>
        </w:rPr>
      </w:pPr>
      <w:r w:rsidRPr="00925F53">
        <w:rPr>
          <w:bCs/>
        </w:rPr>
        <w:t>Technical specification on Key performance indicators for small and medium enterprises to assess the achievement of the sustainable development goals</w:t>
      </w:r>
      <w:r w:rsidRPr="00637FF0">
        <w:rPr>
          <w:bCs/>
        </w:rPr>
        <w:t>;</w:t>
      </w:r>
    </w:p>
    <w:p w14:paraId="069C6608" w14:textId="3E535773" w:rsidR="00C033B1" w:rsidRPr="00925F53" w:rsidRDefault="00C033B1" w:rsidP="00C033B1">
      <w:pPr>
        <w:pStyle w:val="ListParagraph"/>
        <w:numPr>
          <w:ilvl w:val="0"/>
          <w:numId w:val="20"/>
        </w:numPr>
        <w:spacing w:after="240"/>
        <w:jc w:val="both"/>
        <w:rPr>
          <w:lang w:val="en-CA"/>
        </w:rPr>
      </w:pPr>
      <w:r w:rsidRPr="00637FF0">
        <w:rPr>
          <w:bCs/>
          <w:lang w:val="en-CA"/>
        </w:rPr>
        <w:t xml:space="preserve">Technical report on </w:t>
      </w:r>
      <w:r w:rsidRPr="00637FF0">
        <w:rPr>
          <w:rFonts w:eastAsia="Times New Roman"/>
          <w:lang w:val="en-US"/>
        </w:rPr>
        <w:t xml:space="preserve">Requirements on energy efficiency measurement models and the role of AI and big data; </w:t>
      </w:r>
    </w:p>
    <w:p w14:paraId="1224660B" w14:textId="1E4EBCFB" w:rsidR="00C033B1" w:rsidRPr="00925F53" w:rsidRDefault="00C033B1" w:rsidP="00C033B1">
      <w:pPr>
        <w:pStyle w:val="ListParagraph"/>
        <w:numPr>
          <w:ilvl w:val="0"/>
          <w:numId w:val="20"/>
        </w:numPr>
        <w:spacing w:after="240"/>
        <w:jc w:val="both"/>
        <w:rPr>
          <w:lang w:val="en-CA"/>
        </w:rPr>
      </w:pPr>
      <w:r w:rsidRPr="00637FF0">
        <w:rPr>
          <w:rFonts w:eastAsia="Times New Roman"/>
          <w:lang w:val="en-CA"/>
        </w:rPr>
        <w:t xml:space="preserve">Technical specification on </w:t>
      </w:r>
      <w:r w:rsidRPr="00637FF0">
        <w:rPr>
          <w:rFonts w:eastAsia="Times New Roman"/>
          <w:lang w:val="en-US"/>
        </w:rPr>
        <w:t xml:space="preserve">Guidelines on energy efficient </w:t>
      </w:r>
      <w:proofErr w:type="spellStart"/>
      <w:r w:rsidRPr="00637FF0">
        <w:rPr>
          <w:rFonts w:eastAsia="Times New Roman"/>
          <w:lang w:val="en-US"/>
        </w:rPr>
        <w:t>blockchain</w:t>
      </w:r>
      <w:proofErr w:type="spellEnd"/>
      <w:r w:rsidRPr="00637FF0">
        <w:rPr>
          <w:rFonts w:eastAsia="Times New Roman"/>
          <w:lang w:val="en-US"/>
        </w:rPr>
        <w:t xml:space="preserve"> systems;</w:t>
      </w:r>
    </w:p>
    <w:p w14:paraId="636C1D81" w14:textId="09369ED9" w:rsidR="00C033B1" w:rsidRPr="00925F53" w:rsidRDefault="00C033B1" w:rsidP="00C033B1">
      <w:pPr>
        <w:pStyle w:val="ListParagraph"/>
        <w:numPr>
          <w:ilvl w:val="0"/>
          <w:numId w:val="20"/>
        </w:numPr>
        <w:spacing w:after="240"/>
        <w:jc w:val="both"/>
        <w:rPr>
          <w:lang w:val="en-CA"/>
        </w:rPr>
      </w:pPr>
      <w:r w:rsidRPr="00637FF0">
        <w:rPr>
          <w:rFonts w:eastAsia="Times New Roman"/>
          <w:lang w:val="en-US"/>
        </w:rPr>
        <w:t>Technical report on Smart energy saving of 5G base station: Based on AI and other emerging technologies to forecast and optimize the management of 5G wireless network energy consumption; and</w:t>
      </w:r>
    </w:p>
    <w:p w14:paraId="739CFD2B" w14:textId="207221A5" w:rsidR="00C033B1" w:rsidRPr="00925F53" w:rsidRDefault="00C033B1" w:rsidP="00C033B1">
      <w:pPr>
        <w:pStyle w:val="ListParagraph"/>
        <w:numPr>
          <w:ilvl w:val="0"/>
          <w:numId w:val="20"/>
        </w:numPr>
        <w:spacing w:after="240"/>
        <w:jc w:val="both"/>
        <w:rPr>
          <w:lang w:val="en-CA"/>
        </w:rPr>
      </w:pPr>
      <w:r w:rsidRPr="00637FF0">
        <w:rPr>
          <w:rFonts w:eastAsia="Times New Roman"/>
          <w:lang w:val="en-US"/>
        </w:rPr>
        <w:t>Technical report on Guidelines on the environmental efficiency of machine learning processes in supply chain management.</w:t>
      </w:r>
    </w:p>
    <w:p w14:paraId="012114BA" w14:textId="1A78CC4C" w:rsidR="00C033B1" w:rsidRPr="00637FF0" w:rsidRDefault="00C033B1" w:rsidP="00C033B1">
      <w:pPr>
        <w:spacing w:after="240"/>
        <w:jc w:val="both"/>
        <w:rPr>
          <w:bCs/>
          <w:lang w:val="en-CA"/>
        </w:rPr>
      </w:pPr>
      <w:r w:rsidRPr="00637FF0">
        <w:rPr>
          <w:bCs/>
          <w:lang w:val="en-CA"/>
        </w:rPr>
        <w:t xml:space="preserve">The meeting report is available </w:t>
      </w:r>
      <w:hyperlink r:id="rId34" w:history="1">
        <w:r w:rsidRPr="00637FF0">
          <w:rPr>
            <w:rStyle w:val="Hyperlink"/>
            <w:bCs/>
            <w:lang w:val="en-CA"/>
          </w:rPr>
          <w:t>here</w:t>
        </w:r>
      </w:hyperlink>
      <w:r w:rsidRPr="00925F53">
        <w:rPr>
          <w:bCs/>
          <w:lang w:val="en-CA"/>
        </w:rPr>
        <w:t xml:space="preserve">. </w:t>
      </w:r>
    </w:p>
    <w:p w14:paraId="13C4EDCB" w14:textId="538E0FDF" w:rsidR="00202D64" w:rsidRDefault="00C033B1" w:rsidP="00C033B1">
      <w:pPr>
        <w:spacing w:after="240"/>
        <w:jc w:val="both"/>
        <w:rPr>
          <w:bCs/>
          <w:lang w:val="en-CA"/>
        </w:rPr>
      </w:pPr>
      <w:r>
        <w:rPr>
          <w:bCs/>
          <w:lang w:val="en-CA"/>
        </w:rPr>
        <w:t xml:space="preserve">The fourth meeting of the FG-AI4EE will take place on 21 October 2021 and will be preceded by a </w:t>
      </w:r>
      <w:hyperlink r:id="rId35" w:history="1">
        <w:r w:rsidR="00202D64" w:rsidRPr="00202D64">
          <w:rPr>
            <w:rStyle w:val="Hyperlink"/>
            <w:bCs/>
            <w:lang w:val="en-CA"/>
          </w:rPr>
          <w:t>Webinar on AI for environmental sustainability</w:t>
        </w:r>
      </w:hyperlink>
      <w:r w:rsidR="00202D64">
        <w:rPr>
          <w:bCs/>
          <w:lang w:val="en-CA"/>
        </w:rPr>
        <w:t xml:space="preserve"> on 20 October 2021. </w:t>
      </w:r>
    </w:p>
    <w:p w14:paraId="4F93ED24" w14:textId="5F0AEB9B" w:rsidR="0048745D" w:rsidRPr="00272C04" w:rsidRDefault="00E0390F" w:rsidP="00A542B5">
      <w:pPr>
        <w:spacing w:after="240"/>
        <w:jc w:val="both"/>
        <w:rPr>
          <w:lang w:val="en-CA"/>
        </w:rPr>
      </w:pPr>
      <w:r w:rsidRPr="00272C04">
        <w:rPr>
          <w:lang w:val="en-CA"/>
        </w:rPr>
        <w:t>The FG-AI4EE has the following structure:</w:t>
      </w:r>
    </w:p>
    <w:p w14:paraId="78FD66AD" w14:textId="6A1E575C" w:rsidR="00E0390F" w:rsidRPr="00272C04" w:rsidRDefault="00E0390F" w:rsidP="00E0390F">
      <w:pPr>
        <w:pStyle w:val="ListParagraph"/>
        <w:numPr>
          <w:ilvl w:val="0"/>
          <w:numId w:val="16"/>
        </w:numPr>
        <w:spacing w:after="240"/>
        <w:jc w:val="both"/>
        <w:rPr>
          <w:lang w:val="en-CA"/>
        </w:rPr>
      </w:pPr>
      <w:r w:rsidRPr="00272C04">
        <w:rPr>
          <w:b/>
          <w:bCs/>
          <w:lang w:val="en-CA"/>
        </w:rPr>
        <w:t>Working Group 1</w:t>
      </w:r>
      <w:r w:rsidRPr="00272C04">
        <w:rPr>
          <w:lang w:val="en-CA"/>
        </w:rPr>
        <w:t xml:space="preserve"> - Requirements of AI and other Emerging Technologies to Ensure Environmental Efficiency.</w:t>
      </w:r>
      <w:r w:rsidR="006B0877">
        <w:rPr>
          <w:lang w:val="en-CA"/>
        </w:rPr>
        <w:t xml:space="preserve"> </w:t>
      </w:r>
      <w:hyperlink r:id="rId36" w:history="1">
        <w:r w:rsidR="006B0877" w:rsidRPr="006B0877">
          <w:rPr>
            <w:rStyle w:val="Hyperlink"/>
            <w:lang w:val="en-CA"/>
          </w:rPr>
          <w:t>List of WG1 deliverables.</w:t>
        </w:r>
      </w:hyperlink>
      <w:r w:rsidR="006B0877">
        <w:rPr>
          <w:lang w:val="en-CA"/>
        </w:rPr>
        <w:t xml:space="preserve"> </w:t>
      </w:r>
    </w:p>
    <w:p w14:paraId="2C58EA91" w14:textId="18BB0266" w:rsidR="00E0390F" w:rsidRPr="00272C04" w:rsidRDefault="00E0390F" w:rsidP="00E0390F">
      <w:pPr>
        <w:pStyle w:val="ListParagraph"/>
        <w:numPr>
          <w:ilvl w:val="0"/>
          <w:numId w:val="16"/>
        </w:numPr>
        <w:spacing w:after="240"/>
        <w:jc w:val="both"/>
        <w:rPr>
          <w:lang w:val="en-CA"/>
        </w:rPr>
      </w:pPr>
      <w:r w:rsidRPr="00272C04">
        <w:rPr>
          <w:b/>
          <w:bCs/>
          <w:lang w:val="en-CA"/>
        </w:rPr>
        <w:t xml:space="preserve">Working Group 2 </w:t>
      </w:r>
      <w:r w:rsidRPr="00272C04">
        <w:rPr>
          <w:lang w:val="en-CA"/>
        </w:rPr>
        <w:t>- Assessment and Measurement of the Environmental Efficiency of AI and Emerging Technologies.</w:t>
      </w:r>
      <w:r w:rsidR="00995501">
        <w:rPr>
          <w:lang w:val="en-CA"/>
        </w:rPr>
        <w:t xml:space="preserve"> </w:t>
      </w:r>
      <w:hyperlink r:id="rId37" w:history="1">
        <w:r w:rsidR="00995501" w:rsidRPr="00995501">
          <w:rPr>
            <w:rStyle w:val="Hyperlink"/>
            <w:lang w:val="en-CA"/>
          </w:rPr>
          <w:t>List of WG2 deliverables.</w:t>
        </w:r>
      </w:hyperlink>
      <w:r w:rsidR="00995501">
        <w:rPr>
          <w:lang w:val="en-CA"/>
        </w:rPr>
        <w:t xml:space="preserve"> </w:t>
      </w:r>
    </w:p>
    <w:p w14:paraId="6A2B8FEB" w14:textId="40FD8A9A" w:rsidR="00E0390F" w:rsidRPr="00202D64" w:rsidRDefault="00E0390F" w:rsidP="005621F0">
      <w:pPr>
        <w:pStyle w:val="ListParagraph"/>
        <w:numPr>
          <w:ilvl w:val="0"/>
          <w:numId w:val="16"/>
        </w:numPr>
        <w:spacing w:after="240"/>
        <w:jc w:val="both"/>
        <w:rPr>
          <w:rStyle w:val="Hyperlink"/>
          <w:color w:val="auto"/>
          <w:u w:val="none"/>
          <w:lang w:val="en-CA"/>
        </w:rPr>
      </w:pPr>
      <w:r w:rsidRPr="00272C04">
        <w:rPr>
          <w:b/>
          <w:bCs/>
          <w:lang w:val="en-CA"/>
        </w:rPr>
        <w:lastRenderedPageBreak/>
        <w:t xml:space="preserve">Working Group 3 </w:t>
      </w:r>
      <w:r w:rsidRPr="00272C04">
        <w:rPr>
          <w:lang w:val="en-CA"/>
        </w:rPr>
        <w:t>– Implementation Guidelines of AI and Emerging Technologies for Environmental Efficiency.</w:t>
      </w:r>
      <w:r w:rsidR="00995501">
        <w:rPr>
          <w:lang w:val="en-CA"/>
        </w:rPr>
        <w:t xml:space="preserve"> </w:t>
      </w:r>
      <w:hyperlink r:id="rId38" w:history="1">
        <w:r w:rsidR="00995501" w:rsidRPr="00995501">
          <w:rPr>
            <w:rStyle w:val="Hyperlink"/>
            <w:lang w:val="en-CA"/>
          </w:rPr>
          <w:t>List of WG3 deliverables.</w:t>
        </w:r>
      </w:hyperlink>
    </w:p>
    <w:p w14:paraId="59BB01FF" w14:textId="7CC3138C" w:rsidR="00202D64" w:rsidRDefault="00202D64" w:rsidP="00202D64">
      <w:pPr>
        <w:spacing w:after="240"/>
        <w:jc w:val="both"/>
        <w:rPr>
          <w:lang w:val="en-CA"/>
        </w:rPr>
      </w:pPr>
      <w:r>
        <w:rPr>
          <w:lang w:val="en-CA"/>
        </w:rPr>
        <w:t>The previous FG-AI4EE meetings are the following:</w:t>
      </w:r>
    </w:p>
    <w:p w14:paraId="62D1E043" w14:textId="72A05B5C" w:rsidR="00202D64" w:rsidRDefault="00202D64" w:rsidP="00202D64">
      <w:pPr>
        <w:pStyle w:val="ListParagraph"/>
        <w:numPr>
          <w:ilvl w:val="0"/>
          <w:numId w:val="16"/>
        </w:numPr>
        <w:spacing w:after="240"/>
        <w:jc w:val="both"/>
        <w:rPr>
          <w:lang w:val="en-CA"/>
        </w:rPr>
      </w:pPr>
      <w:r>
        <w:rPr>
          <w:lang w:val="en-CA"/>
        </w:rPr>
        <w:t xml:space="preserve">Second FG-AI4EE meeting, virtual, 10 December 2020. </w:t>
      </w:r>
      <w:hyperlink r:id="rId39" w:history="1">
        <w:r w:rsidRPr="00202D64">
          <w:rPr>
            <w:rStyle w:val="Hyperlink"/>
            <w:lang w:val="en-CA"/>
          </w:rPr>
          <w:t>Meeting report</w:t>
        </w:r>
      </w:hyperlink>
      <w:r>
        <w:rPr>
          <w:lang w:val="en-CA"/>
        </w:rPr>
        <w:t>.</w:t>
      </w:r>
    </w:p>
    <w:p w14:paraId="0CDDDCE6" w14:textId="39B8D512" w:rsidR="00202D64" w:rsidRDefault="004A2A82" w:rsidP="00202D64">
      <w:pPr>
        <w:pStyle w:val="ListParagraph"/>
        <w:numPr>
          <w:ilvl w:val="1"/>
          <w:numId w:val="16"/>
        </w:numPr>
        <w:spacing w:after="240"/>
        <w:jc w:val="both"/>
        <w:rPr>
          <w:lang w:val="en-CA"/>
        </w:rPr>
      </w:pPr>
      <w:hyperlink r:id="rId40" w:history="1">
        <w:r w:rsidR="00202D64" w:rsidRPr="00202D64">
          <w:rPr>
            <w:rStyle w:val="Hyperlink"/>
            <w:lang w:val="en-CA"/>
          </w:rPr>
          <w:t>Virtual Workshop on AI &amp; environmental efficiency</w:t>
        </w:r>
      </w:hyperlink>
      <w:r w:rsidR="00202D64">
        <w:rPr>
          <w:lang w:val="en-CA"/>
        </w:rPr>
        <w:t xml:space="preserve">, virtual, 9 December 2020. </w:t>
      </w:r>
    </w:p>
    <w:p w14:paraId="61784562" w14:textId="531F6376" w:rsidR="00202D64" w:rsidRPr="00202D64" w:rsidRDefault="00202D64" w:rsidP="00202D64">
      <w:pPr>
        <w:pStyle w:val="ListParagraph"/>
        <w:numPr>
          <w:ilvl w:val="0"/>
          <w:numId w:val="16"/>
        </w:numPr>
        <w:spacing w:after="240"/>
        <w:jc w:val="both"/>
        <w:rPr>
          <w:lang w:val="en-CA"/>
        </w:rPr>
      </w:pPr>
      <w:r>
        <w:rPr>
          <w:lang w:val="en-CA"/>
        </w:rPr>
        <w:t xml:space="preserve">Frist FG-AI4EE meeting, Vienna, Austria, 12 December 2019. </w:t>
      </w:r>
      <w:hyperlink r:id="rId41" w:history="1">
        <w:r w:rsidRPr="00202D64">
          <w:rPr>
            <w:rStyle w:val="Hyperlink"/>
            <w:lang w:val="en-CA"/>
          </w:rPr>
          <w:t>Meeting report</w:t>
        </w:r>
      </w:hyperlink>
      <w:r>
        <w:rPr>
          <w:lang w:val="en-CA"/>
        </w:rPr>
        <w:t>.</w:t>
      </w:r>
    </w:p>
    <w:p w14:paraId="243D2302" w14:textId="77777777" w:rsidR="00A835A7" w:rsidRPr="00F56E43" w:rsidRDefault="00A835A7" w:rsidP="00781F1A">
      <w:pPr>
        <w:spacing w:after="240"/>
      </w:pPr>
      <w:r w:rsidRPr="00F56E43">
        <w:t>The FG-AI4EE website is available </w:t>
      </w:r>
      <w:hyperlink r:id="rId42" w:history="1">
        <w:r w:rsidRPr="00F56E43">
          <w:rPr>
            <w:rStyle w:val="Hyperlink"/>
            <w:lang w:val="en-US"/>
          </w:rPr>
          <w:t>here</w:t>
        </w:r>
      </w:hyperlink>
      <w:r w:rsidRPr="00F56E43">
        <w:t>. </w:t>
      </w:r>
    </w:p>
    <w:p w14:paraId="5874C823" w14:textId="6CAD67AE" w:rsidR="00B0022E" w:rsidRDefault="00044A8C" w:rsidP="00781F1A">
      <w:pPr>
        <w:jc w:val="both"/>
        <w:rPr>
          <w:b/>
          <w:bCs/>
        </w:rPr>
      </w:pPr>
      <w:r w:rsidRPr="00F56E43">
        <w:rPr>
          <w:b/>
          <w:bCs/>
        </w:rPr>
        <w:t>7</w:t>
      </w:r>
      <w:r w:rsidR="00D12115" w:rsidRPr="00F56E43">
        <w:rPr>
          <w:b/>
          <w:bCs/>
        </w:rPr>
        <w:t xml:space="preserve"> </w:t>
      </w:r>
      <w:r w:rsidR="00D12115" w:rsidRPr="00F56E43">
        <w:rPr>
          <w:b/>
          <w:bCs/>
        </w:rPr>
        <w:tab/>
        <w:t>Other activities</w:t>
      </w:r>
    </w:p>
    <w:p w14:paraId="5428E522" w14:textId="74C8F5B9" w:rsidR="00F70B55" w:rsidRPr="00AE1C9F" w:rsidRDefault="00F70B55" w:rsidP="00781F1A">
      <w:pPr>
        <w:jc w:val="both"/>
        <w:rPr>
          <w:b/>
          <w:bCs/>
        </w:rPr>
      </w:pPr>
      <w:r w:rsidRPr="00AE1C9F">
        <w:rPr>
          <w:b/>
          <w:bCs/>
        </w:rPr>
        <w:t xml:space="preserve">7.1 </w:t>
      </w:r>
      <w:r w:rsidRPr="00AE1C9F">
        <w:rPr>
          <w:b/>
          <w:bCs/>
        </w:rPr>
        <w:tab/>
        <w:t>Events on Environment, Climate Change and Circular Economy</w:t>
      </w:r>
    </w:p>
    <w:p w14:paraId="02146C1D" w14:textId="725F7C1A" w:rsidR="00202D64" w:rsidRDefault="00202D64" w:rsidP="00781F1A">
      <w:pPr>
        <w:jc w:val="both"/>
      </w:pPr>
      <w:r>
        <w:t>The following events have been organized:</w:t>
      </w:r>
    </w:p>
    <w:p w14:paraId="424CC6F2" w14:textId="3238F278" w:rsidR="00202D64" w:rsidRDefault="004A2A82" w:rsidP="00202D64">
      <w:pPr>
        <w:pStyle w:val="ListParagraph"/>
        <w:numPr>
          <w:ilvl w:val="0"/>
          <w:numId w:val="16"/>
        </w:numPr>
        <w:jc w:val="both"/>
      </w:pPr>
      <w:hyperlink r:id="rId43" w:history="1">
        <w:r w:rsidR="00202D64" w:rsidRPr="00F70B55">
          <w:rPr>
            <w:rStyle w:val="Hyperlink"/>
          </w:rPr>
          <w:t>Virtual Forum on Human Exposure to electromagnetic fields (EMFs) due to digital technologies</w:t>
        </w:r>
      </w:hyperlink>
      <w:r w:rsidR="00F70B55">
        <w:t>, 10 May 2021.</w:t>
      </w:r>
    </w:p>
    <w:p w14:paraId="7284A188" w14:textId="7DB0DF80" w:rsidR="00F70B55" w:rsidRPr="00F70B55" w:rsidRDefault="004A2A82" w:rsidP="00F70B55">
      <w:pPr>
        <w:pStyle w:val="ListParagraph"/>
        <w:numPr>
          <w:ilvl w:val="0"/>
          <w:numId w:val="16"/>
        </w:numPr>
      </w:pPr>
      <w:hyperlink r:id="rId44" w:history="1">
        <w:r w:rsidR="00F70B55" w:rsidRPr="00F70B55">
          <w:rPr>
            <w:rStyle w:val="Hyperlink"/>
          </w:rPr>
          <w:t>Side event: International Standards and Sustainable Green &amp; Innovative Power Solutions to bring Broadband Internet Connectivity to Rural and Remote Areas</w:t>
        </w:r>
      </w:hyperlink>
      <w:r w:rsidR="00F70B55">
        <w:t>, Virtual, 22 June 2021.</w:t>
      </w:r>
    </w:p>
    <w:p w14:paraId="13194905" w14:textId="3635E616" w:rsidR="00F70B55" w:rsidRDefault="004A2A82" w:rsidP="00202D64">
      <w:pPr>
        <w:pStyle w:val="ListParagraph"/>
        <w:numPr>
          <w:ilvl w:val="0"/>
          <w:numId w:val="16"/>
        </w:numPr>
        <w:jc w:val="both"/>
      </w:pPr>
      <w:hyperlink r:id="rId45" w:history="1">
        <w:r w:rsidR="00F70B55" w:rsidRPr="00F70B55">
          <w:rPr>
            <w:rStyle w:val="Hyperlink"/>
          </w:rPr>
          <w:t>VEF Side Event: Unlocking the potential of digital technologies for a sustainable energy transition</w:t>
        </w:r>
      </w:hyperlink>
      <w:r w:rsidR="00F70B55">
        <w:t xml:space="preserve">, Virtual, 6 July 2021. </w:t>
      </w:r>
    </w:p>
    <w:p w14:paraId="52FFFD20" w14:textId="5584E97E" w:rsidR="00F70B55" w:rsidRDefault="004A2A82" w:rsidP="00202D64">
      <w:pPr>
        <w:pStyle w:val="ListParagraph"/>
        <w:numPr>
          <w:ilvl w:val="0"/>
          <w:numId w:val="16"/>
        </w:numPr>
        <w:jc w:val="both"/>
      </w:pPr>
      <w:hyperlink r:id="rId46" w:history="1">
        <w:r w:rsidR="00F70B55" w:rsidRPr="00F70B55">
          <w:rPr>
            <w:rStyle w:val="Hyperlink"/>
          </w:rPr>
          <w:t>Session on the Emerging Technology Week 2021: Towards a sustainable digital transformation and a net-zero emission with emerging technology New</w:t>
        </w:r>
      </w:hyperlink>
      <w:r w:rsidR="00F70B55">
        <w:t>, Virtual, 8 July 2021.</w:t>
      </w:r>
    </w:p>
    <w:p w14:paraId="3B23D7AF" w14:textId="1F48E9B0" w:rsidR="00F70B55" w:rsidRDefault="004A2A82" w:rsidP="00202D64">
      <w:pPr>
        <w:pStyle w:val="ListParagraph"/>
        <w:numPr>
          <w:ilvl w:val="0"/>
          <w:numId w:val="16"/>
        </w:numPr>
        <w:jc w:val="both"/>
        <w:rPr>
          <w:lang w:val="fr-CH"/>
        </w:rPr>
      </w:pPr>
      <w:hyperlink r:id="rId47" w:history="1">
        <w:proofErr w:type="spellStart"/>
        <w:r w:rsidR="00F70B55" w:rsidRPr="00F70B55">
          <w:rPr>
            <w:rStyle w:val="Hyperlink"/>
            <w:lang w:val="fr-CH"/>
          </w:rPr>
          <w:t>Sustainable</w:t>
        </w:r>
        <w:proofErr w:type="spellEnd"/>
        <w:r w:rsidR="00F70B55" w:rsidRPr="00F70B55">
          <w:rPr>
            <w:rStyle w:val="Hyperlink"/>
            <w:lang w:val="fr-CH"/>
          </w:rPr>
          <w:t xml:space="preserve"> Digital Transformation Dialogues</w:t>
        </w:r>
      </w:hyperlink>
      <w:r w:rsidR="00F70B55" w:rsidRPr="00F70B55">
        <w:rPr>
          <w:lang w:val="fr-CH"/>
        </w:rPr>
        <w:t>, V</w:t>
      </w:r>
      <w:r w:rsidR="00F70B55">
        <w:rPr>
          <w:lang w:val="fr-CH"/>
        </w:rPr>
        <w:t xml:space="preserve">irtual, 28-30 </w:t>
      </w:r>
      <w:proofErr w:type="spellStart"/>
      <w:r w:rsidR="00F70B55">
        <w:rPr>
          <w:lang w:val="fr-CH"/>
        </w:rPr>
        <w:t>September</w:t>
      </w:r>
      <w:proofErr w:type="spellEnd"/>
      <w:r w:rsidR="00F70B55">
        <w:rPr>
          <w:lang w:val="fr-CH"/>
        </w:rPr>
        <w:t xml:space="preserve"> 2021 :</w:t>
      </w:r>
    </w:p>
    <w:p w14:paraId="4B39CEAB" w14:textId="3C7BBE30" w:rsidR="00F70B55" w:rsidRDefault="004A2A82" w:rsidP="00F70B55">
      <w:pPr>
        <w:pStyle w:val="ListParagraph"/>
        <w:numPr>
          <w:ilvl w:val="1"/>
          <w:numId w:val="16"/>
        </w:numPr>
        <w:jc w:val="both"/>
        <w:rPr>
          <w:lang w:val="fr-CH"/>
        </w:rPr>
      </w:pPr>
      <w:hyperlink r:id="rId48" w:history="1">
        <w:proofErr w:type="spellStart"/>
        <w:r w:rsidR="00F70B55" w:rsidRPr="00F70B55">
          <w:rPr>
            <w:rStyle w:val="Hyperlink"/>
            <w:lang w:val="fr-CH"/>
          </w:rPr>
          <w:t>Sustainable</w:t>
        </w:r>
        <w:proofErr w:type="spellEnd"/>
        <w:r w:rsidR="00F70B55" w:rsidRPr="00F70B55">
          <w:rPr>
            <w:rStyle w:val="Hyperlink"/>
            <w:lang w:val="fr-CH"/>
          </w:rPr>
          <w:t xml:space="preserve"> Digital Transformation in Africa</w:t>
        </w:r>
      </w:hyperlink>
      <w:r w:rsidR="00F70B55">
        <w:rPr>
          <w:lang w:val="fr-CH"/>
        </w:rPr>
        <w:t xml:space="preserve">, 28 </w:t>
      </w:r>
      <w:proofErr w:type="spellStart"/>
      <w:r w:rsidR="00F70B55">
        <w:rPr>
          <w:lang w:val="fr-CH"/>
        </w:rPr>
        <w:t>September</w:t>
      </w:r>
      <w:proofErr w:type="spellEnd"/>
      <w:r w:rsidR="00F70B55">
        <w:rPr>
          <w:lang w:val="fr-CH"/>
        </w:rPr>
        <w:t xml:space="preserve"> 2021</w:t>
      </w:r>
    </w:p>
    <w:p w14:paraId="723C0FA0" w14:textId="70555E4E" w:rsidR="00F70B55" w:rsidRDefault="004A2A82" w:rsidP="00F70B55">
      <w:pPr>
        <w:pStyle w:val="ListParagraph"/>
        <w:numPr>
          <w:ilvl w:val="1"/>
          <w:numId w:val="16"/>
        </w:numPr>
        <w:jc w:val="both"/>
      </w:pPr>
      <w:hyperlink r:id="rId49" w:history="1">
        <w:r w:rsidR="00F70B55" w:rsidRPr="00F70B55">
          <w:rPr>
            <w:rStyle w:val="Hyperlink"/>
          </w:rPr>
          <w:t>Sustainable Digital Transformation in the Arab Region</w:t>
        </w:r>
      </w:hyperlink>
      <w:r w:rsidR="00F70B55">
        <w:t>, 29 September 2021</w:t>
      </w:r>
    </w:p>
    <w:p w14:paraId="160FB858" w14:textId="2F283A1D" w:rsidR="00F70B55" w:rsidRDefault="004A2A82" w:rsidP="00F70B55">
      <w:pPr>
        <w:pStyle w:val="ListParagraph"/>
        <w:numPr>
          <w:ilvl w:val="1"/>
          <w:numId w:val="16"/>
        </w:numPr>
        <w:jc w:val="both"/>
        <w:rPr>
          <w:lang w:val="es-419"/>
        </w:rPr>
      </w:pPr>
      <w:hyperlink r:id="rId50" w:history="1">
        <w:proofErr w:type="spellStart"/>
        <w:r w:rsidR="00F70B55" w:rsidRPr="00F70B55">
          <w:rPr>
            <w:rStyle w:val="Hyperlink"/>
            <w:lang w:val="es-419"/>
          </w:rPr>
          <w:t>Sustainable</w:t>
        </w:r>
        <w:proofErr w:type="spellEnd"/>
        <w:r w:rsidR="00F70B55" w:rsidRPr="00F70B55">
          <w:rPr>
            <w:rStyle w:val="Hyperlink"/>
            <w:lang w:val="es-419"/>
          </w:rPr>
          <w:t xml:space="preserve"> Digital </w:t>
        </w:r>
        <w:proofErr w:type="spellStart"/>
        <w:r w:rsidR="00F70B55" w:rsidRPr="00F70B55">
          <w:rPr>
            <w:rStyle w:val="Hyperlink"/>
            <w:lang w:val="es-419"/>
          </w:rPr>
          <w:t>Transformation</w:t>
        </w:r>
        <w:proofErr w:type="spellEnd"/>
        <w:r w:rsidR="00F70B55" w:rsidRPr="00F70B55">
          <w:rPr>
            <w:rStyle w:val="Hyperlink"/>
            <w:lang w:val="es-419"/>
          </w:rPr>
          <w:t xml:space="preserve"> in </w:t>
        </w:r>
        <w:proofErr w:type="spellStart"/>
        <w:r w:rsidR="00F70B55" w:rsidRPr="00F70B55">
          <w:rPr>
            <w:rStyle w:val="Hyperlink"/>
            <w:lang w:val="es-419"/>
          </w:rPr>
          <w:t>Latin</w:t>
        </w:r>
        <w:proofErr w:type="spellEnd"/>
        <w:r w:rsidR="00F70B55" w:rsidRPr="00F70B55">
          <w:rPr>
            <w:rStyle w:val="Hyperlink"/>
            <w:lang w:val="es-419"/>
          </w:rPr>
          <w:t xml:space="preserve"> </w:t>
        </w:r>
        <w:proofErr w:type="spellStart"/>
        <w:r w:rsidR="00F70B55" w:rsidRPr="00F70B55">
          <w:rPr>
            <w:rStyle w:val="Hyperlink"/>
            <w:lang w:val="es-419"/>
          </w:rPr>
          <w:t>America</w:t>
        </w:r>
        <w:proofErr w:type="spellEnd"/>
      </w:hyperlink>
      <w:r w:rsidR="00F70B55" w:rsidRPr="00F70B55">
        <w:rPr>
          <w:lang w:val="es-419"/>
        </w:rPr>
        <w:t xml:space="preserve">, 30 </w:t>
      </w:r>
      <w:proofErr w:type="spellStart"/>
      <w:r w:rsidR="00F70B55" w:rsidRPr="00F70B55">
        <w:rPr>
          <w:lang w:val="es-419"/>
        </w:rPr>
        <w:t>Se</w:t>
      </w:r>
      <w:r w:rsidR="00F70B55">
        <w:rPr>
          <w:lang w:val="es-419"/>
        </w:rPr>
        <w:t>ptember</w:t>
      </w:r>
      <w:proofErr w:type="spellEnd"/>
      <w:r w:rsidR="00F70B55">
        <w:rPr>
          <w:lang w:val="es-419"/>
        </w:rPr>
        <w:t xml:space="preserve"> 2021</w:t>
      </w:r>
    </w:p>
    <w:p w14:paraId="0A755251" w14:textId="65BAD229" w:rsidR="00156997" w:rsidRPr="008A283B" w:rsidRDefault="00156997" w:rsidP="00F70B55">
      <w:pPr>
        <w:jc w:val="both"/>
      </w:pPr>
      <w:r w:rsidRPr="008A283B">
        <w:t xml:space="preserve">Additionally, ITU-T SG5 experts participated in the </w:t>
      </w:r>
      <w:r w:rsidR="002973EA" w:rsidRPr="008A283B">
        <w:t>following</w:t>
      </w:r>
      <w:r w:rsidRPr="008A283B">
        <w:t xml:space="preserve"> virtual events:</w:t>
      </w:r>
    </w:p>
    <w:p w14:paraId="10089D64" w14:textId="20511A80" w:rsidR="002973EA" w:rsidRPr="008A283B" w:rsidRDefault="004A2A82" w:rsidP="00A9715B">
      <w:pPr>
        <w:pStyle w:val="ListParagraph"/>
        <w:numPr>
          <w:ilvl w:val="0"/>
          <w:numId w:val="21"/>
        </w:numPr>
        <w:spacing w:before="0"/>
        <w:contextualSpacing w:val="0"/>
        <w:jc w:val="both"/>
        <w:rPr>
          <w:rFonts w:eastAsia="Times New Roman"/>
          <w:lang w:val="en-US"/>
        </w:rPr>
      </w:pPr>
      <w:hyperlink r:id="rId51" w:history="1">
        <w:r w:rsidR="002973EA" w:rsidRPr="002973EA">
          <w:rPr>
            <w:rStyle w:val="Hyperlink"/>
            <w:rFonts w:eastAsia="Times New Roman"/>
            <w:lang w:val="en-CA"/>
          </w:rPr>
          <w:t>ITU Regional Symposium for Europe and CIS on Spectrum Management and Broadcasting,</w:t>
        </w:r>
      </w:hyperlink>
      <w:r w:rsidR="002973EA" w:rsidRPr="002973EA">
        <w:rPr>
          <w:rFonts w:eastAsia="Times New Roman"/>
          <w:lang w:val="en-CA"/>
        </w:rPr>
        <w:t xml:space="preserve"> 02 July 2020</w:t>
      </w:r>
      <w:r w:rsidR="002973EA">
        <w:rPr>
          <w:rFonts w:eastAsia="Times New Roman"/>
          <w:lang w:val="en-CA"/>
        </w:rPr>
        <w:t>.</w:t>
      </w:r>
    </w:p>
    <w:p w14:paraId="60D06E86" w14:textId="3B763F33" w:rsidR="002973EA" w:rsidRPr="002973EA" w:rsidRDefault="004A2A82" w:rsidP="008A283B">
      <w:pPr>
        <w:pStyle w:val="ListParagraph"/>
        <w:numPr>
          <w:ilvl w:val="0"/>
          <w:numId w:val="21"/>
        </w:numPr>
        <w:spacing w:before="0"/>
        <w:contextualSpacing w:val="0"/>
        <w:jc w:val="both"/>
        <w:rPr>
          <w:rFonts w:eastAsia="Times New Roman"/>
          <w:lang w:val="en-US"/>
        </w:rPr>
      </w:pPr>
      <w:hyperlink r:id="rId52" w:history="1">
        <w:r w:rsidR="002973EA" w:rsidRPr="002973EA">
          <w:rPr>
            <w:rStyle w:val="Hyperlink"/>
            <w:rFonts w:eastAsia="Times New Roman"/>
            <w:lang w:val="en-CA"/>
          </w:rPr>
          <w:t>Webinar on safety and environmental concerns around telecommunications installations in Uganda</w:t>
        </w:r>
      </w:hyperlink>
      <w:r w:rsidR="002973EA" w:rsidRPr="002973EA">
        <w:rPr>
          <w:rFonts w:eastAsia="Times New Roman"/>
          <w:lang w:val="en-CA"/>
        </w:rPr>
        <w:t>, 11 August 2020</w:t>
      </w:r>
      <w:r w:rsidR="002973EA">
        <w:rPr>
          <w:rFonts w:eastAsia="Times New Roman"/>
          <w:lang w:val="en-CA"/>
        </w:rPr>
        <w:t>.</w:t>
      </w:r>
    </w:p>
    <w:p w14:paraId="354A28CD" w14:textId="7EB43C9F" w:rsidR="00F70B55" w:rsidRPr="008A283B" w:rsidRDefault="00F70B55" w:rsidP="00F70B55">
      <w:pPr>
        <w:jc w:val="both"/>
        <w:rPr>
          <w:b/>
          <w:bCs/>
        </w:rPr>
      </w:pPr>
      <w:r w:rsidRPr="008A283B">
        <w:rPr>
          <w:b/>
          <w:bCs/>
        </w:rPr>
        <w:t>7.2</w:t>
      </w:r>
      <w:r w:rsidRPr="008A283B">
        <w:rPr>
          <w:b/>
          <w:bCs/>
        </w:rPr>
        <w:tab/>
        <w:t>EMF mobile app</w:t>
      </w:r>
    </w:p>
    <w:p w14:paraId="120A7FC4" w14:textId="7D55ACFD" w:rsidR="00F70B55" w:rsidRPr="00F70B55" w:rsidRDefault="00F70B55" w:rsidP="00F70B55">
      <w:pPr>
        <w:jc w:val="both"/>
      </w:pPr>
      <w:r w:rsidRPr="00F70B55">
        <w:t xml:space="preserve">The new version of the EMF Guide &amp; Mobile App provides up-to-date information and education resources on Electromagnetic Fields suitable for all communities and governments stakeholders and is available online at  </w:t>
      </w:r>
      <w:hyperlink r:id="rId53" w:history="1">
        <w:r w:rsidRPr="002E7C24">
          <w:rPr>
            <w:rStyle w:val="Hyperlink"/>
          </w:rPr>
          <w:t>http://emfguide.itu.int</w:t>
        </w:r>
      </w:hyperlink>
      <w:r>
        <w:t xml:space="preserve"> </w:t>
      </w:r>
      <w:r w:rsidRPr="00F70B55">
        <w:t>or via the iOS and Google Play app stores. The latest version added information related to the EMF aspects of 5G.</w:t>
      </w:r>
      <w:r>
        <w:t xml:space="preserve"> It is available in English, Spanish, French, Arabic, Chinese, and Russian.</w:t>
      </w:r>
    </w:p>
    <w:p w14:paraId="6DDB4787" w14:textId="769C0DE6" w:rsidR="00B0022E" w:rsidRPr="00055F0A" w:rsidRDefault="00D12115" w:rsidP="00781F1A">
      <w:pPr>
        <w:spacing w:before="240"/>
        <w:ind w:left="426"/>
        <w:jc w:val="center"/>
        <w:rPr>
          <w:b/>
          <w:lang w:eastAsia="zh-CN"/>
        </w:rPr>
      </w:pPr>
      <w:r w:rsidRPr="00F70B55">
        <w:rPr>
          <w:highlight w:val="yellow"/>
          <w:lang w:eastAsia="ko-KR"/>
        </w:rPr>
        <w:br w:type="page"/>
      </w:r>
      <w:bookmarkStart w:id="12" w:name="_Hlk30501459"/>
      <w:r w:rsidRPr="00055F0A">
        <w:rPr>
          <w:b/>
          <w:lang w:eastAsia="zh-CN"/>
        </w:rPr>
        <w:lastRenderedPageBreak/>
        <w:t>Annex 1</w:t>
      </w:r>
    </w:p>
    <w:p w14:paraId="1053E5BB" w14:textId="481B8D78" w:rsidR="00B0022E" w:rsidRPr="00055F0A" w:rsidRDefault="00D12115">
      <w:pPr>
        <w:spacing w:before="240"/>
        <w:jc w:val="center"/>
        <w:rPr>
          <w:b/>
          <w:lang w:eastAsia="zh-CN"/>
        </w:rPr>
      </w:pPr>
      <w:r w:rsidRPr="00055F0A">
        <w:rPr>
          <w:b/>
          <w:lang w:eastAsia="zh-CN"/>
        </w:rPr>
        <w:t>Achievements of ITU-T Study Group 5 on electromagnetic compatibility, lightning protection and electromagnetic effects; ICTs related to the environment, climate change, energy efficiency and clean energy and circular economy, including e</w:t>
      </w:r>
      <w:r w:rsidRPr="00055F0A">
        <w:rPr>
          <w:rFonts w:eastAsia="MS Mincho"/>
          <w:b/>
          <w:lang w:eastAsia="zh-CN"/>
        </w:rPr>
        <w:t>‑</w:t>
      </w:r>
      <w:r w:rsidRPr="00055F0A">
        <w:rPr>
          <w:b/>
          <w:lang w:eastAsia="zh-CN"/>
        </w:rPr>
        <w:t>waste</w:t>
      </w:r>
      <w:r w:rsidRPr="00055F0A">
        <w:rPr>
          <w:b/>
          <w:lang w:eastAsia="zh-CN"/>
        </w:rPr>
        <w:br/>
        <w:t xml:space="preserve">(status from </w:t>
      </w:r>
      <w:r w:rsidR="00AE1C9F">
        <w:rPr>
          <w:b/>
          <w:lang w:eastAsia="zh-CN"/>
        </w:rPr>
        <w:t>January to</w:t>
      </w:r>
      <w:r w:rsidR="0051650C" w:rsidRPr="00055F0A">
        <w:rPr>
          <w:b/>
          <w:lang w:eastAsia="zh-CN"/>
        </w:rPr>
        <w:t xml:space="preserve"> </w:t>
      </w:r>
      <w:r w:rsidR="00AE1C9F">
        <w:rPr>
          <w:b/>
          <w:lang w:eastAsia="zh-CN"/>
        </w:rPr>
        <w:t xml:space="preserve">15 October </w:t>
      </w:r>
      <w:r w:rsidR="00086828" w:rsidRPr="00055F0A">
        <w:rPr>
          <w:b/>
          <w:lang w:eastAsia="zh-CN"/>
        </w:rPr>
        <w:t>202</w:t>
      </w:r>
      <w:r w:rsidR="00AE1C9F">
        <w:rPr>
          <w:b/>
          <w:lang w:eastAsia="zh-CN"/>
        </w:rPr>
        <w:t>1</w:t>
      </w:r>
      <w:r w:rsidRPr="00055F0A">
        <w:rPr>
          <w:b/>
          <w:lang w:eastAsia="zh-CN"/>
        </w:rPr>
        <w:t>)</w:t>
      </w:r>
    </w:p>
    <w:p w14:paraId="7DA0E8C2" w14:textId="77777777" w:rsidR="00B04367" w:rsidRPr="003D688B" w:rsidRDefault="00D12115" w:rsidP="00AF3CA7">
      <w:pPr>
        <w:numPr>
          <w:ilvl w:val="1"/>
          <w:numId w:val="17"/>
        </w:numPr>
        <w:spacing w:before="240"/>
        <w:rPr>
          <w:b/>
          <w:lang w:eastAsia="zh-CN"/>
        </w:rPr>
      </w:pPr>
      <w:r w:rsidRPr="00055F0A">
        <w:rPr>
          <w:b/>
          <w:lang w:eastAsia="zh-CN"/>
        </w:rPr>
        <w:t>WP1/5 - EMC, lightning protection, EMF</w:t>
      </w:r>
    </w:p>
    <w:p w14:paraId="210E52AA" w14:textId="77777777" w:rsidR="00B0022E" w:rsidRPr="00055F0A" w:rsidRDefault="00D12115">
      <w:pPr>
        <w:spacing w:before="240" w:after="120"/>
        <w:rPr>
          <w:rFonts w:eastAsia="MS Mincho"/>
          <w:b/>
          <w:color w:val="000000"/>
        </w:rPr>
      </w:pPr>
      <w:r w:rsidRPr="00055F0A">
        <w:rPr>
          <w:b/>
          <w:lang w:eastAsia="zh-CN"/>
        </w:rPr>
        <w:t>1.1.1</w:t>
      </w:r>
      <w:r w:rsidRPr="00055F0A">
        <w:rPr>
          <w:b/>
          <w:lang w:eastAsia="zh-CN"/>
        </w:rPr>
        <w:tab/>
      </w:r>
      <w:r w:rsidRPr="00055F0A">
        <w:rPr>
          <w:b/>
          <w:color w:val="000000"/>
        </w:rPr>
        <w:t>Recommendations approved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6804"/>
      </w:tblGrid>
      <w:tr w:rsidR="00B0022E" w:rsidRPr="006C677D" w14:paraId="1B0E5446" w14:textId="77777777" w:rsidTr="00CD75EE">
        <w:trPr>
          <w:cantSplit/>
          <w:tblHeader/>
        </w:trPr>
        <w:tc>
          <w:tcPr>
            <w:tcW w:w="851" w:type="dxa"/>
            <w:shd w:val="clear" w:color="auto" w:fill="D9D9D9"/>
          </w:tcPr>
          <w:p w14:paraId="3D8604B9" w14:textId="77777777" w:rsidR="00B0022E" w:rsidRPr="006C677D" w:rsidRDefault="00D12115">
            <w:pPr>
              <w:jc w:val="center"/>
              <w:rPr>
                <w:b/>
                <w:bCs/>
                <w:sz w:val="22"/>
                <w:szCs w:val="22"/>
              </w:rPr>
            </w:pPr>
            <w:r w:rsidRPr="006C677D">
              <w:rPr>
                <w:b/>
                <w:bCs/>
                <w:sz w:val="22"/>
                <w:szCs w:val="22"/>
              </w:rPr>
              <w:t>SG</w:t>
            </w:r>
          </w:p>
        </w:tc>
        <w:tc>
          <w:tcPr>
            <w:tcW w:w="1984" w:type="dxa"/>
            <w:shd w:val="clear" w:color="auto" w:fill="D9D9D9"/>
          </w:tcPr>
          <w:p w14:paraId="596FF330" w14:textId="77777777" w:rsidR="00B0022E" w:rsidRPr="006C677D" w:rsidRDefault="00D12115">
            <w:pPr>
              <w:jc w:val="center"/>
              <w:rPr>
                <w:sz w:val="22"/>
                <w:szCs w:val="22"/>
              </w:rPr>
            </w:pPr>
            <w:r w:rsidRPr="006C677D">
              <w:rPr>
                <w:b/>
                <w:bCs/>
                <w:sz w:val="22"/>
                <w:szCs w:val="22"/>
              </w:rPr>
              <w:t>No</w:t>
            </w:r>
          </w:p>
        </w:tc>
        <w:tc>
          <w:tcPr>
            <w:tcW w:w="6804" w:type="dxa"/>
            <w:shd w:val="clear" w:color="auto" w:fill="D9D9D9"/>
          </w:tcPr>
          <w:p w14:paraId="36D16B4E" w14:textId="77777777" w:rsidR="00B0022E" w:rsidRPr="006C677D" w:rsidRDefault="00D12115">
            <w:pPr>
              <w:jc w:val="center"/>
              <w:rPr>
                <w:sz w:val="22"/>
                <w:szCs w:val="22"/>
              </w:rPr>
            </w:pPr>
            <w:r w:rsidRPr="006C677D">
              <w:rPr>
                <w:b/>
                <w:bCs/>
                <w:sz w:val="22"/>
                <w:szCs w:val="22"/>
              </w:rPr>
              <w:t>Title</w:t>
            </w:r>
          </w:p>
        </w:tc>
      </w:tr>
      <w:tr w:rsidR="00AE1C9F" w:rsidRPr="006C677D" w14:paraId="3E3E8F7D" w14:textId="77777777" w:rsidTr="00052697">
        <w:tblPrEx>
          <w:tblCellMar>
            <w:top w:w="29" w:type="dxa"/>
            <w:left w:w="115" w:type="dxa"/>
            <w:bottom w:w="29" w:type="dxa"/>
            <w:right w:w="115" w:type="dxa"/>
          </w:tblCellMar>
        </w:tblPrEx>
        <w:trPr>
          <w:cantSplit/>
        </w:trPr>
        <w:tc>
          <w:tcPr>
            <w:tcW w:w="851" w:type="dxa"/>
            <w:vAlign w:val="center"/>
          </w:tcPr>
          <w:p w14:paraId="0FC3B91B" w14:textId="01DC3F89" w:rsidR="00AE1C9F" w:rsidRPr="00052697" w:rsidRDefault="00AE1C9F" w:rsidP="00AE1C9F">
            <w:pPr>
              <w:jc w:val="center"/>
              <w:rPr>
                <w:rFonts w:eastAsia="Times New Roman"/>
              </w:rPr>
            </w:pPr>
            <w:r w:rsidRPr="00DC7B0B">
              <w:rPr>
                <w:rFonts w:eastAsia="MS Mincho"/>
              </w:rPr>
              <w:t>5</w:t>
            </w:r>
          </w:p>
        </w:tc>
        <w:tc>
          <w:tcPr>
            <w:tcW w:w="1984" w:type="dxa"/>
            <w:shd w:val="clear" w:color="auto" w:fill="FFFFFF"/>
            <w:vAlign w:val="center"/>
          </w:tcPr>
          <w:p w14:paraId="62A0F2B6" w14:textId="73EB649F" w:rsidR="00AE1C9F" w:rsidRPr="00052697" w:rsidRDefault="00AE1C9F" w:rsidP="00AE1C9F">
            <w:pPr>
              <w:spacing w:line="240" w:lineRule="atLeast"/>
              <w:jc w:val="center"/>
              <w:rPr>
                <w:rFonts w:eastAsia="Times New Roman"/>
              </w:rPr>
            </w:pPr>
            <w:r w:rsidRPr="00DC7B0B">
              <w:t>K.56 (rev.)</w:t>
            </w:r>
          </w:p>
        </w:tc>
        <w:tc>
          <w:tcPr>
            <w:tcW w:w="6804" w:type="dxa"/>
            <w:shd w:val="clear" w:color="auto" w:fill="FFFFFF"/>
          </w:tcPr>
          <w:p w14:paraId="538C08E8" w14:textId="56F48733" w:rsidR="00AE1C9F" w:rsidRPr="00052697" w:rsidRDefault="00AE1C9F" w:rsidP="00AE1C9F">
            <w:pPr>
              <w:spacing w:line="240" w:lineRule="atLeast"/>
              <w:rPr>
                <w:rFonts w:eastAsia="Times New Roman"/>
              </w:rPr>
            </w:pPr>
            <w:r w:rsidRPr="00DC7B0B">
              <w:t>Protection of radio base stations against lightning discharges</w:t>
            </w:r>
          </w:p>
        </w:tc>
      </w:tr>
      <w:tr w:rsidR="00AE1C9F" w:rsidRPr="006C677D" w14:paraId="113F7B99" w14:textId="77777777" w:rsidTr="00052697">
        <w:tblPrEx>
          <w:tblCellMar>
            <w:top w:w="29" w:type="dxa"/>
            <w:left w:w="115" w:type="dxa"/>
            <w:bottom w:w="29" w:type="dxa"/>
            <w:right w:w="115" w:type="dxa"/>
          </w:tblCellMar>
        </w:tblPrEx>
        <w:trPr>
          <w:cantSplit/>
        </w:trPr>
        <w:tc>
          <w:tcPr>
            <w:tcW w:w="851" w:type="dxa"/>
            <w:vAlign w:val="center"/>
          </w:tcPr>
          <w:p w14:paraId="011374C6" w14:textId="07421AC6" w:rsidR="00AE1C9F" w:rsidRPr="00052697" w:rsidRDefault="00AE1C9F" w:rsidP="00AE1C9F">
            <w:pPr>
              <w:jc w:val="center"/>
              <w:rPr>
                <w:rFonts w:eastAsia="Times New Roman"/>
              </w:rPr>
            </w:pPr>
            <w:r w:rsidRPr="00DC7B0B">
              <w:rPr>
                <w:rFonts w:eastAsia="MS Mincho"/>
              </w:rPr>
              <w:t>5</w:t>
            </w:r>
          </w:p>
        </w:tc>
        <w:tc>
          <w:tcPr>
            <w:tcW w:w="1984" w:type="dxa"/>
            <w:shd w:val="clear" w:color="auto" w:fill="FFFFFF"/>
            <w:vAlign w:val="center"/>
          </w:tcPr>
          <w:p w14:paraId="6273728B" w14:textId="2C1A78C7" w:rsidR="00AE1C9F" w:rsidRPr="00052697" w:rsidRDefault="00AE1C9F" w:rsidP="00AE1C9F">
            <w:pPr>
              <w:spacing w:line="240" w:lineRule="atLeast"/>
              <w:jc w:val="center"/>
              <w:rPr>
                <w:rFonts w:eastAsia="Times New Roman"/>
              </w:rPr>
            </w:pPr>
            <w:r w:rsidRPr="00DC7B0B">
              <w:t>K.112 (rev.)</w:t>
            </w:r>
          </w:p>
        </w:tc>
        <w:tc>
          <w:tcPr>
            <w:tcW w:w="6804" w:type="dxa"/>
            <w:shd w:val="clear" w:color="auto" w:fill="FFFFFF"/>
          </w:tcPr>
          <w:p w14:paraId="01FE3B8F" w14:textId="027A9E07" w:rsidR="00AE1C9F" w:rsidRPr="00052697" w:rsidRDefault="00AE1C9F" w:rsidP="00AE1C9F">
            <w:pPr>
              <w:spacing w:line="240" w:lineRule="atLeast"/>
              <w:rPr>
                <w:rFonts w:eastAsia="Times New Roman"/>
              </w:rPr>
            </w:pPr>
            <w:r w:rsidRPr="00DC7B0B">
              <w:t xml:space="preserve">Lightning protection, </w:t>
            </w:r>
            <w:proofErr w:type="spellStart"/>
            <w:r w:rsidRPr="00DC7B0B">
              <w:t>earthing</w:t>
            </w:r>
            <w:proofErr w:type="spellEnd"/>
            <w:r w:rsidRPr="00DC7B0B">
              <w:t xml:space="preserve"> and bonding: Practical procedures for radio base stations</w:t>
            </w:r>
          </w:p>
        </w:tc>
      </w:tr>
      <w:tr w:rsidR="00AE1C9F" w:rsidRPr="006C677D" w14:paraId="503C2E9D" w14:textId="77777777" w:rsidTr="00052697">
        <w:tblPrEx>
          <w:tblCellMar>
            <w:top w:w="29" w:type="dxa"/>
            <w:left w:w="115" w:type="dxa"/>
            <w:bottom w:w="29" w:type="dxa"/>
            <w:right w:w="115" w:type="dxa"/>
          </w:tblCellMar>
        </w:tblPrEx>
        <w:trPr>
          <w:cantSplit/>
        </w:trPr>
        <w:tc>
          <w:tcPr>
            <w:tcW w:w="851" w:type="dxa"/>
            <w:vAlign w:val="center"/>
          </w:tcPr>
          <w:p w14:paraId="4B755B39" w14:textId="54672044" w:rsidR="00AE1C9F" w:rsidRPr="00052697" w:rsidRDefault="00AE1C9F" w:rsidP="00AE1C9F">
            <w:pPr>
              <w:jc w:val="center"/>
              <w:rPr>
                <w:rFonts w:eastAsia="Times New Roman"/>
              </w:rPr>
            </w:pPr>
            <w:r w:rsidRPr="00DC7B0B">
              <w:rPr>
                <w:rFonts w:eastAsia="MS Mincho"/>
              </w:rPr>
              <w:t>5</w:t>
            </w:r>
          </w:p>
        </w:tc>
        <w:tc>
          <w:tcPr>
            <w:tcW w:w="1984" w:type="dxa"/>
            <w:shd w:val="clear" w:color="auto" w:fill="FFFFFF"/>
            <w:vAlign w:val="center"/>
          </w:tcPr>
          <w:p w14:paraId="703984DA" w14:textId="5A71CA9B" w:rsidR="00AE1C9F" w:rsidRPr="00AE1C9F" w:rsidRDefault="00AE1C9F" w:rsidP="00AE1C9F">
            <w:pPr>
              <w:spacing w:line="240" w:lineRule="atLeast"/>
              <w:jc w:val="center"/>
              <w:rPr>
                <w:rFonts w:eastAsia="Times New Roman"/>
                <w:lang w:val="fr-CH"/>
              </w:rPr>
            </w:pPr>
            <w:proofErr w:type="spellStart"/>
            <w:r w:rsidRPr="00AE1C9F">
              <w:rPr>
                <w:lang w:val="fr-CH"/>
              </w:rPr>
              <w:t>Corrigendum</w:t>
            </w:r>
            <w:proofErr w:type="spellEnd"/>
            <w:r w:rsidRPr="00AE1C9F">
              <w:rPr>
                <w:lang w:val="fr-CH"/>
              </w:rPr>
              <w:t xml:space="preserve"> to ITU-T K.147 </w:t>
            </w:r>
          </w:p>
        </w:tc>
        <w:tc>
          <w:tcPr>
            <w:tcW w:w="6804" w:type="dxa"/>
            <w:shd w:val="clear" w:color="auto" w:fill="FFFFFF"/>
          </w:tcPr>
          <w:p w14:paraId="69AA95A8" w14:textId="00F87073" w:rsidR="00AE1C9F" w:rsidRPr="00052697" w:rsidRDefault="00AE1C9F" w:rsidP="00AE1C9F">
            <w:pPr>
              <w:spacing w:line="240" w:lineRule="atLeast"/>
              <w:rPr>
                <w:rFonts w:eastAsia="Times New Roman"/>
              </w:rPr>
            </w:pPr>
            <w:r w:rsidRPr="00DC7B0B">
              <w:t xml:space="preserve">Corrigendum 1 to Recommendation ITU-T K.147: Ethernet port resistibility testing for </w:t>
            </w:r>
            <w:proofErr w:type="spellStart"/>
            <w:r w:rsidRPr="00DC7B0B">
              <w:t>overvoltages</w:t>
            </w:r>
            <w:proofErr w:type="spellEnd"/>
            <w:r w:rsidRPr="00DC7B0B">
              <w:t xml:space="preserve"> and </w:t>
            </w:r>
            <w:proofErr w:type="spellStart"/>
            <w:r w:rsidRPr="00DC7B0B">
              <w:t>overcurrents</w:t>
            </w:r>
            <w:proofErr w:type="spellEnd"/>
          </w:p>
        </w:tc>
      </w:tr>
      <w:tr w:rsidR="003D688B" w:rsidRPr="006C677D" w14:paraId="7D674BF6" w14:textId="77777777" w:rsidTr="00052697">
        <w:tblPrEx>
          <w:tblCellMar>
            <w:top w:w="29" w:type="dxa"/>
            <w:left w:w="115" w:type="dxa"/>
            <w:bottom w:w="29" w:type="dxa"/>
            <w:right w:w="115" w:type="dxa"/>
          </w:tblCellMar>
        </w:tblPrEx>
        <w:trPr>
          <w:cantSplit/>
        </w:trPr>
        <w:tc>
          <w:tcPr>
            <w:tcW w:w="851" w:type="dxa"/>
            <w:vAlign w:val="center"/>
          </w:tcPr>
          <w:p w14:paraId="2FD51C0C" w14:textId="3AD5BD1A" w:rsidR="003D688B" w:rsidRPr="00052697" w:rsidRDefault="00AE1C9F" w:rsidP="003D688B">
            <w:pPr>
              <w:jc w:val="center"/>
              <w:rPr>
                <w:rFonts w:eastAsia="Times New Roman"/>
              </w:rPr>
            </w:pPr>
            <w:r>
              <w:rPr>
                <w:rFonts w:eastAsia="Times New Roman"/>
              </w:rPr>
              <w:t>5</w:t>
            </w:r>
          </w:p>
        </w:tc>
        <w:tc>
          <w:tcPr>
            <w:tcW w:w="1984" w:type="dxa"/>
            <w:shd w:val="clear" w:color="auto" w:fill="FFFFFF"/>
            <w:vAlign w:val="center"/>
          </w:tcPr>
          <w:p w14:paraId="1DA1B820" w14:textId="10739724" w:rsidR="003D688B" w:rsidRPr="00052697" w:rsidRDefault="00AE1C9F" w:rsidP="00052697">
            <w:pPr>
              <w:spacing w:line="240" w:lineRule="atLeast"/>
              <w:jc w:val="center"/>
              <w:rPr>
                <w:rFonts w:eastAsia="Times New Roman"/>
              </w:rPr>
            </w:pPr>
            <w:r>
              <w:rPr>
                <w:rFonts w:eastAsia="Times New Roman"/>
              </w:rPr>
              <w:t>K.20 (rev.)</w:t>
            </w:r>
          </w:p>
        </w:tc>
        <w:tc>
          <w:tcPr>
            <w:tcW w:w="6804" w:type="dxa"/>
            <w:shd w:val="clear" w:color="auto" w:fill="FFFFFF"/>
          </w:tcPr>
          <w:p w14:paraId="60216D34" w14:textId="520D79E3" w:rsidR="003D688B" w:rsidRPr="00052697" w:rsidRDefault="00AE1C9F" w:rsidP="003D688B">
            <w:pPr>
              <w:spacing w:line="240" w:lineRule="atLeast"/>
              <w:rPr>
                <w:rFonts w:eastAsia="Times New Roman"/>
              </w:rPr>
            </w:pPr>
            <w:r w:rsidRPr="00AE1C9F">
              <w:rPr>
                <w:rFonts w:eastAsia="Times New Roman"/>
              </w:rPr>
              <w:t xml:space="preserve">Resistibility of telecommunication equipment installed in a telecommunication centre to </w:t>
            </w:r>
            <w:proofErr w:type="spellStart"/>
            <w:r w:rsidRPr="00AE1C9F">
              <w:rPr>
                <w:rFonts w:eastAsia="Times New Roman"/>
              </w:rPr>
              <w:t>overvoltages</w:t>
            </w:r>
            <w:proofErr w:type="spellEnd"/>
            <w:r w:rsidRPr="00AE1C9F">
              <w:rPr>
                <w:rFonts w:eastAsia="Times New Roman"/>
              </w:rPr>
              <w:t xml:space="preserve"> and </w:t>
            </w:r>
            <w:proofErr w:type="spellStart"/>
            <w:r w:rsidRPr="00AE1C9F">
              <w:rPr>
                <w:rFonts w:eastAsia="Times New Roman"/>
              </w:rPr>
              <w:t>overcurrents</w:t>
            </w:r>
            <w:proofErr w:type="spellEnd"/>
          </w:p>
        </w:tc>
      </w:tr>
      <w:tr w:rsidR="003D688B" w:rsidRPr="00AE1C9F" w14:paraId="13B6A959" w14:textId="77777777" w:rsidTr="00052697">
        <w:tblPrEx>
          <w:tblCellMar>
            <w:top w:w="29" w:type="dxa"/>
            <w:left w:w="115" w:type="dxa"/>
            <w:bottom w:w="29" w:type="dxa"/>
            <w:right w:w="115" w:type="dxa"/>
          </w:tblCellMar>
        </w:tblPrEx>
        <w:trPr>
          <w:cantSplit/>
        </w:trPr>
        <w:tc>
          <w:tcPr>
            <w:tcW w:w="851" w:type="dxa"/>
            <w:vAlign w:val="center"/>
          </w:tcPr>
          <w:p w14:paraId="7EDA2808" w14:textId="51E4C0A5" w:rsidR="003D688B" w:rsidRPr="00052697" w:rsidRDefault="00AE1C9F" w:rsidP="003D688B">
            <w:pPr>
              <w:jc w:val="center"/>
              <w:rPr>
                <w:rFonts w:eastAsia="Times New Roman"/>
              </w:rPr>
            </w:pPr>
            <w:r>
              <w:rPr>
                <w:rFonts w:eastAsia="Times New Roman"/>
              </w:rPr>
              <w:t>5</w:t>
            </w:r>
          </w:p>
        </w:tc>
        <w:tc>
          <w:tcPr>
            <w:tcW w:w="1984" w:type="dxa"/>
            <w:shd w:val="clear" w:color="auto" w:fill="FFFFFF"/>
            <w:vAlign w:val="center"/>
          </w:tcPr>
          <w:p w14:paraId="2819BD45" w14:textId="77777777" w:rsidR="00AE1C9F" w:rsidRPr="00AE1C9F" w:rsidRDefault="00AE1C9F" w:rsidP="00AE1C9F">
            <w:pPr>
              <w:spacing w:line="240" w:lineRule="atLeast"/>
              <w:jc w:val="center"/>
              <w:rPr>
                <w:rFonts w:eastAsia="Times New Roman"/>
                <w:lang w:val="fr-CH"/>
              </w:rPr>
            </w:pPr>
            <w:proofErr w:type="spellStart"/>
            <w:r w:rsidRPr="00AE1C9F">
              <w:rPr>
                <w:rFonts w:eastAsia="Times New Roman"/>
                <w:lang w:val="fr-CH"/>
              </w:rPr>
              <w:t>Corrigendum</w:t>
            </w:r>
            <w:proofErr w:type="spellEnd"/>
            <w:r w:rsidRPr="00AE1C9F">
              <w:rPr>
                <w:rFonts w:eastAsia="Times New Roman"/>
                <w:lang w:val="fr-CH"/>
              </w:rPr>
              <w:t xml:space="preserve"> to</w:t>
            </w:r>
          </w:p>
          <w:p w14:paraId="123EAAED" w14:textId="7E7ECD9D" w:rsidR="003D688B" w:rsidRPr="00AE1C9F" w:rsidRDefault="00AE1C9F" w:rsidP="00AE1C9F">
            <w:pPr>
              <w:spacing w:line="240" w:lineRule="atLeast"/>
              <w:jc w:val="center"/>
              <w:rPr>
                <w:rFonts w:eastAsia="Times New Roman"/>
                <w:lang w:val="fr-CH"/>
              </w:rPr>
            </w:pPr>
            <w:r w:rsidRPr="00AE1C9F">
              <w:rPr>
                <w:rFonts w:eastAsia="Times New Roman"/>
                <w:lang w:val="fr-CH"/>
              </w:rPr>
              <w:t>ITU-T K.50</w:t>
            </w:r>
          </w:p>
        </w:tc>
        <w:tc>
          <w:tcPr>
            <w:tcW w:w="6804" w:type="dxa"/>
            <w:shd w:val="clear" w:color="auto" w:fill="FFFFFF"/>
          </w:tcPr>
          <w:p w14:paraId="09300EDB" w14:textId="254D9572" w:rsidR="003D688B" w:rsidRPr="00AE1C9F" w:rsidRDefault="00AE1C9F" w:rsidP="003D688B">
            <w:pPr>
              <w:spacing w:line="240" w:lineRule="atLeast"/>
              <w:rPr>
                <w:rFonts w:eastAsia="Times New Roman"/>
              </w:rPr>
            </w:pPr>
            <w:r w:rsidRPr="00AE1C9F">
              <w:rPr>
                <w:rFonts w:eastAsia="Times New Roman"/>
              </w:rPr>
              <w:t>Safe limits for operating voltages and currents in telecommunication systems powered over the network</w:t>
            </w:r>
          </w:p>
        </w:tc>
      </w:tr>
      <w:tr w:rsidR="003D688B" w:rsidRPr="00AE1C9F" w14:paraId="606A2F86" w14:textId="77777777" w:rsidTr="00052697">
        <w:tblPrEx>
          <w:tblCellMar>
            <w:top w:w="29" w:type="dxa"/>
            <w:left w:w="115" w:type="dxa"/>
            <w:bottom w:w="29" w:type="dxa"/>
            <w:right w:w="115" w:type="dxa"/>
          </w:tblCellMar>
        </w:tblPrEx>
        <w:trPr>
          <w:cantSplit/>
        </w:trPr>
        <w:tc>
          <w:tcPr>
            <w:tcW w:w="851" w:type="dxa"/>
            <w:vAlign w:val="center"/>
          </w:tcPr>
          <w:p w14:paraId="618B813D" w14:textId="5A767CD1" w:rsidR="003D688B" w:rsidRPr="00AE1C9F" w:rsidRDefault="00AE1C9F" w:rsidP="003D688B">
            <w:pPr>
              <w:jc w:val="center"/>
              <w:rPr>
                <w:rFonts w:eastAsia="Times New Roman"/>
              </w:rPr>
            </w:pPr>
            <w:r>
              <w:rPr>
                <w:rFonts w:eastAsia="Times New Roman"/>
              </w:rPr>
              <w:t>5</w:t>
            </w:r>
          </w:p>
        </w:tc>
        <w:tc>
          <w:tcPr>
            <w:tcW w:w="1984" w:type="dxa"/>
            <w:shd w:val="clear" w:color="auto" w:fill="FFFFFF"/>
            <w:vAlign w:val="center"/>
          </w:tcPr>
          <w:p w14:paraId="3FE9ED0F" w14:textId="72FA8956" w:rsidR="003D688B" w:rsidRPr="00AE1C9F" w:rsidRDefault="00AE1C9F" w:rsidP="00052697">
            <w:pPr>
              <w:spacing w:line="240" w:lineRule="atLeast"/>
              <w:jc w:val="center"/>
              <w:rPr>
                <w:rFonts w:eastAsia="Times New Roman"/>
              </w:rPr>
            </w:pPr>
            <w:r>
              <w:rPr>
                <w:rFonts w:eastAsia="Times New Roman"/>
              </w:rPr>
              <w:t>K.52 (rev.)</w:t>
            </w:r>
          </w:p>
        </w:tc>
        <w:tc>
          <w:tcPr>
            <w:tcW w:w="6804" w:type="dxa"/>
            <w:shd w:val="clear" w:color="auto" w:fill="FFFFFF"/>
          </w:tcPr>
          <w:p w14:paraId="0C382182" w14:textId="6D2F5AF6" w:rsidR="003D688B" w:rsidRPr="00AE1C9F" w:rsidRDefault="00AE1C9F" w:rsidP="00AE1C9F">
            <w:pPr>
              <w:tabs>
                <w:tab w:val="left" w:pos="1617"/>
              </w:tabs>
              <w:spacing w:line="240" w:lineRule="atLeast"/>
              <w:rPr>
                <w:rFonts w:eastAsia="Times New Roman"/>
              </w:rPr>
            </w:pPr>
            <w:r w:rsidRPr="00AE1C9F">
              <w:rPr>
                <w:rFonts w:eastAsia="Times New Roman"/>
              </w:rPr>
              <w:t>Guidance on complying with limits for human exposure to electromagnetic fields</w:t>
            </w:r>
          </w:p>
        </w:tc>
      </w:tr>
      <w:tr w:rsidR="003D688B" w:rsidRPr="00AE1C9F" w14:paraId="1122507A" w14:textId="77777777" w:rsidTr="00052697">
        <w:tblPrEx>
          <w:tblCellMar>
            <w:top w:w="29" w:type="dxa"/>
            <w:left w:w="115" w:type="dxa"/>
            <w:bottom w:w="29" w:type="dxa"/>
            <w:right w:w="115" w:type="dxa"/>
          </w:tblCellMar>
        </w:tblPrEx>
        <w:trPr>
          <w:cantSplit/>
        </w:trPr>
        <w:tc>
          <w:tcPr>
            <w:tcW w:w="851" w:type="dxa"/>
            <w:vAlign w:val="center"/>
          </w:tcPr>
          <w:p w14:paraId="64AE0377" w14:textId="6825BB16" w:rsidR="003D688B" w:rsidRPr="00AE1C9F" w:rsidRDefault="00AE1C9F" w:rsidP="003D688B">
            <w:pPr>
              <w:jc w:val="center"/>
              <w:rPr>
                <w:rFonts w:eastAsia="Times New Roman"/>
              </w:rPr>
            </w:pPr>
            <w:r>
              <w:rPr>
                <w:rFonts w:eastAsia="Times New Roman"/>
              </w:rPr>
              <w:t>5</w:t>
            </w:r>
          </w:p>
        </w:tc>
        <w:tc>
          <w:tcPr>
            <w:tcW w:w="1984" w:type="dxa"/>
            <w:shd w:val="clear" w:color="auto" w:fill="FFFFFF"/>
            <w:vAlign w:val="center"/>
          </w:tcPr>
          <w:p w14:paraId="02C7D9A1" w14:textId="24432386" w:rsidR="003D688B" w:rsidRPr="00AE1C9F" w:rsidRDefault="00AE1C9F" w:rsidP="00052697">
            <w:pPr>
              <w:spacing w:line="240" w:lineRule="atLeast"/>
              <w:jc w:val="center"/>
              <w:rPr>
                <w:rFonts w:eastAsia="Times New Roman"/>
              </w:rPr>
            </w:pPr>
            <w:r>
              <w:rPr>
                <w:rFonts w:eastAsia="Times New Roman"/>
              </w:rPr>
              <w:t>K.100 (rev.)</w:t>
            </w:r>
          </w:p>
        </w:tc>
        <w:tc>
          <w:tcPr>
            <w:tcW w:w="6804" w:type="dxa"/>
            <w:shd w:val="clear" w:color="auto" w:fill="FFFFFF"/>
          </w:tcPr>
          <w:p w14:paraId="47F4B075" w14:textId="00741610" w:rsidR="003D688B" w:rsidRPr="00AE1C9F" w:rsidRDefault="00AE1C9F" w:rsidP="003D688B">
            <w:pPr>
              <w:spacing w:line="240" w:lineRule="atLeast"/>
              <w:rPr>
                <w:rFonts w:eastAsia="Times New Roman"/>
              </w:rPr>
            </w:pPr>
            <w:r w:rsidRPr="00AE1C9F">
              <w:rPr>
                <w:rFonts w:eastAsia="Times New Roman"/>
              </w:rPr>
              <w:t>Measurement of radio frequency electromagnetic fields to determine compliance with human exposure limits when a base station is put into service</w:t>
            </w:r>
          </w:p>
        </w:tc>
      </w:tr>
    </w:tbl>
    <w:p w14:paraId="05DE760E" w14:textId="77777777" w:rsidR="00B0022E" w:rsidRPr="00055F0A" w:rsidRDefault="00D12115" w:rsidP="00232BDA">
      <w:pPr>
        <w:keepNext/>
        <w:keepLines/>
        <w:spacing w:before="240" w:after="120"/>
        <w:rPr>
          <w:b/>
          <w:lang w:eastAsia="zh-CN"/>
        </w:rPr>
      </w:pPr>
      <w:r w:rsidRPr="00055F0A">
        <w:rPr>
          <w:b/>
          <w:lang w:eastAsia="zh-CN"/>
        </w:rPr>
        <w:t>1.1.2</w:t>
      </w:r>
      <w:r w:rsidRPr="00055F0A">
        <w:rPr>
          <w:b/>
          <w:lang w:eastAsia="zh-CN"/>
        </w:rPr>
        <w:tab/>
        <w:t>Informati</w:t>
      </w:r>
      <w:r w:rsidR="008B2E55" w:rsidRPr="00055F0A">
        <w:rPr>
          <w:b/>
          <w:lang w:eastAsia="zh-CN"/>
        </w:rPr>
        <w:t>ve</w:t>
      </w:r>
      <w:r w:rsidRPr="00055F0A">
        <w:rPr>
          <w:b/>
          <w:lang w:eastAsia="zh-CN"/>
        </w:rPr>
        <w:t xml:space="preserve"> texts </w:t>
      </w:r>
      <w:r w:rsidR="006F5D95" w:rsidRPr="00055F0A">
        <w:rPr>
          <w:b/>
          <w:lang w:eastAsia="zh-CN"/>
        </w:rPr>
        <w:t>agreed</w:t>
      </w:r>
    </w:p>
    <w:tbl>
      <w:tblPr>
        <w:tblW w:w="951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45"/>
        <w:gridCol w:w="1964"/>
        <w:gridCol w:w="6705"/>
      </w:tblGrid>
      <w:tr w:rsidR="00B0022E" w:rsidRPr="006C677D" w14:paraId="5C14594C" w14:textId="77777777" w:rsidTr="00CD75EE">
        <w:trPr>
          <w:tblHeader/>
        </w:trPr>
        <w:tc>
          <w:tcPr>
            <w:tcW w:w="845" w:type="dxa"/>
            <w:shd w:val="clear" w:color="auto" w:fill="D9D9D9"/>
          </w:tcPr>
          <w:p w14:paraId="4263A205" w14:textId="77777777" w:rsidR="00B0022E" w:rsidRPr="006C677D" w:rsidRDefault="00D12115" w:rsidP="00232BDA">
            <w:pPr>
              <w:keepNext/>
              <w:keepLines/>
              <w:jc w:val="center"/>
              <w:rPr>
                <w:b/>
                <w:sz w:val="22"/>
                <w:szCs w:val="22"/>
                <w:lang w:eastAsia="ko-KR"/>
              </w:rPr>
            </w:pPr>
            <w:r w:rsidRPr="006C677D">
              <w:rPr>
                <w:b/>
                <w:sz w:val="22"/>
                <w:szCs w:val="22"/>
                <w:lang w:eastAsia="ko-KR"/>
              </w:rPr>
              <w:t>SG</w:t>
            </w:r>
          </w:p>
        </w:tc>
        <w:tc>
          <w:tcPr>
            <w:tcW w:w="1964" w:type="dxa"/>
            <w:shd w:val="clear" w:color="auto" w:fill="D9D9D9"/>
          </w:tcPr>
          <w:p w14:paraId="034B76BB" w14:textId="77777777" w:rsidR="00B0022E" w:rsidRPr="006C677D" w:rsidRDefault="00D12115" w:rsidP="00232BDA">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
                <w:sz w:val="22"/>
                <w:szCs w:val="22"/>
              </w:rPr>
            </w:pPr>
            <w:r w:rsidRPr="006C677D">
              <w:rPr>
                <w:b/>
                <w:sz w:val="22"/>
                <w:szCs w:val="22"/>
              </w:rPr>
              <w:t>No</w:t>
            </w:r>
          </w:p>
        </w:tc>
        <w:tc>
          <w:tcPr>
            <w:tcW w:w="6705" w:type="dxa"/>
            <w:shd w:val="clear" w:color="auto" w:fill="D9D9D9"/>
          </w:tcPr>
          <w:p w14:paraId="0116A068" w14:textId="77777777" w:rsidR="00B0022E" w:rsidRPr="006C677D" w:rsidRDefault="00D12115" w:rsidP="00232BDA">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
                <w:bCs/>
                <w:iCs/>
                <w:sz w:val="22"/>
                <w:szCs w:val="22"/>
              </w:rPr>
            </w:pPr>
            <w:r w:rsidRPr="006C677D">
              <w:rPr>
                <w:b/>
                <w:bCs/>
                <w:iCs/>
                <w:sz w:val="22"/>
                <w:szCs w:val="22"/>
              </w:rPr>
              <w:t>Title</w:t>
            </w:r>
          </w:p>
        </w:tc>
      </w:tr>
      <w:tr w:rsidR="003D688B" w:rsidRPr="006C677D" w14:paraId="08518619" w14:textId="77777777" w:rsidTr="00852332">
        <w:trPr>
          <w:cantSplit/>
        </w:trPr>
        <w:tc>
          <w:tcPr>
            <w:tcW w:w="845" w:type="dxa"/>
            <w:vAlign w:val="center"/>
          </w:tcPr>
          <w:p w14:paraId="13B2AD32" w14:textId="77777777" w:rsidR="003D688B" w:rsidRPr="006C677D" w:rsidRDefault="003D688B" w:rsidP="003D688B">
            <w:pPr>
              <w:jc w:val="center"/>
              <w:rPr>
                <w:rFonts w:eastAsia="Times New Roman"/>
                <w:sz w:val="22"/>
                <w:szCs w:val="22"/>
              </w:rPr>
            </w:pPr>
            <w:r>
              <w:rPr>
                <w:rFonts w:eastAsia="Times New Roman"/>
                <w:sz w:val="22"/>
                <w:szCs w:val="22"/>
              </w:rPr>
              <w:t>5</w:t>
            </w:r>
          </w:p>
        </w:tc>
        <w:tc>
          <w:tcPr>
            <w:tcW w:w="1964" w:type="dxa"/>
          </w:tcPr>
          <w:p w14:paraId="48AB0FCF" w14:textId="5CBE581D" w:rsidR="003D688B" w:rsidRPr="006C677D" w:rsidRDefault="003D688B" w:rsidP="003D688B">
            <w:pPr>
              <w:spacing w:line="240" w:lineRule="atLeast"/>
              <w:jc w:val="center"/>
              <w:rPr>
                <w:rFonts w:eastAsia="Times New Roman"/>
                <w:sz w:val="22"/>
                <w:szCs w:val="22"/>
              </w:rPr>
            </w:pPr>
            <w:r>
              <w:t>K.Suppl.</w:t>
            </w:r>
            <w:r w:rsidR="00232BDA">
              <w:t>21 to ITU-T K.21</w:t>
            </w:r>
            <w:r w:rsidR="00AE1C9F">
              <w:t xml:space="preserve"> (rev.)</w:t>
            </w:r>
          </w:p>
        </w:tc>
        <w:tc>
          <w:tcPr>
            <w:tcW w:w="6705" w:type="dxa"/>
          </w:tcPr>
          <w:p w14:paraId="658A5E53" w14:textId="77E4C326" w:rsidR="003D688B" w:rsidRPr="006C677D" w:rsidRDefault="00232BDA" w:rsidP="003D688B">
            <w:pPr>
              <w:spacing w:line="240" w:lineRule="atLeast"/>
              <w:rPr>
                <w:rFonts w:eastAsia="Times New Roman"/>
                <w:sz w:val="22"/>
                <w:szCs w:val="22"/>
              </w:rPr>
            </w:pPr>
            <w:r w:rsidRPr="00232BDA">
              <w:t>Rationale for setting resistibility requirements of telecommunication equipment installed in customer premises against lightning</w:t>
            </w:r>
          </w:p>
        </w:tc>
      </w:tr>
      <w:tr w:rsidR="003D688B" w:rsidRPr="006C677D" w14:paraId="20F81CEC" w14:textId="77777777" w:rsidTr="00852332">
        <w:trPr>
          <w:cantSplit/>
        </w:trPr>
        <w:tc>
          <w:tcPr>
            <w:tcW w:w="845" w:type="dxa"/>
            <w:vAlign w:val="center"/>
          </w:tcPr>
          <w:p w14:paraId="3A922ECB" w14:textId="77777777" w:rsidR="003D688B" w:rsidRPr="006C677D" w:rsidRDefault="003D688B" w:rsidP="003D688B">
            <w:pPr>
              <w:jc w:val="center"/>
              <w:rPr>
                <w:rFonts w:eastAsia="Times New Roman"/>
                <w:sz w:val="22"/>
                <w:szCs w:val="22"/>
              </w:rPr>
            </w:pPr>
            <w:r>
              <w:rPr>
                <w:rFonts w:eastAsia="Times New Roman"/>
                <w:sz w:val="22"/>
                <w:szCs w:val="22"/>
              </w:rPr>
              <w:t>5</w:t>
            </w:r>
          </w:p>
        </w:tc>
        <w:tc>
          <w:tcPr>
            <w:tcW w:w="1964" w:type="dxa"/>
          </w:tcPr>
          <w:p w14:paraId="151A070D" w14:textId="7D3BA59C" w:rsidR="003D688B" w:rsidRPr="006C677D" w:rsidRDefault="003D688B" w:rsidP="003D688B">
            <w:pPr>
              <w:spacing w:line="240" w:lineRule="atLeast"/>
              <w:jc w:val="center"/>
              <w:rPr>
                <w:rFonts w:eastAsia="Times New Roman"/>
                <w:sz w:val="22"/>
                <w:szCs w:val="22"/>
              </w:rPr>
            </w:pPr>
            <w:r>
              <w:t>K.Suppl.2</w:t>
            </w:r>
            <w:r w:rsidR="00232BDA">
              <w:t>2 to ITU-T K.45</w:t>
            </w:r>
            <w:r w:rsidR="00AE1C9F">
              <w:t xml:space="preserve"> (rev.)</w:t>
            </w:r>
          </w:p>
        </w:tc>
        <w:tc>
          <w:tcPr>
            <w:tcW w:w="6705" w:type="dxa"/>
          </w:tcPr>
          <w:p w14:paraId="228D4761" w14:textId="0BAD6D59" w:rsidR="003D688B" w:rsidRPr="006C677D" w:rsidRDefault="00232BDA" w:rsidP="003D688B">
            <w:pPr>
              <w:spacing w:line="240" w:lineRule="atLeast"/>
              <w:rPr>
                <w:rFonts w:eastAsia="Times New Roman"/>
                <w:sz w:val="22"/>
                <w:szCs w:val="22"/>
              </w:rPr>
            </w:pPr>
            <w:r w:rsidRPr="00232BDA">
              <w:t>Rationale for setting resistibility requirements of telecommunication equipment installed in the access and trunk networks against lightning</w:t>
            </w:r>
          </w:p>
        </w:tc>
      </w:tr>
      <w:tr w:rsidR="00232BDA" w:rsidRPr="006C677D" w14:paraId="1499CA05" w14:textId="77777777" w:rsidTr="00852332">
        <w:trPr>
          <w:cantSplit/>
        </w:trPr>
        <w:tc>
          <w:tcPr>
            <w:tcW w:w="845" w:type="dxa"/>
            <w:vAlign w:val="center"/>
          </w:tcPr>
          <w:p w14:paraId="10777AD4" w14:textId="6AE7E5B3" w:rsidR="00232BDA" w:rsidRDefault="00232BDA" w:rsidP="003D688B">
            <w:pPr>
              <w:jc w:val="center"/>
              <w:rPr>
                <w:rFonts w:eastAsia="Times New Roman"/>
                <w:sz w:val="22"/>
                <w:szCs w:val="22"/>
              </w:rPr>
            </w:pPr>
            <w:r>
              <w:rPr>
                <w:rFonts w:eastAsia="Times New Roman"/>
                <w:sz w:val="22"/>
                <w:szCs w:val="22"/>
              </w:rPr>
              <w:t>5</w:t>
            </w:r>
          </w:p>
        </w:tc>
        <w:tc>
          <w:tcPr>
            <w:tcW w:w="1964" w:type="dxa"/>
          </w:tcPr>
          <w:p w14:paraId="52AFC0C0" w14:textId="21248827" w:rsidR="00232BDA" w:rsidRDefault="00232BDA" w:rsidP="003D688B">
            <w:pPr>
              <w:spacing w:line="240" w:lineRule="atLeast"/>
              <w:jc w:val="center"/>
            </w:pPr>
            <w:r>
              <w:t>K.Suppl.2</w:t>
            </w:r>
            <w:r w:rsidR="00AE1C9F">
              <w:t>4</w:t>
            </w:r>
            <w:r>
              <w:t xml:space="preserve"> to ITU-T K.</w:t>
            </w:r>
            <w:r w:rsidR="00AE1C9F">
              <w:t>20</w:t>
            </w:r>
          </w:p>
        </w:tc>
        <w:tc>
          <w:tcPr>
            <w:tcW w:w="6705" w:type="dxa"/>
          </w:tcPr>
          <w:p w14:paraId="3B826642" w14:textId="014ABCC0" w:rsidR="00232BDA" w:rsidRPr="00232BDA" w:rsidRDefault="00AE1C9F" w:rsidP="003D688B">
            <w:pPr>
              <w:spacing w:line="240" w:lineRule="atLeast"/>
            </w:pPr>
            <w:r w:rsidRPr="00AE1C9F">
              <w:t>Rationale for setting resistibility requirements of telecommunication equipment installed in a telecommunication centre against lightning</w:t>
            </w:r>
          </w:p>
        </w:tc>
      </w:tr>
      <w:tr w:rsidR="00AE1C9F" w:rsidRPr="006C677D" w14:paraId="459A05FE" w14:textId="77777777" w:rsidTr="00852332">
        <w:trPr>
          <w:cantSplit/>
        </w:trPr>
        <w:tc>
          <w:tcPr>
            <w:tcW w:w="845" w:type="dxa"/>
            <w:vAlign w:val="center"/>
          </w:tcPr>
          <w:p w14:paraId="12170026" w14:textId="40E4AF93" w:rsidR="00AE1C9F" w:rsidRDefault="00AE1C9F" w:rsidP="003D688B">
            <w:pPr>
              <w:jc w:val="center"/>
              <w:rPr>
                <w:rFonts w:eastAsia="Times New Roman"/>
                <w:sz w:val="22"/>
                <w:szCs w:val="22"/>
              </w:rPr>
            </w:pPr>
            <w:r>
              <w:rPr>
                <w:rFonts w:eastAsia="Times New Roman"/>
                <w:sz w:val="22"/>
                <w:szCs w:val="22"/>
              </w:rPr>
              <w:t>5</w:t>
            </w:r>
          </w:p>
        </w:tc>
        <w:tc>
          <w:tcPr>
            <w:tcW w:w="1964" w:type="dxa"/>
          </w:tcPr>
          <w:p w14:paraId="176D74A5" w14:textId="1A576DA4" w:rsidR="00AE1C9F" w:rsidRDefault="00AE1C9F" w:rsidP="003D688B">
            <w:pPr>
              <w:spacing w:line="240" w:lineRule="atLeast"/>
              <w:jc w:val="center"/>
            </w:pPr>
            <w:r w:rsidRPr="00AE1C9F">
              <w:t>K.Suppl.25 to Recommendation ITU-T K.117</w:t>
            </w:r>
          </w:p>
        </w:tc>
        <w:tc>
          <w:tcPr>
            <w:tcW w:w="6705" w:type="dxa"/>
          </w:tcPr>
          <w:p w14:paraId="5D209251" w14:textId="30D19BEF" w:rsidR="00AE1C9F" w:rsidRPr="00AE1C9F" w:rsidRDefault="00AE1C9F" w:rsidP="00AE1C9F">
            <w:pPr>
              <w:spacing w:line="240" w:lineRule="atLeast"/>
            </w:pPr>
            <w:r>
              <w:t>Long reach single twisted-pair Ethernet resistibility testing</w:t>
            </w:r>
          </w:p>
        </w:tc>
      </w:tr>
      <w:tr w:rsidR="00AE1C9F" w:rsidRPr="006C677D" w14:paraId="6C30ADCC" w14:textId="77777777" w:rsidTr="00852332">
        <w:trPr>
          <w:cantSplit/>
        </w:trPr>
        <w:tc>
          <w:tcPr>
            <w:tcW w:w="845" w:type="dxa"/>
            <w:vAlign w:val="center"/>
          </w:tcPr>
          <w:p w14:paraId="123F062B" w14:textId="060810EA" w:rsidR="00AE1C9F" w:rsidRDefault="00AE1C9F" w:rsidP="003D688B">
            <w:pPr>
              <w:jc w:val="center"/>
              <w:rPr>
                <w:rFonts w:eastAsia="Times New Roman"/>
                <w:sz w:val="22"/>
                <w:szCs w:val="22"/>
              </w:rPr>
            </w:pPr>
            <w:r>
              <w:rPr>
                <w:rFonts w:eastAsia="Times New Roman"/>
                <w:sz w:val="22"/>
                <w:szCs w:val="22"/>
              </w:rPr>
              <w:lastRenderedPageBreak/>
              <w:t>5</w:t>
            </w:r>
          </w:p>
        </w:tc>
        <w:tc>
          <w:tcPr>
            <w:tcW w:w="1964" w:type="dxa"/>
          </w:tcPr>
          <w:p w14:paraId="16DC6DA0" w14:textId="12BC942A" w:rsidR="00AE1C9F" w:rsidRDefault="00AE1C9F" w:rsidP="003D688B">
            <w:pPr>
              <w:spacing w:line="240" w:lineRule="atLeast"/>
              <w:jc w:val="center"/>
            </w:pPr>
            <w:r w:rsidRPr="00AE1C9F">
              <w:t>K.Suppl.1 to Recommendation ITU-T K.91</w:t>
            </w:r>
          </w:p>
        </w:tc>
        <w:tc>
          <w:tcPr>
            <w:tcW w:w="6705" w:type="dxa"/>
          </w:tcPr>
          <w:p w14:paraId="216649FA" w14:textId="04CDE1DA" w:rsidR="00AE1C9F" w:rsidRPr="00AE1C9F" w:rsidRDefault="00AE1C9F" w:rsidP="003D688B">
            <w:pPr>
              <w:spacing w:line="240" w:lineRule="atLeast"/>
            </w:pPr>
            <w:r w:rsidRPr="00AE1C9F">
              <w:t>Guide on electromagnetic fields and health</w:t>
            </w:r>
          </w:p>
        </w:tc>
      </w:tr>
      <w:tr w:rsidR="00AE1C9F" w:rsidRPr="006C677D" w14:paraId="49A28A0F" w14:textId="77777777" w:rsidTr="00852332">
        <w:trPr>
          <w:cantSplit/>
        </w:trPr>
        <w:tc>
          <w:tcPr>
            <w:tcW w:w="845" w:type="dxa"/>
            <w:vAlign w:val="center"/>
          </w:tcPr>
          <w:p w14:paraId="3064D51A" w14:textId="7B974972" w:rsidR="00AE1C9F" w:rsidRDefault="00AE1C9F" w:rsidP="003D688B">
            <w:pPr>
              <w:jc w:val="center"/>
              <w:rPr>
                <w:rFonts w:eastAsia="Times New Roman"/>
                <w:sz w:val="22"/>
                <w:szCs w:val="22"/>
              </w:rPr>
            </w:pPr>
            <w:r>
              <w:rPr>
                <w:rFonts w:eastAsia="Times New Roman"/>
                <w:sz w:val="22"/>
                <w:szCs w:val="22"/>
              </w:rPr>
              <w:t>5</w:t>
            </w:r>
          </w:p>
        </w:tc>
        <w:tc>
          <w:tcPr>
            <w:tcW w:w="1964" w:type="dxa"/>
          </w:tcPr>
          <w:p w14:paraId="27501619" w14:textId="186925D4" w:rsidR="00AE1C9F" w:rsidRPr="00AE1C9F" w:rsidRDefault="00AE1C9F" w:rsidP="003D688B">
            <w:pPr>
              <w:spacing w:line="240" w:lineRule="atLeast"/>
              <w:jc w:val="center"/>
            </w:pPr>
            <w:r w:rsidRPr="00AE1C9F">
              <w:t>Appendix II to Recommendation ITU-T K.90</w:t>
            </w:r>
          </w:p>
        </w:tc>
        <w:tc>
          <w:tcPr>
            <w:tcW w:w="6705" w:type="dxa"/>
          </w:tcPr>
          <w:p w14:paraId="466C73C8" w14:textId="40F7A5FD" w:rsidR="00AE1C9F" w:rsidRPr="00AE1C9F" w:rsidRDefault="00AE1C9F" w:rsidP="003D688B">
            <w:pPr>
              <w:spacing w:line="240" w:lineRule="atLeast"/>
            </w:pPr>
            <w:r w:rsidRPr="00AE1C9F">
              <w:t>Software "EMFACDC"</w:t>
            </w:r>
          </w:p>
        </w:tc>
      </w:tr>
      <w:tr w:rsidR="00AE1C9F" w:rsidRPr="006C677D" w14:paraId="0C7E21FD" w14:textId="77777777" w:rsidTr="00852332">
        <w:trPr>
          <w:cantSplit/>
        </w:trPr>
        <w:tc>
          <w:tcPr>
            <w:tcW w:w="845" w:type="dxa"/>
            <w:vAlign w:val="center"/>
          </w:tcPr>
          <w:p w14:paraId="39C42020" w14:textId="353106DA" w:rsidR="00AE1C9F" w:rsidRDefault="00AE1C9F" w:rsidP="003D688B">
            <w:pPr>
              <w:jc w:val="center"/>
              <w:rPr>
                <w:rFonts w:eastAsia="Times New Roman"/>
                <w:sz w:val="22"/>
                <w:szCs w:val="22"/>
              </w:rPr>
            </w:pPr>
            <w:r>
              <w:rPr>
                <w:rFonts w:eastAsia="Times New Roman"/>
                <w:sz w:val="22"/>
                <w:szCs w:val="22"/>
              </w:rPr>
              <w:t>5</w:t>
            </w:r>
          </w:p>
        </w:tc>
        <w:tc>
          <w:tcPr>
            <w:tcW w:w="1964" w:type="dxa"/>
          </w:tcPr>
          <w:p w14:paraId="34114F48" w14:textId="274112D4" w:rsidR="00AE1C9F" w:rsidRPr="00AE1C9F" w:rsidRDefault="00AE1C9F" w:rsidP="003D688B">
            <w:pPr>
              <w:spacing w:line="240" w:lineRule="atLeast"/>
              <w:jc w:val="center"/>
            </w:pPr>
            <w:r w:rsidRPr="00AE1C9F">
              <w:t>K.Suppl.26</w:t>
            </w:r>
          </w:p>
        </w:tc>
        <w:tc>
          <w:tcPr>
            <w:tcW w:w="6705" w:type="dxa"/>
          </w:tcPr>
          <w:p w14:paraId="171B46F7" w14:textId="0CDBE4D6" w:rsidR="00AE1C9F" w:rsidRPr="00AE1C9F" w:rsidRDefault="00AE1C9F" w:rsidP="003D688B">
            <w:pPr>
              <w:spacing w:line="240" w:lineRule="atLeast"/>
            </w:pPr>
            <w:r w:rsidRPr="00AE1C9F">
              <w:t>Analysis of electromagnetic compatibility requirements and test methods of 5G Active Antenna System base station</w:t>
            </w:r>
          </w:p>
        </w:tc>
      </w:tr>
    </w:tbl>
    <w:p w14:paraId="697A448D" w14:textId="77777777" w:rsidR="00B0022E" w:rsidRPr="00055F0A" w:rsidRDefault="00D12115" w:rsidP="003276F0">
      <w:pPr>
        <w:keepNext/>
        <w:keepLines/>
        <w:tabs>
          <w:tab w:val="left" w:pos="720"/>
          <w:tab w:val="left" w:pos="1440"/>
          <w:tab w:val="left" w:pos="2160"/>
          <w:tab w:val="left" w:pos="2880"/>
          <w:tab w:val="left" w:pos="4124"/>
        </w:tabs>
        <w:spacing w:before="240" w:after="120"/>
        <w:rPr>
          <w:b/>
          <w:lang w:eastAsia="zh-CN"/>
        </w:rPr>
      </w:pPr>
      <w:r w:rsidRPr="00055F0A">
        <w:rPr>
          <w:b/>
          <w:lang w:eastAsia="zh-CN"/>
        </w:rPr>
        <w:t>1.1.3</w:t>
      </w:r>
      <w:r w:rsidRPr="00055F0A">
        <w:rPr>
          <w:b/>
          <w:lang w:eastAsia="zh-CN"/>
        </w:rPr>
        <w:tab/>
        <w:t>Deleted Recommendations</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51"/>
        <w:gridCol w:w="1984"/>
        <w:gridCol w:w="6804"/>
      </w:tblGrid>
      <w:tr w:rsidR="00B0022E" w:rsidRPr="00055F0A" w14:paraId="471373F2" w14:textId="77777777" w:rsidTr="00CD75EE">
        <w:trPr>
          <w:cantSplit/>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2A4C59E" w14:textId="77777777" w:rsidR="00B0022E" w:rsidRPr="00055F0A" w:rsidRDefault="00D12115" w:rsidP="003276F0">
            <w:pPr>
              <w:pStyle w:val="Tablehead"/>
              <w:keepLines/>
              <w:spacing w:before="60" w:after="60"/>
              <w:rPr>
                <w:szCs w:val="22"/>
                <w:vertAlign w:val="superscript"/>
              </w:rPr>
            </w:pPr>
            <w:r w:rsidRPr="00055F0A">
              <w:rPr>
                <w:szCs w:val="22"/>
              </w:rPr>
              <w:t>SG</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563E038E" w14:textId="77777777" w:rsidR="00B0022E" w:rsidRPr="00055F0A" w:rsidRDefault="00D12115" w:rsidP="003276F0">
            <w:pPr>
              <w:pStyle w:val="Tablehead"/>
              <w:keepLines/>
              <w:spacing w:before="60" w:after="60"/>
              <w:rPr>
                <w:szCs w:val="22"/>
              </w:rPr>
            </w:pPr>
            <w:r w:rsidRPr="00055F0A">
              <w:rPr>
                <w:szCs w:val="22"/>
                <w:lang w:eastAsia="ko-KR"/>
              </w:rPr>
              <w:t>No.</w:t>
            </w:r>
          </w:p>
        </w:tc>
        <w:tc>
          <w:tcPr>
            <w:tcW w:w="6804" w:type="dxa"/>
            <w:tcBorders>
              <w:top w:val="single" w:sz="4" w:space="0" w:color="auto"/>
              <w:left w:val="single" w:sz="4" w:space="0" w:color="auto"/>
              <w:bottom w:val="single" w:sz="4" w:space="0" w:color="auto"/>
              <w:right w:val="single" w:sz="4" w:space="0" w:color="auto"/>
            </w:tcBorders>
            <w:shd w:val="clear" w:color="auto" w:fill="D9D9D9"/>
            <w:vAlign w:val="center"/>
          </w:tcPr>
          <w:p w14:paraId="241B5187" w14:textId="77777777" w:rsidR="00B0022E" w:rsidRPr="00055F0A" w:rsidRDefault="00D12115" w:rsidP="003276F0">
            <w:pPr>
              <w:pStyle w:val="Tablehead"/>
              <w:keepLines/>
              <w:spacing w:before="60" w:after="60"/>
              <w:rPr>
                <w:szCs w:val="22"/>
              </w:rPr>
            </w:pPr>
            <w:r w:rsidRPr="00055F0A">
              <w:rPr>
                <w:szCs w:val="22"/>
              </w:rPr>
              <w:t>Title</w:t>
            </w:r>
          </w:p>
        </w:tc>
      </w:tr>
      <w:tr w:rsidR="00B0022E" w:rsidRPr="00055F0A" w14:paraId="0CE6CB93" w14:textId="77777777">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053E4D4" w14:textId="77777777" w:rsidR="00B0022E" w:rsidRPr="00055F0A" w:rsidRDefault="00D12115" w:rsidP="003276F0">
            <w:pPr>
              <w:pStyle w:val="Tabletext"/>
              <w:keepNext/>
              <w:keepLines/>
              <w:jc w:val="center"/>
              <w:rPr>
                <w:szCs w:val="22"/>
              </w:rPr>
            </w:pPr>
            <w:r w:rsidRPr="00055F0A">
              <w:rPr>
                <w:szCs w:val="22"/>
              </w:rPr>
              <w:t>None</w:t>
            </w:r>
          </w:p>
        </w:tc>
        <w:tc>
          <w:tcPr>
            <w:tcW w:w="1984" w:type="dxa"/>
            <w:tcBorders>
              <w:top w:val="single" w:sz="4" w:space="0" w:color="auto"/>
              <w:left w:val="single" w:sz="4" w:space="0" w:color="auto"/>
              <w:bottom w:val="single" w:sz="4" w:space="0" w:color="auto"/>
              <w:right w:val="single" w:sz="4" w:space="0" w:color="auto"/>
            </w:tcBorders>
            <w:vAlign w:val="center"/>
          </w:tcPr>
          <w:p w14:paraId="3D7E71A8" w14:textId="77777777" w:rsidR="00B0022E" w:rsidRPr="00055F0A" w:rsidRDefault="00B0022E" w:rsidP="003276F0">
            <w:pPr>
              <w:pStyle w:val="Tabletext"/>
              <w:keepNext/>
              <w:keepLines/>
              <w:widowControl w:val="0"/>
              <w:jc w:val="center"/>
              <w:rPr>
                <w:szCs w:val="22"/>
              </w:rPr>
            </w:pPr>
          </w:p>
        </w:tc>
        <w:tc>
          <w:tcPr>
            <w:tcW w:w="6804" w:type="dxa"/>
            <w:tcBorders>
              <w:top w:val="single" w:sz="4" w:space="0" w:color="auto"/>
              <w:left w:val="single" w:sz="4" w:space="0" w:color="auto"/>
              <w:bottom w:val="single" w:sz="4" w:space="0" w:color="auto"/>
              <w:right w:val="single" w:sz="4" w:space="0" w:color="auto"/>
            </w:tcBorders>
            <w:vAlign w:val="center"/>
          </w:tcPr>
          <w:p w14:paraId="36DB0F4D" w14:textId="77777777" w:rsidR="00B0022E" w:rsidRPr="00055F0A" w:rsidRDefault="00B0022E" w:rsidP="003276F0">
            <w:pPr>
              <w:pStyle w:val="Tabletext"/>
              <w:keepNext/>
              <w:keepLines/>
              <w:rPr>
                <w:szCs w:val="22"/>
              </w:rPr>
            </w:pPr>
          </w:p>
        </w:tc>
      </w:tr>
    </w:tbl>
    <w:p w14:paraId="0D1C8EA3" w14:textId="77777777" w:rsidR="00B0022E" w:rsidRPr="00055F0A" w:rsidRDefault="00953186">
      <w:pPr>
        <w:tabs>
          <w:tab w:val="left" w:pos="720"/>
          <w:tab w:val="left" w:pos="1440"/>
          <w:tab w:val="left" w:pos="2160"/>
          <w:tab w:val="left" w:pos="2880"/>
          <w:tab w:val="left" w:pos="4124"/>
        </w:tabs>
        <w:spacing w:before="240" w:after="120"/>
        <w:rPr>
          <w:b/>
          <w:lang w:eastAsia="zh-CN"/>
        </w:rPr>
      </w:pPr>
      <w:r w:rsidRPr="00055F0A">
        <w:rPr>
          <w:b/>
          <w:lang w:eastAsia="zh-CN"/>
        </w:rPr>
        <w:t>1.1.4</w:t>
      </w:r>
      <w:r w:rsidRPr="00055F0A">
        <w:rPr>
          <w:b/>
          <w:lang w:eastAsia="zh-CN"/>
        </w:rPr>
        <w:tab/>
        <w:t>Discontinued Supplement</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51"/>
        <w:gridCol w:w="1984"/>
        <w:gridCol w:w="6804"/>
      </w:tblGrid>
      <w:tr w:rsidR="00B0022E" w:rsidRPr="00055F0A" w14:paraId="3A465F9A" w14:textId="77777777" w:rsidTr="00CD75EE">
        <w:trPr>
          <w:cantSplit/>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B98BA97" w14:textId="77777777" w:rsidR="00B0022E" w:rsidRPr="00055F0A" w:rsidRDefault="00D12115">
            <w:pPr>
              <w:pStyle w:val="Tablehead"/>
              <w:spacing w:before="60" w:after="60"/>
              <w:rPr>
                <w:szCs w:val="22"/>
                <w:vertAlign w:val="superscript"/>
              </w:rPr>
            </w:pPr>
            <w:r w:rsidRPr="00055F0A">
              <w:rPr>
                <w:szCs w:val="22"/>
              </w:rPr>
              <w:t>SG</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4D3AEF3F" w14:textId="77777777" w:rsidR="00B0022E" w:rsidRPr="00055F0A" w:rsidRDefault="00D12115">
            <w:pPr>
              <w:pStyle w:val="Tablehead"/>
              <w:spacing w:before="60" w:after="60"/>
              <w:rPr>
                <w:szCs w:val="22"/>
              </w:rPr>
            </w:pPr>
            <w:r w:rsidRPr="00055F0A">
              <w:rPr>
                <w:szCs w:val="22"/>
                <w:lang w:eastAsia="ko-KR"/>
              </w:rPr>
              <w:t>No.</w:t>
            </w:r>
          </w:p>
        </w:tc>
        <w:tc>
          <w:tcPr>
            <w:tcW w:w="6804" w:type="dxa"/>
            <w:tcBorders>
              <w:top w:val="single" w:sz="4" w:space="0" w:color="auto"/>
              <w:left w:val="single" w:sz="4" w:space="0" w:color="auto"/>
              <w:bottom w:val="single" w:sz="4" w:space="0" w:color="auto"/>
              <w:right w:val="single" w:sz="4" w:space="0" w:color="auto"/>
            </w:tcBorders>
            <w:shd w:val="clear" w:color="auto" w:fill="D9D9D9"/>
            <w:vAlign w:val="center"/>
          </w:tcPr>
          <w:p w14:paraId="68F92D29" w14:textId="77777777" w:rsidR="00B0022E" w:rsidRPr="00055F0A" w:rsidRDefault="00D12115">
            <w:pPr>
              <w:pStyle w:val="Tablehead"/>
              <w:spacing w:before="60" w:after="60"/>
              <w:rPr>
                <w:szCs w:val="22"/>
              </w:rPr>
            </w:pPr>
            <w:r w:rsidRPr="00055F0A">
              <w:rPr>
                <w:szCs w:val="22"/>
              </w:rPr>
              <w:t>Title</w:t>
            </w:r>
          </w:p>
        </w:tc>
      </w:tr>
      <w:tr w:rsidR="00B0022E" w:rsidRPr="00055F0A" w14:paraId="2E86E8EE" w14:textId="77777777">
        <w:trPr>
          <w:cantSplit/>
        </w:trPr>
        <w:tc>
          <w:tcPr>
            <w:tcW w:w="851" w:type="dxa"/>
            <w:tcBorders>
              <w:top w:val="single" w:sz="4" w:space="0" w:color="auto"/>
              <w:left w:val="single" w:sz="4" w:space="0" w:color="auto"/>
              <w:bottom w:val="single" w:sz="4" w:space="0" w:color="auto"/>
              <w:right w:val="single" w:sz="4" w:space="0" w:color="auto"/>
            </w:tcBorders>
            <w:vAlign w:val="center"/>
          </w:tcPr>
          <w:p w14:paraId="38CE6B64" w14:textId="77777777" w:rsidR="00B0022E" w:rsidRPr="00055F0A" w:rsidRDefault="00D43D52">
            <w:pPr>
              <w:pStyle w:val="Tabletext"/>
              <w:jc w:val="center"/>
              <w:rPr>
                <w:szCs w:val="22"/>
              </w:rPr>
            </w:pPr>
            <w:r w:rsidRPr="00055F0A">
              <w:rPr>
                <w:szCs w:val="22"/>
              </w:rPr>
              <w:t>None</w:t>
            </w:r>
          </w:p>
        </w:tc>
        <w:tc>
          <w:tcPr>
            <w:tcW w:w="1984" w:type="dxa"/>
            <w:tcBorders>
              <w:top w:val="single" w:sz="4" w:space="0" w:color="auto"/>
              <w:left w:val="single" w:sz="4" w:space="0" w:color="auto"/>
              <w:bottom w:val="single" w:sz="4" w:space="0" w:color="auto"/>
              <w:right w:val="single" w:sz="4" w:space="0" w:color="auto"/>
            </w:tcBorders>
            <w:vAlign w:val="center"/>
          </w:tcPr>
          <w:p w14:paraId="61FAAA00" w14:textId="77777777" w:rsidR="00B0022E" w:rsidRPr="00055F0A" w:rsidRDefault="00B0022E">
            <w:pPr>
              <w:pStyle w:val="Tabletext"/>
              <w:keepNext/>
              <w:keepLines/>
              <w:widowControl w:val="0"/>
              <w:jc w:val="center"/>
              <w:rPr>
                <w:szCs w:val="22"/>
                <w:lang w:val="fr-CH"/>
              </w:rPr>
            </w:pPr>
          </w:p>
        </w:tc>
        <w:tc>
          <w:tcPr>
            <w:tcW w:w="6804" w:type="dxa"/>
            <w:tcBorders>
              <w:top w:val="single" w:sz="4" w:space="0" w:color="auto"/>
              <w:left w:val="single" w:sz="4" w:space="0" w:color="auto"/>
              <w:bottom w:val="single" w:sz="4" w:space="0" w:color="auto"/>
              <w:right w:val="single" w:sz="4" w:space="0" w:color="auto"/>
            </w:tcBorders>
            <w:vAlign w:val="center"/>
          </w:tcPr>
          <w:p w14:paraId="6858B78F" w14:textId="77777777" w:rsidR="00B0022E" w:rsidRPr="00055F0A" w:rsidRDefault="00B0022E">
            <w:pPr>
              <w:pStyle w:val="Tabletext"/>
              <w:keepNext/>
              <w:keepLines/>
              <w:rPr>
                <w:szCs w:val="22"/>
              </w:rPr>
            </w:pPr>
          </w:p>
        </w:tc>
      </w:tr>
    </w:tbl>
    <w:p w14:paraId="08A2AF3B" w14:textId="153FE6E5" w:rsidR="00B0022E" w:rsidRPr="00055F0A" w:rsidRDefault="00D12115">
      <w:pPr>
        <w:spacing w:before="240" w:after="120"/>
        <w:rPr>
          <w:b/>
          <w:lang w:eastAsia="zh-CN"/>
        </w:rPr>
      </w:pPr>
      <w:r w:rsidRPr="00055F0A">
        <w:rPr>
          <w:b/>
          <w:lang w:eastAsia="zh-CN"/>
        </w:rPr>
        <w:t>1.1.5</w:t>
      </w:r>
      <w:r w:rsidRPr="00055F0A">
        <w:rPr>
          <w:b/>
          <w:lang w:eastAsia="zh-CN"/>
        </w:rPr>
        <w:tab/>
        <w:t>Recommendation consented (in AAP Last Call)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6804"/>
      </w:tblGrid>
      <w:tr w:rsidR="00B0022E" w:rsidRPr="00055F0A" w14:paraId="09C9A965" w14:textId="77777777" w:rsidTr="00CD75EE">
        <w:trPr>
          <w:cantSplit/>
          <w:tblHeader/>
        </w:trPr>
        <w:tc>
          <w:tcPr>
            <w:tcW w:w="851" w:type="dxa"/>
            <w:shd w:val="clear" w:color="auto" w:fill="D9D9D9"/>
          </w:tcPr>
          <w:p w14:paraId="642929D2" w14:textId="77777777" w:rsidR="00B0022E" w:rsidRPr="00055F0A" w:rsidRDefault="00D12115">
            <w:pPr>
              <w:spacing w:before="40" w:after="40"/>
              <w:jc w:val="center"/>
              <w:rPr>
                <w:b/>
                <w:bCs/>
                <w:color w:val="000000"/>
                <w:sz w:val="22"/>
                <w:szCs w:val="22"/>
              </w:rPr>
            </w:pPr>
            <w:r w:rsidRPr="00055F0A">
              <w:rPr>
                <w:b/>
                <w:bCs/>
                <w:color w:val="000000"/>
                <w:sz w:val="22"/>
                <w:szCs w:val="22"/>
              </w:rPr>
              <w:t>SG</w:t>
            </w:r>
          </w:p>
        </w:tc>
        <w:tc>
          <w:tcPr>
            <w:tcW w:w="1984" w:type="dxa"/>
            <w:shd w:val="clear" w:color="auto" w:fill="D9D9D9"/>
          </w:tcPr>
          <w:p w14:paraId="1A3650C2" w14:textId="77777777" w:rsidR="00B0022E" w:rsidRPr="00055F0A" w:rsidRDefault="00D12115">
            <w:pPr>
              <w:spacing w:before="40" w:after="40"/>
              <w:jc w:val="center"/>
              <w:rPr>
                <w:color w:val="000000"/>
                <w:sz w:val="22"/>
                <w:szCs w:val="22"/>
              </w:rPr>
            </w:pPr>
            <w:r w:rsidRPr="00055F0A">
              <w:rPr>
                <w:b/>
                <w:bCs/>
                <w:color w:val="000000"/>
                <w:sz w:val="22"/>
                <w:szCs w:val="22"/>
              </w:rPr>
              <w:t>No</w:t>
            </w:r>
          </w:p>
        </w:tc>
        <w:tc>
          <w:tcPr>
            <w:tcW w:w="6804" w:type="dxa"/>
            <w:shd w:val="clear" w:color="auto" w:fill="D9D9D9"/>
          </w:tcPr>
          <w:p w14:paraId="30C4D26F" w14:textId="77777777" w:rsidR="00B0022E" w:rsidRPr="00055F0A" w:rsidRDefault="00D12115">
            <w:pPr>
              <w:spacing w:before="40" w:after="40"/>
              <w:jc w:val="center"/>
              <w:rPr>
                <w:color w:val="000000"/>
                <w:sz w:val="22"/>
                <w:szCs w:val="22"/>
              </w:rPr>
            </w:pPr>
            <w:r w:rsidRPr="00055F0A">
              <w:rPr>
                <w:b/>
                <w:bCs/>
                <w:color w:val="000000"/>
                <w:sz w:val="22"/>
                <w:szCs w:val="22"/>
              </w:rPr>
              <w:t>Title</w:t>
            </w:r>
          </w:p>
        </w:tc>
      </w:tr>
      <w:tr w:rsidR="003D688B" w:rsidRPr="00055F0A" w14:paraId="25C6EF4B" w14:textId="77777777" w:rsidTr="00052697">
        <w:tblPrEx>
          <w:tblCellMar>
            <w:top w:w="29" w:type="dxa"/>
            <w:left w:w="115" w:type="dxa"/>
            <w:bottom w:w="29" w:type="dxa"/>
            <w:right w:w="115" w:type="dxa"/>
          </w:tblCellMar>
        </w:tblPrEx>
        <w:trPr>
          <w:cantSplit/>
        </w:trPr>
        <w:tc>
          <w:tcPr>
            <w:tcW w:w="851" w:type="dxa"/>
            <w:vAlign w:val="center"/>
          </w:tcPr>
          <w:p w14:paraId="18743C98" w14:textId="779E76C9" w:rsidR="003D688B" w:rsidRPr="00DC7B0B" w:rsidRDefault="00AE1C9F" w:rsidP="003D688B">
            <w:pPr>
              <w:spacing w:before="40" w:after="40"/>
              <w:jc w:val="center"/>
              <w:rPr>
                <w:rFonts w:eastAsia="MS Mincho"/>
              </w:rPr>
            </w:pPr>
            <w:r>
              <w:rPr>
                <w:rFonts w:eastAsia="MS Mincho"/>
              </w:rPr>
              <w:t>5</w:t>
            </w:r>
          </w:p>
        </w:tc>
        <w:tc>
          <w:tcPr>
            <w:tcW w:w="1984" w:type="dxa"/>
            <w:shd w:val="clear" w:color="auto" w:fill="FFFFFF"/>
            <w:vAlign w:val="center"/>
          </w:tcPr>
          <w:p w14:paraId="3E454FD6" w14:textId="03B4F58A" w:rsidR="003D688B" w:rsidRPr="00DC7B0B" w:rsidRDefault="00AE1C9F" w:rsidP="00052697">
            <w:pPr>
              <w:spacing w:before="0" w:line="240" w:lineRule="atLeast"/>
              <w:jc w:val="center"/>
              <w:rPr>
                <w:rFonts w:eastAsia="MS Mincho"/>
                <w:lang w:val="en-US"/>
              </w:rPr>
            </w:pPr>
            <w:r w:rsidRPr="00AE1C9F">
              <w:rPr>
                <w:rFonts w:eastAsia="MS Mincho"/>
                <w:lang w:val="en-US"/>
              </w:rPr>
              <w:t>K.147</w:t>
            </w:r>
          </w:p>
        </w:tc>
        <w:tc>
          <w:tcPr>
            <w:tcW w:w="6804" w:type="dxa"/>
            <w:shd w:val="clear" w:color="auto" w:fill="FFFFFF"/>
          </w:tcPr>
          <w:p w14:paraId="04149C90" w14:textId="36B98719" w:rsidR="003D688B" w:rsidRPr="00DC7B0B" w:rsidRDefault="00AE1C9F" w:rsidP="003D688B">
            <w:pPr>
              <w:spacing w:line="240" w:lineRule="atLeast"/>
              <w:rPr>
                <w:rFonts w:eastAsia="MS Mincho"/>
              </w:rPr>
            </w:pPr>
            <w:r w:rsidRPr="00AE1C9F">
              <w:rPr>
                <w:rFonts w:eastAsia="MS Mincho"/>
              </w:rPr>
              <w:t xml:space="preserve">Ethernet port resistibility testing for </w:t>
            </w:r>
            <w:proofErr w:type="spellStart"/>
            <w:r w:rsidRPr="00AE1C9F">
              <w:rPr>
                <w:rFonts w:eastAsia="MS Mincho"/>
              </w:rPr>
              <w:t>overvoltages</w:t>
            </w:r>
            <w:proofErr w:type="spellEnd"/>
            <w:r w:rsidRPr="00AE1C9F">
              <w:rPr>
                <w:rFonts w:eastAsia="MS Mincho"/>
              </w:rPr>
              <w:t xml:space="preserve"> and </w:t>
            </w:r>
            <w:proofErr w:type="spellStart"/>
            <w:r w:rsidRPr="00AE1C9F">
              <w:rPr>
                <w:rFonts w:eastAsia="MS Mincho"/>
              </w:rPr>
              <w:t>overcurrents</w:t>
            </w:r>
            <w:proofErr w:type="spellEnd"/>
          </w:p>
        </w:tc>
      </w:tr>
    </w:tbl>
    <w:p w14:paraId="76E8509F" w14:textId="77777777" w:rsidR="00B0022E" w:rsidRPr="00055F0A" w:rsidRDefault="00D12115" w:rsidP="00E752C5">
      <w:pPr>
        <w:spacing w:before="0" w:after="160" w:line="259" w:lineRule="auto"/>
        <w:rPr>
          <w:b/>
          <w:lang w:eastAsia="zh-CN"/>
        </w:rPr>
      </w:pPr>
      <w:r w:rsidRPr="00055F0A">
        <w:rPr>
          <w:b/>
          <w:lang w:eastAsia="zh-CN"/>
        </w:rPr>
        <w:br w:type="page"/>
      </w:r>
      <w:r w:rsidRPr="00055F0A">
        <w:rPr>
          <w:b/>
          <w:lang w:eastAsia="zh-CN"/>
        </w:rPr>
        <w:lastRenderedPageBreak/>
        <w:t>1.2</w:t>
      </w:r>
      <w:r w:rsidRPr="00055F0A">
        <w:rPr>
          <w:b/>
          <w:lang w:eastAsia="zh-CN"/>
        </w:rPr>
        <w:tab/>
        <w:t>WP2/5 - Environment, Energy Efficiency and the Circular Economy</w:t>
      </w:r>
    </w:p>
    <w:p w14:paraId="4969EDB4" w14:textId="77777777" w:rsidR="00B0022E" w:rsidRPr="00055F0A" w:rsidRDefault="00D12115">
      <w:pPr>
        <w:spacing w:before="240" w:after="120"/>
        <w:rPr>
          <w:rFonts w:eastAsia="MS Mincho"/>
          <w:b/>
          <w:color w:val="000000"/>
        </w:rPr>
      </w:pPr>
      <w:r w:rsidRPr="00055F0A">
        <w:rPr>
          <w:b/>
          <w:lang w:eastAsia="zh-CN"/>
        </w:rPr>
        <w:t>1.2.1</w:t>
      </w:r>
      <w:r w:rsidRPr="00055F0A">
        <w:rPr>
          <w:b/>
          <w:lang w:eastAsia="zh-CN"/>
        </w:rPr>
        <w:tab/>
      </w:r>
      <w:r w:rsidRPr="00055F0A">
        <w:rPr>
          <w:b/>
          <w:color w:val="000000"/>
        </w:rPr>
        <w:t>Recommendations approved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6804"/>
      </w:tblGrid>
      <w:tr w:rsidR="00B0022E" w:rsidRPr="006C677D" w14:paraId="2DD97A86" w14:textId="77777777" w:rsidTr="00CD75EE">
        <w:trPr>
          <w:cantSplit/>
          <w:tblHeader/>
        </w:trPr>
        <w:tc>
          <w:tcPr>
            <w:tcW w:w="851" w:type="dxa"/>
            <w:shd w:val="clear" w:color="auto" w:fill="D9D9D9"/>
          </w:tcPr>
          <w:p w14:paraId="7FD0FBA9" w14:textId="77777777" w:rsidR="00B0022E" w:rsidRPr="006C677D" w:rsidRDefault="00D12115">
            <w:pPr>
              <w:jc w:val="center"/>
              <w:rPr>
                <w:b/>
                <w:bCs/>
                <w:sz w:val="22"/>
                <w:szCs w:val="22"/>
              </w:rPr>
            </w:pPr>
            <w:r w:rsidRPr="006C677D">
              <w:rPr>
                <w:b/>
                <w:bCs/>
                <w:sz w:val="22"/>
                <w:szCs w:val="22"/>
              </w:rPr>
              <w:t>SG</w:t>
            </w:r>
          </w:p>
        </w:tc>
        <w:tc>
          <w:tcPr>
            <w:tcW w:w="1984" w:type="dxa"/>
            <w:shd w:val="clear" w:color="auto" w:fill="D9D9D9"/>
          </w:tcPr>
          <w:p w14:paraId="0F538A78" w14:textId="77777777" w:rsidR="00B0022E" w:rsidRPr="006C677D" w:rsidRDefault="00D12115">
            <w:pPr>
              <w:jc w:val="center"/>
              <w:rPr>
                <w:sz w:val="22"/>
                <w:szCs w:val="22"/>
              </w:rPr>
            </w:pPr>
            <w:r w:rsidRPr="006C677D">
              <w:rPr>
                <w:b/>
                <w:bCs/>
                <w:sz w:val="22"/>
                <w:szCs w:val="22"/>
              </w:rPr>
              <w:t>No</w:t>
            </w:r>
          </w:p>
        </w:tc>
        <w:tc>
          <w:tcPr>
            <w:tcW w:w="6804" w:type="dxa"/>
            <w:shd w:val="clear" w:color="auto" w:fill="D9D9D9"/>
          </w:tcPr>
          <w:p w14:paraId="12F3CBAD" w14:textId="77777777" w:rsidR="00B0022E" w:rsidRPr="006C677D" w:rsidRDefault="00D12115">
            <w:pPr>
              <w:jc w:val="center"/>
              <w:rPr>
                <w:sz w:val="22"/>
                <w:szCs w:val="22"/>
              </w:rPr>
            </w:pPr>
            <w:r w:rsidRPr="006C677D">
              <w:rPr>
                <w:b/>
                <w:bCs/>
                <w:sz w:val="22"/>
                <w:szCs w:val="22"/>
              </w:rPr>
              <w:t>Title</w:t>
            </w:r>
          </w:p>
        </w:tc>
      </w:tr>
      <w:tr w:rsidR="00AE1C9F" w:rsidRPr="006C677D" w14:paraId="56EFFA4B" w14:textId="77777777" w:rsidTr="00592F96">
        <w:tblPrEx>
          <w:tblCellMar>
            <w:top w:w="29" w:type="dxa"/>
            <w:left w:w="115" w:type="dxa"/>
            <w:bottom w:w="29" w:type="dxa"/>
            <w:right w:w="115" w:type="dxa"/>
          </w:tblCellMar>
        </w:tblPrEx>
        <w:trPr>
          <w:cantSplit/>
        </w:trPr>
        <w:tc>
          <w:tcPr>
            <w:tcW w:w="851" w:type="dxa"/>
            <w:vAlign w:val="center"/>
          </w:tcPr>
          <w:p w14:paraId="442E98B2" w14:textId="4F61E8A3" w:rsidR="00AE1C9F" w:rsidRDefault="00AE1C9F" w:rsidP="00AE1C9F">
            <w:pPr>
              <w:jc w:val="center"/>
              <w:rPr>
                <w:rFonts w:eastAsia="Times New Roman"/>
                <w:sz w:val="22"/>
                <w:szCs w:val="22"/>
              </w:rPr>
            </w:pPr>
            <w:r>
              <w:rPr>
                <w:rFonts w:eastAsia="Times New Roman"/>
                <w:sz w:val="22"/>
                <w:szCs w:val="22"/>
              </w:rPr>
              <w:t>5</w:t>
            </w:r>
          </w:p>
        </w:tc>
        <w:tc>
          <w:tcPr>
            <w:tcW w:w="1984" w:type="dxa"/>
            <w:vAlign w:val="center"/>
          </w:tcPr>
          <w:p w14:paraId="4AA4B164" w14:textId="6AD4A3CB" w:rsidR="00AE1C9F" w:rsidRDefault="00AE1C9F" w:rsidP="00AE1C9F">
            <w:pPr>
              <w:spacing w:line="240" w:lineRule="atLeast"/>
              <w:jc w:val="center"/>
            </w:pPr>
            <w:r w:rsidRPr="00052697">
              <w:t>L.1</w:t>
            </w:r>
            <w:r>
              <w:t>024</w:t>
            </w:r>
          </w:p>
        </w:tc>
        <w:tc>
          <w:tcPr>
            <w:tcW w:w="6804" w:type="dxa"/>
            <w:vAlign w:val="center"/>
          </w:tcPr>
          <w:p w14:paraId="2B36232B" w14:textId="6152ED94" w:rsidR="00AE1C9F" w:rsidRPr="00DC7B0B" w:rsidRDefault="00AE1C9F" w:rsidP="00AE1C9F">
            <w:pPr>
              <w:spacing w:line="240" w:lineRule="atLeast"/>
            </w:pPr>
            <w:r w:rsidRPr="00DC7B0B">
              <w:t>Effect for global ICT of the potential of selling services instead of equipment on the waste creation and environmental impacts</w:t>
            </w:r>
          </w:p>
        </w:tc>
      </w:tr>
      <w:tr w:rsidR="00BD2D65" w:rsidRPr="006C677D" w14:paraId="4616E97B" w14:textId="77777777" w:rsidTr="00052697">
        <w:tblPrEx>
          <w:tblCellMar>
            <w:top w:w="29" w:type="dxa"/>
            <w:left w:w="115" w:type="dxa"/>
            <w:bottom w:w="29" w:type="dxa"/>
            <w:right w:w="115" w:type="dxa"/>
          </w:tblCellMar>
        </w:tblPrEx>
        <w:trPr>
          <w:cantSplit/>
        </w:trPr>
        <w:tc>
          <w:tcPr>
            <w:tcW w:w="851" w:type="dxa"/>
            <w:vAlign w:val="center"/>
          </w:tcPr>
          <w:p w14:paraId="0B3E35E2" w14:textId="1F3DA134" w:rsidR="00BD2D65" w:rsidRPr="006C677D" w:rsidRDefault="00BD2D65" w:rsidP="00BD2D65">
            <w:pPr>
              <w:jc w:val="center"/>
              <w:rPr>
                <w:rFonts w:eastAsia="Times New Roman"/>
                <w:sz w:val="22"/>
                <w:szCs w:val="22"/>
              </w:rPr>
            </w:pPr>
            <w:r>
              <w:rPr>
                <w:rFonts w:eastAsia="Times New Roman"/>
                <w:sz w:val="22"/>
                <w:szCs w:val="22"/>
              </w:rPr>
              <w:t>5</w:t>
            </w:r>
          </w:p>
        </w:tc>
        <w:tc>
          <w:tcPr>
            <w:tcW w:w="1984" w:type="dxa"/>
            <w:vAlign w:val="center"/>
          </w:tcPr>
          <w:p w14:paraId="6CA5D25A" w14:textId="1A5E09E8" w:rsidR="00BD2D65" w:rsidRPr="006C677D" w:rsidRDefault="00BD2D65" w:rsidP="00BD2D65">
            <w:pPr>
              <w:spacing w:line="240" w:lineRule="atLeast"/>
              <w:jc w:val="center"/>
              <w:rPr>
                <w:rFonts w:eastAsia="Times New Roman"/>
                <w:sz w:val="22"/>
                <w:szCs w:val="22"/>
              </w:rPr>
            </w:pPr>
            <w:r w:rsidRPr="00BD2D65">
              <w:t>L.1060</w:t>
            </w:r>
          </w:p>
        </w:tc>
        <w:tc>
          <w:tcPr>
            <w:tcW w:w="6804" w:type="dxa"/>
          </w:tcPr>
          <w:p w14:paraId="3083A9D4" w14:textId="24AEBDBC" w:rsidR="00BD2D65" w:rsidRPr="006C677D" w:rsidRDefault="00BD2D65" w:rsidP="00BD2D65">
            <w:pPr>
              <w:spacing w:line="240" w:lineRule="atLeast"/>
              <w:rPr>
                <w:rFonts w:eastAsia="Times New Roman"/>
                <w:sz w:val="22"/>
                <w:szCs w:val="22"/>
              </w:rPr>
            </w:pPr>
            <w:r w:rsidRPr="00BD2D65">
              <w:t>General principles for the green supply chain management of ICT manufacturing industry</w:t>
            </w:r>
          </w:p>
        </w:tc>
      </w:tr>
      <w:tr w:rsidR="00BD2D65" w:rsidRPr="006C677D" w14:paraId="6F664F79" w14:textId="77777777" w:rsidTr="00052697">
        <w:tblPrEx>
          <w:tblCellMar>
            <w:top w:w="29" w:type="dxa"/>
            <w:left w:w="115" w:type="dxa"/>
            <w:bottom w:w="29" w:type="dxa"/>
            <w:right w:w="115" w:type="dxa"/>
          </w:tblCellMar>
        </w:tblPrEx>
        <w:trPr>
          <w:cantSplit/>
        </w:trPr>
        <w:tc>
          <w:tcPr>
            <w:tcW w:w="851" w:type="dxa"/>
            <w:vAlign w:val="center"/>
          </w:tcPr>
          <w:p w14:paraId="7807E7C0" w14:textId="1BF60416" w:rsidR="00BD2D65" w:rsidRDefault="00BD2D65" w:rsidP="00BD2D65">
            <w:pPr>
              <w:jc w:val="center"/>
              <w:rPr>
                <w:rFonts w:eastAsia="Times New Roman"/>
                <w:sz w:val="22"/>
                <w:szCs w:val="22"/>
              </w:rPr>
            </w:pPr>
            <w:r>
              <w:rPr>
                <w:rFonts w:eastAsia="Times New Roman"/>
                <w:sz w:val="22"/>
                <w:szCs w:val="22"/>
              </w:rPr>
              <w:t>5</w:t>
            </w:r>
          </w:p>
        </w:tc>
        <w:tc>
          <w:tcPr>
            <w:tcW w:w="1984" w:type="dxa"/>
            <w:vAlign w:val="center"/>
          </w:tcPr>
          <w:p w14:paraId="6252A94F" w14:textId="14D95D01" w:rsidR="00BD2D65" w:rsidRDefault="00BD2D65" w:rsidP="00BD2D65">
            <w:pPr>
              <w:spacing w:line="240" w:lineRule="atLeast"/>
              <w:jc w:val="center"/>
            </w:pPr>
            <w:r>
              <w:t>L.1471</w:t>
            </w:r>
          </w:p>
        </w:tc>
        <w:tc>
          <w:tcPr>
            <w:tcW w:w="6804" w:type="dxa"/>
          </w:tcPr>
          <w:p w14:paraId="18361F95" w14:textId="4EFB4DCD" w:rsidR="00BD2D65" w:rsidRDefault="00BD2D65" w:rsidP="00BD2D65">
            <w:pPr>
              <w:spacing w:line="240" w:lineRule="atLeast"/>
            </w:pPr>
            <w:r w:rsidRPr="00BD2D65">
              <w:t>Guidance and criteria for ICT organisations on setting Net Zero targets and strategies</w:t>
            </w:r>
          </w:p>
        </w:tc>
      </w:tr>
      <w:tr w:rsidR="00BD2D65" w:rsidRPr="006C677D" w14:paraId="311D015F" w14:textId="77777777" w:rsidTr="00052697">
        <w:tblPrEx>
          <w:tblCellMar>
            <w:top w:w="29" w:type="dxa"/>
            <w:left w:w="115" w:type="dxa"/>
            <w:bottom w:w="29" w:type="dxa"/>
            <w:right w:w="115" w:type="dxa"/>
          </w:tblCellMar>
        </w:tblPrEx>
        <w:trPr>
          <w:cantSplit/>
        </w:trPr>
        <w:tc>
          <w:tcPr>
            <w:tcW w:w="851" w:type="dxa"/>
            <w:vAlign w:val="center"/>
          </w:tcPr>
          <w:p w14:paraId="6932ED31" w14:textId="40CA77D9" w:rsidR="00BD2D65" w:rsidRDefault="00BD2D65" w:rsidP="00BD2D65">
            <w:pPr>
              <w:jc w:val="center"/>
              <w:rPr>
                <w:rFonts w:eastAsia="Times New Roman"/>
                <w:sz w:val="22"/>
                <w:szCs w:val="22"/>
              </w:rPr>
            </w:pPr>
            <w:r>
              <w:rPr>
                <w:rFonts w:eastAsia="Times New Roman"/>
                <w:sz w:val="22"/>
                <w:szCs w:val="22"/>
              </w:rPr>
              <w:t>5</w:t>
            </w:r>
          </w:p>
        </w:tc>
        <w:tc>
          <w:tcPr>
            <w:tcW w:w="1984" w:type="dxa"/>
            <w:vAlign w:val="center"/>
          </w:tcPr>
          <w:p w14:paraId="61C264DD" w14:textId="7BF0754C" w:rsidR="00BD2D65" w:rsidRDefault="00BD2D65" w:rsidP="00BD2D65">
            <w:pPr>
              <w:spacing w:line="240" w:lineRule="atLeast"/>
              <w:jc w:val="center"/>
            </w:pPr>
            <w:r>
              <w:t>L.1383</w:t>
            </w:r>
          </w:p>
        </w:tc>
        <w:tc>
          <w:tcPr>
            <w:tcW w:w="6804" w:type="dxa"/>
          </w:tcPr>
          <w:p w14:paraId="79A459FC" w14:textId="76EDCE08" w:rsidR="00BD2D65" w:rsidRPr="00BD2D65" w:rsidRDefault="00BD2D65" w:rsidP="00BD2D65">
            <w:pPr>
              <w:spacing w:line="240" w:lineRule="atLeast"/>
            </w:pPr>
            <w:r w:rsidRPr="00BD2D65">
              <w:t>Smart energy solutions for cities and home applications</w:t>
            </w:r>
          </w:p>
        </w:tc>
      </w:tr>
    </w:tbl>
    <w:p w14:paraId="13763E9E" w14:textId="77777777" w:rsidR="00B0022E" w:rsidRPr="00055F0A" w:rsidRDefault="00D12115">
      <w:pPr>
        <w:spacing w:before="240" w:after="120"/>
        <w:rPr>
          <w:b/>
          <w:lang w:eastAsia="zh-CN"/>
        </w:rPr>
      </w:pPr>
      <w:r w:rsidRPr="00055F0A">
        <w:rPr>
          <w:b/>
          <w:lang w:eastAsia="zh-CN"/>
        </w:rPr>
        <w:t>1.2.2</w:t>
      </w:r>
      <w:r w:rsidRPr="00055F0A">
        <w:rPr>
          <w:b/>
          <w:lang w:eastAsia="zh-CN"/>
        </w:rPr>
        <w:tab/>
        <w:t>Informati</w:t>
      </w:r>
      <w:r w:rsidR="008B2E55" w:rsidRPr="00055F0A">
        <w:rPr>
          <w:b/>
          <w:lang w:eastAsia="zh-CN"/>
        </w:rPr>
        <w:t>ve</w:t>
      </w:r>
      <w:r w:rsidRPr="00055F0A">
        <w:rPr>
          <w:b/>
          <w:lang w:eastAsia="zh-CN"/>
        </w:rPr>
        <w:t xml:space="preserve"> texts </w:t>
      </w:r>
      <w:r w:rsidR="006F5D95" w:rsidRPr="00055F0A">
        <w:rPr>
          <w:b/>
          <w:lang w:eastAsia="zh-CN"/>
        </w:rPr>
        <w:t>agreed</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49"/>
        <w:gridCol w:w="1966"/>
        <w:gridCol w:w="6704"/>
      </w:tblGrid>
      <w:tr w:rsidR="00B0022E" w:rsidRPr="00055F0A" w14:paraId="04A18690" w14:textId="77777777" w:rsidTr="00CD75EE">
        <w:trPr>
          <w:tblHeader/>
          <w:jc w:val="center"/>
        </w:trPr>
        <w:tc>
          <w:tcPr>
            <w:tcW w:w="849" w:type="dxa"/>
            <w:tcBorders>
              <w:top w:val="single" w:sz="4" w:space="0" w:color="auto"/>
              <w:left w:val="single" w:sz="4" w:space="0" w:color="auto"/>
              <w:bottom w:val="single" w:sz="4" w:space="0" w:color="auto"/>
              <w:right w:val="single" w:sz="4" w:space="0" w:color="auto"/>
            </w:tcBorders>
            <w:shd w:val="clear" w:color="auto" w:fill="D9D9D9"/>
            <w:vAlign w:val="center"/>
          </w:tcPr>
          <w:p w14:paraId="3A4CFF1B" w14:textId="77777777" w:rsidR="00B0022E" w:rsidRPr="00055F0A" w:rsidRDefault="00D12115">
            <w:pPr>
              <w:spacing w:before="40" w:after="40"/>
              <w:jc w:val="center"/>
              <w:rPr>
                <w:b/>
                <w:sz w:val="22"/>
                <w:szCs w:val="22"/>
                <w:lang w:eastAsia="ko-KR"/>
              </w:rPr>
            </w:pPr>
            <w:r w:rsidRPr="00055F0A">
              <w:rPr>
                <w:b/>
                <w:sz w:val="22"/>
                <w:szCs w:val="22"/>
                <w:lang w:eastAsia="ko-KR"/>
              </w:rPr>
              <w:t>SG</w:t>
            </w:r>
          </w:p>
        </w:tc>
        <w:tc>
          <w:tcPr>
            <w:tcW w:w="1966" w:type="dxa"/>
            <w:tcBorders>
              <w:top w:val="single" w:sz="4" w:space="0" w:color="auto"/>
              <w:left w:val="single" w:sz="4" w:space="0" w:color="auto"/>
              <w:bottom w:val="single" w:sz="4" w:space="0" w:color="auto"/>
              <w:right w:val="single" w:sz="4" w:space="0" w:color="auto"/>
            </w:tcBorders>
            <w:shd w:val="clear" w:color="auto" w:fill="D9D9D9"/>
            <w:vAlign w:val="center"/>
          </w:tcPr>
          <w:p w14:paraId="36E386B8" w14:textId="77777777" w:rsidR="00B0022E" w:rsidRPr="00055F0A" w:rsidRDefault="00D12115">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szCs w:val="22"/>
              </w:rPr>
            </w:pPr>
            <w:r w:rsidRPr="00055F0A">
              <w:rPr>
                <w:b/>
                <w:sz w:val="22"/>
                <w:szCs w:val="22"/>
              </w:rPr>
              <w:t>No</w:t>
            </w:r>
          </w:p>
        </w:tc>
        <w:tc>
          <w:tcPr>
            <w:tcW w:w="6704" w:type="dxa"/>
            <w:tcBorders>
              <w:top w:val="single" w:sz="4" w:space="0" w:color="auto"/>
              <w:left w:val="single" w:sz="4" w:space="0" w:color="auto"/>
              <w:bottom w:val="single" w:sz="4" w:space="0" w:color="auto"/>
              <w:right w:val="single" w:sz="4" w:space="0" w:color="auto"/>
            </w:tcBorders>
            <w:shd w:val="clear" w:color="auto" w:fill="D9D9D9"/>
            <w:vAlign w:val="center"/>
          </w:tcPr>
          <w:p w14:paraId="51B4154A" w14:textId="77777777" w:rsidR="00B0022E" w:rsidRPr="00055F0A" w:rsidRDefault="00D12115">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Cs/>
                <w:sz w:val="22"/>
                <w:szCs w:val="22"/>
              </w:rPr>
            </w:pPr>
            <w:r w:rsidRPr="00055F0A">
              <w:rPr>
                <w:b/>
                <w:bCs/>
                <w:iCs/>
                <w:sz w:val="22"/>
                <w:szCs w:val="22"/>
              </w:rPr>
              <w:t>Title</w:t>
            </w:r>
          </w:p>
        </w:tc>
      </w:tr>
      <w:tr w:rsidR="00B0022E" w:rsidRPr="00055F0A" w14:paraId="79E05BC0" w14:textId="77777777" w:rsidTr="00052697">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43B3EB26" w14:textId="77777777" w:rsidR="00B0022E" w:rsidRPr="000C6BBA" w:rsidRDefault="003D688B">
            <w:pPr>
              <w:spacing w:before="40" w:after="40"/>
              <w:jc w:val="center"/>
              <w:rPr>
                <w:lang w:eastAsia="zh-CN"/>
              </w:rPr>
            </w:pPr>
            <w:r w:rsidRPr="000C6BBA">
              <w:rPr>
                <w:rFonts w:eastAsia="MS Mincho"/>
                <w:lang w:val="en-US"/>
              </w:rPr>
              <w:t>5</w:t>
            </w:r>
          </w:p>
        </w:tc>
        <w:tc>
          <w:tcPr>
            <w:tcW w:w="1966" w:type="dxa"/>
            <w:tcBorders>
              <w:top w:val="single" w:sz="4" w:space="0" w:color="auto"/>
              <w:left w:val="single" w:sz="4" w:space="0" w:color="auto"/>
              <w:bottom w:val="single" w:sz="4" w:space="0" w:color="auto"/>
              <w:right w:val="single" w:sz="4" w:space="0" w:color="auto"/>
            </w:tcBorders>
            <w:vAlign w:val="center"/>
          </w:tcPr>
          <w:p w14:paraId="6850EA6B" w14:textId="2DB60A35" w:rsidR="00B0022E" w:rsidRPr="000C6BBA" w:rsidRDefault="00DC7B0B" w:rsidP="00052697">
            <w:pPr>
              <w:spacing w:line="240" w:lineRule="atLeast"/>
              <w:jc w:val="center"/>
              <w:rPr>
                <w:color w:val="000000"/>
                <w:lang w:val="en-US"/>
              </w:rPr>
            </w:pPr>
            <w:r w:rsidRPr="00DC7B0B">
              <w:t>L.Suppl.4</w:t>
            </w:r>
            <w:r w:rsidR="00BD2D65">
              <w:t>1</w:t>
            </w:r>
          </w:p>
        </w:tc>
        <w:tc>
          <w:tcPr>
            <w:tcW w:w="6704" w:type="dxa"/>
            <w:tcBorders>
              <w:top w:val="single" w:sz="4" w:space="0" w:color="auto"/>
              <w:left w:val="single" w:sz="4" w:space="0" w:color="auto"/>
              <w:bottom w:val="single" w:sz="4" w:space="0" w:color="auto"/>
              <w:right w:val="single" w:sz="4" w:space="0" w:color="auto"/>
            </w:tcBorders>
          </w:tcPr>
          <w:p w14:paraId="033DEE01" w14:textId="580E5EC7" w:rsidR="00B0022E" w:rsidRPr="00055F0A" w:rsidRDefault="00BD2D65">
            <w:pPr>
              <w:spacing w:line="240" w:lineRule="atLeast"/>
              <w:rPr>
                <w:rFonts w:eastAsia="MS Mincho"/>
                <w:color w:val="000000"/>
                <w:sz w:val="22"/>
                <w:szCs w:val="22"/>
              </w:rPr>
            </w:pPr>
            <w:r w:rsidRPr="00BD2D65">
              <w:t>Requirements on energy efficiency measurement models and the role of AI and big data</w:t>
            </w:r>
          </w:p>
        </w:tc>
      </w:tr>
      <w:tr w:rsidR="00DC7B0B" w:rsidRPr="00055F0A" w14:paraId="112B537B" w14:textId="77777777" w:rsidTr="00052697">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3F37DA42" w14:textId="462E5320" w:rsidR="00DC7B0B" w:rsidRPr="000C6BBA" w:rsidRDefault="00DC7B0B">
            <w:pPr>
              <w:spacing w:before="40" w:after="40"/>
              <w:jc w:val="center"/>
              <w:rPr>
                <w:rFonts w:eastAsia="MS Mincho"/>
                <w:lang w:val="en-US"/>
              </w:rPr>
            </w:pPr>
            <w:r>
              <w:rPr>
                <w:rFonts w:eastAsia="MS Mincho"/>
                <w:lang w:val="en-US"/>
              </w:rPr>
              <w:t>5</w:t>
            </w:r>
          </w:p>
        </w:tc>
        <w:tc>
          <w:tcPr>
            <w:tcW w:w="1966" w:type="dxa"/>
            <w:tcBorders>
              <w:top w:val="single" w:sz="4" w:space="0" w:color="auto"/>
              <w:left w:val="single" w:sz="4" w:space="0" w:color="auto"/>
              <w:bottom w:val="single" w:sz="4" w:space="0" w:color="auto"/>
              <w:right w:val="single" w:sz="4" w:space="0" w:color="auto"/>
            </w:tcBorders>
            <w:vAlign w:val="center"/>
          </w:tcPr>
          <w:p w14:paraId="5CBCFBCD" w14:textId="1A2BE261" w:rsidR="00DC7B0B" w:rsidRPr="00DC7B0B" w:rsidRDefault="00DC7B0B" w:rsidP="00052697">
            <w:pPr>
              <w:spacing w:line="240" w:lineRule="atLeast"/>
              <w:jc w:val="center"/>
            </w:pPr>
            <w:r w:rsidRPr="00DC7B0B">
              <w:t>L.Suppl.</w:t>
            </w:r>
            <w:r w:rsidR="00BD2D65">
              <w:t>42</w:t>
            </w:r>
          </w:p>
        </w:tc>
        <w:tc>
          <w:tcPr>
            <w:tcW w:w="6704" w:type="dxa"/>
            <w:tcBorders>
              <w:top w:val="single" w:sz="4" w:space="0" w:color="auto"/>
              <w:left w:val="single" w:sz="4" w:space="0" w:color="auto"/>
              <w:bottom w:val="single" w:sz="4" w:space="0" w:color="auto"/>
              <w:right w:val="single" w:sz="4" w:space="0" w:color="auto"/>
            </w:tcBorders>
          </w:tcPr>
          <w:p w14:paraId="5914E1E7" w14:textId="56C47498" w:rsidR="00DC7B0B" w:rsidRPr="00DC7B0B" w:rsidRDefault="00BD2D65">
            <w:pPr>
              <w:spacing w:line="240" w:lineRule="atLeast"/>
            </w:pPr>
            <w:r w:rsidRPr="00BD2D65">
              <w:t>Guidelines on the Environmental Efficiency of Machine Learning Processes in Supply Chain Management</w:t>
            </w:r>
          </w:p>
        </w:tc>
      </w:tr>
      <w:tr w:rsidR="00BD2D65" w:rsidRPr="00055F0A" w14:paraId="2D727535" w14:textId="77777777" w:rsidTr="00052697">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7344FCAC" w14:textId="1B0735EB" w:rsidR="00BD2D65" w:rsidRDefault="00BD2D65">
            <w:pPr>
              <w:spacing w:before="40" w:after="40"/>
              <w:jc w:val="center"/>
              <w:rPr>
                <w:rFonts w:eastAsia="MS Mincho"/>
                <w:lang w:val="en-US"/>
              </w:rPr>
            </w:pPr>
            <w:r>
              <w:rPr>
                <w:rFonts w:eastAsia="MS Mincho"/>
                <w:lang w:val="en-US"/>
              </w:rPr>
              <w:t>5</w:t>
            </w:r>
          </w:p>
        </w:tc>
        <w:tc>
          <w:tcPr>
            <w:tcW w:w="1966" w:type="dxa"/>
            <w:tcBorders>
              <w:top w:val="single" w:sz="4" w:space="0" w:color="auto"/>
              <w:left w:val="single" w:sz="4" w:space="0" w:color="auto"/>
              <w:bottom w:val="single" w:sz="4" w:space="0" w:color="auto"/>
              <w:right w:val="single" w:sz="4" w:space="0" w:color="auto"/>
            </w:tcBorders>
            <w:vAlign w:val="center"/>
          </w:tcPr>
          <w:p w14:paraId="389E420E" w14:textId="2DCD0BC9" w:rsidR="00BD2D65" w:rsidRPr="00DC7B0B" w:rsidRDefault="00BD2D65" w:rsidP="00052697">
            <w:pPr>
              <w:spacing w:line="240" w:lineRule="atLeast"/>
              <w:jc w:val="center"/>
            </w:pPr>
            <w:r>
              <w:t>L.Suppl.43</w:t>
            </w:r>
          </w:p>
        </w:tc>
        <w:tc>
          <w:tcPr>
            <w:tcW w:w="6704" w:type="dxa"/>
            <w:tcBorders>
              <w:top w:val="single" w:sz="4" w:space="0" w:color="auto"/>
              <w:left w:val="single" w:sz="4" w:space="0" w:color="auto"/>
              <w:bottom w:val="single" w:sz="4" w:space="0" w:color="auto"/>
              <w:right w:val="single" w:sz="4" w:space="0" w:color="auto"/>
            </w:tcBorders>
          </w:tcPr>
          <w:p w14:paraId="2A58D865" w14:textId="500E33F6" w:rsidR="00BD2D65" w:rsidRPr="00BD2D65" w:rsidRDefault="00BD2D65" w:rsidP="00BD2D65">
            <w:pPr>
              <w:spacing w:line="240" w:lineRule="atLeast"/>
            </w:pPr>
            <w:r>
              <w:t>Smart energy saving of 5G base station: Based on AI and other emerging technologies to forecast and optimize the management of 5G wireless network energy consumption</w:t>
            </w:r>
          </w:p>
        </w:tc>
      </w:tr>
      <w:tr w:rsidR="00BD2D65" w:rsidRPr="00055F0A" w14:paraId="1C131772" w14:textId="77777777" w:rsidTr="00052697">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5008246C" w14:textId="237725FD" w:rsidR="00BD2D65" w:rsidRDefault="00BD2D65">
            <w:pPr>
              <w:spacing w:before="40" w:after="40"/>
              <w:jc w:val="center"/>
              <w:rPr>
                <w:rFonts w:eastAsia="MS Mincho"/>
                <w:lang w:val="en-US"/>
              </w:rPr>
            </w:pPr>
            <w:r>
              <w:rPr>
                <w:rFonts w:eastAsia="MS Mincho"/>
                <w:lang w:val="en-US"/>
              </w:rPr>
              <w:t>5</w:t>
            </w:r>
          </w:p>
        </w:tc>
        <w:tc>
          <w:tcPr>
            <w:tcW w:w="1966" w:type="dxa"/>
            <w:tcBorders>
              <w:top w:val="single" w:sz="4" w:space="0" w:color="auto"/>
              <w:left w:val="single" w:sz="4" w:space="0" w:color="auto"/>
              <w:bottom w:val="single" w:sz="4" w:space="0" w:color="auto"/>
              <w:right w:val="single" w:sz="4" w:space="0" w:color="auto"/>
            </w:tcBorders>
            <w:vAlign w:val="center"/>
          </w:tcPr>
          <w:p w14:paraId="636A2F21" w14:textId="14902B88" w:rsidR="00BD2D65" w:rsidRDefault="00BD2D65" w:rsidP="00052697">
            <w:pPr>
              <w:spacing w:line="240" w:lineRule="atLeast"/>
              <w:jc w:val="center"/>
            </w:pPr>
            <w:r>
              <w:t>L.Suppl.44</w:t>
            </w:r>
          </w:p>
        </w:tc>
        <w:tc>
          <w:tcPr>
            <w:tcW w:w="6704" w:type="dxa"/>
            <w:tcBorders>
              <w:top w:val="single" w:sz="4" w:space="0" w:color="auto"/>
              <w:left w:val="single" w:sz="4" w:space="0" w:color="auto"/>
              <w:bottom w:val="single" w:sz="4" w:space="0" w:color="auto"/>
              <w:right w:val="single" w:sz="4" w:space="0" w:color="auto"/>
            </w:tcBorders>
          </w:tcPr>
          <w:p w14:paraId="7B9EF467" w14:textId="3C26996B" w:rsidR="00BD2D65" w:rsidRDefault="00BD2D65" w:rsidP="00BD2D65">
            <w:pPr>
              <w:spacing w:line="240" w:lineRule="atLeast"/>
            </w:pPr>
            <w:r w:rsidRPr="00BD2D65">
              <w:t>A Guideline on best practices and environment friendly policies for effective ICT deployment methods</w:t>
            </w:r>
          </w:p>
        </w:tc>
      </w:tr>
    </w:tbl>
    <w:p w14:paraId="2F2CC838" w14:textId="77777777" w:rsidR="00B0022E" w:rsidRPr="00055F0A" w:rsidRDefault="00D12115">
      <w:pPr>
        <w:spacing w:before="240" w:after="120"/>
        <w:rPr>
          <w:b/>
          <w:lang w:eastAsia="zh-CN"/>
        </w:rPr>
      </w:pPr>
      <w:r w:rsidRPr="00055F0A">
        <w:rPr>
          <w:b/>
          <w:lang w:eastAsia="zh-CN"/>
        </w:rPr>
        <w:t>1.2.3</w:t>
      </w:r>
      <w:r w:rsidRPr="00055F0A">
        <w:rPr>
          <w:b/>
          <w:lang w:eastAsia="zh-CN"/>
        </w:rPr>
        <w:tab/>
        <w:t>Deleted Recommendations</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51"/>
        <w:gridCol w:w="1984"/>
        <w:gridCol w:w="6804"/>
      </w:tblGrid>
      <w:tr w:rsidR="00B0022E" w:rsidRPr="00055F0A" w14:paraId="33D17F6C" w14:textId="77777777" w:rsidTr="00CD75EE">
        <w:trPr>
          <w:cantSplit/>
        </w:trPr>
        <w:tc>
          <w:tcPr>
            <w:tcW w:w="851" w:type="dxa"/>
            <w:shd w:val="clear" w:color="auto" w:fill="D9D9D9"/>
            <w:vAlign w:val="center"/>
          </w:tcPr>
          <w:p w14:paraId="6409D34D" w14:textId="77777777" w:rsidR="00B0022E" w:rsidRPr="00055F0A" w:rsidRDefault="00D12115">
            <w:pPr>
              <w:pStyle w:val="Tablehead"/>
              <w:spacing w:before="60" w:after="60"/>
              <w:rPr>
                <w:szCs w:val="22"/>
                <w:vertAlign w:val="superscript"/>
              </w:rPr>
            </w:pPr>
            <w:r w:rsidRPr="00055F0A">
              <w:rPr>
                <w:szCs w:val="22"/>
              </w:rPr>
              <w:t>Q</w:t>
            </w:r>
          </w:p>
        </w:tc>
        <w:tc>
          <w:tcPr>
            <w:tcW w:w="1984" w:type="dxa"/>
            <w:shd w:val="clear" w:color="auto" w:fill="D9D9D9"/>
            <w:vAlign w:val="center"/>
          </w:tcPr>
          <w:p w14:paraId="67FC0B56" w14:textId="77777777" w:rsidR="00B0022E" w:rsidRPr="00055F0A" w:rsidRDefault="00D12115">
            <w:pPr>
              <w:pStyle w:val="Tablehead"/>
              <w:spacing w:before="60" w:after="60"/>
              <w:rPr>
                <w:szCs w:val="22"/>
              </w:rPr>
            </w:pPr>
            <w:r w:rsidRPr="00055F0A">
              <w:rPr>
                <w:szCs w:val="22"/>
                <w:lang w:eastAsia="ko-KR"/>
              </w:rPr>
              <w:t>No.</w:t>
            </w:r>
          </w:p>
        </w:tc>
        <w:tc>
          <w:tcPr>
            <w:tcW w:w="6804" w:type="dxa"/>
            <w:shd w:val="clear" w:color="auto" w:fill="D9D9D9"/>
            <w:vAlign w:val="center"/>
          </w:tcPr>
          <w:p w14:paraId="4B4BBE54" w14:textId="77777777" w:rsidR="00B0022E" w:rsidRPr="00055F0A" w:rsidRDefault="00D12115">
            <w:pPr>
              <w:pStyle w:val="Tablehead"/>
              <w:spacing w:before="60" w:after="60"/>
              <w:rPr>
                <w:szCs w:val="22"/>
              </w:rPr>
            </w:pPr>
            <w:r w:rsidRPr="00055F0A">
              <w:rPr>
                <w:szCs w:val="22"/>
              </w:rPr>
              <w:t>Title</w:t>
            </w:r>
          </w:p>
        </w:tc>
      </w:tr>
      <w:tr w:rsidR="00AF3CA7" w:rsidRPr="00055F0A" w14:paraId="57DA57A3" w14:textId="77777777" w:rsidTr="003E71D8">
        <w:trPr>
          <w:cantSplit/>
        </w:trPr>
        <w:tc>
          <w:tcPr>
            <w:tcW w:w="851" w:type="dxa"/>
            <w:vAlign w:val="center"/>
          </w:tcPr>
          <w:p w14:paraId="07122316" w14:textId="77777777" w:rsidR="00AF3CA7" w:rsidRPr="00AF3CA7" w:rsidRDefault="00AF3CA7" w:rsidP="00AF3CA7">
            <w:pPr>
              <w:pStyle w:val="Tabletext"/>
              <w:jc w:val="center"/>
              <w:rPr>
                <w:sz w:val="24"/>
                <w:szCs w:val="24"/>
              </w:rPr>
            </w:pPr>
            <w:r w:rsidRPr="00AF3CA7">
              <w:rPr>
                <w:sz w:val="24"/>
                <w:szCs w:val="24"/>
              </w:rPr>
              <w:t>None</w:t>
            </w:r>
          </w:p>
        </w:tc>
        <w:tc>
          <w:tcPr>
            <w:tcW w:w="1984" w:type="dxa"/>
            <w:shd w:val="clear" w:color="auto" w:fill="FFFFFF"/>
          </w:tcPr>
          <w:p w14:paraId="5DD8B617" w14:textId="77777777" w:rsidR="00AF3CA7" w:rsidRPr="00AF3CA7" w:rsidRDefault="00AF3CA7" w:rsidP="00AF3CA7">
            <w:pPr>
              <w:pStyle w:val="Tabletext"/>
              <w:keepNext/>
              <w:keepLines/>
              <w:widowControl w:val="0"/>
              <w:jc w:val="center"/>
              <w:rPr>
                <w:sz w:val="24"/>
                <w:szCs w:val="24"/>
              </w:rPr>
            </w:pPr>
          </w:p>
        </w:tc>
        <w:tc>
          <w:tcPr>
            <w:tcW w:w="6804" w:type="dxa"/>
            <w:shd w:val="clear" w:color="auto" w:fill="FFFFFF"/>
          </w:tcPr>
          <w:p w14:paraId="5DCE8BE9" w14:textId="77777777" w:rsidR="00AF3CA7" w:rsidRPr="00AF3CA7" w:rsidRDefault="00AF3CA7" w:rsidP="00AF3CA7">
            <w:pPr>
              <w:pStyle w:val="Tabletext"/>
              <w:keepNext/>
              <w:keepLines/>
              <w:rPr>
                <w:sz w:val="24"/>
                <w:szCs w:val="24"/>
              </w:rPr>
            </w:pPr>
          </w:p>
        </w:tc>
      </w:tr>
    </w:tbl>
    <w:p w14:paraId="6E60FAED" w14:textId="77777777" w:rsidR="00B0022E" w:rsidRPr="00055F0A" w:rsidRDefault="00D12115">
      <w:pPr>
        <w:spacing w:before="240" w:after="120"/>
        <w:rPr>
          <w:b/>
          <w:lang w:eastAsia="zh-CN"/>
        </w:rPr>
      </w:pPr>
      <w:r w:rsidRPr="00055F0A">
        <w:rPr>
          <w:b/>
          <w:lang w:eastAsia="zh-CN"/>
        </w:rPr>
        <w:t>1.2.4</w:t>
      </w:r>
      <w:r w:rsidRPr="00055F0A">
        <w:rPr>
          <w:b/>
          <w:lang w:eastAsia="zh-CN"/>
        </w:rPr>
        <w:tab/>
        <w:t>Recommendations consented (in AAP Last Call)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6520"/>
      </w:tblGrid>
      <w:tr w:rsidR="00B0022E" w:rsidRPr="00055F0A" w14:paraId="4644A091" w14:textId="77777777" w:rsidTr="00052697">
        <w:trPr>
          <w:cantSplit/>
          <w:tblHeader/>
        </w:trPr>
        <w:tc>
          <w:tcPr>
            <w:tcW w:w="851" w:type="dxa"/>
            <w:shd w:val="clear" w:color="auto" w:fill="D9D9D9"/>
          </w:tcPr>
          <w:p w14:paraId="198759D3" w14:textId="77777777" w:rsidR="00B0022E" w:rsidRPr="00055F0A" w:rsidRDefault="00D12115">
            <w:pPr>
              <w:spacing w:before="40" w:after="40"/>
              <w:jc w:val="center"/>
              <w:rPr>
                <w:b/>
                <w:bCs/>
                <w:color w:val="000000"/>
                <w:sz w:val="22"/>
                <w:szCs w:val="22"/>
              </w:rPr>
            </w:pPr>
            <w:r w:rsidRPr="00055F0A">
              <w:rPr>
                <w:b/>
                <w:bCs/>
                <w:color w:val="000000"/>
                <w:sz w:val="22"/>
                <w:szCs w:val="22"/>
              </w:rPr>
              <w:t>SG</w:t>
            </w:r>
          </w:p>
        </w:tc>
        <w:tc>
          <w:tcPr>
            <w:tcW w:w="2268" w:type="dxa"/>
            <w:shd w:val="clear" w:color="auto" w:fill="D9D9D9"/>
          </w:tcPr>
          <w:p w14:paraId="788DB3B7" w14:textId="77777777" w:rsidR="00B0022E" w:rsidRPr="00055F0A" w:rsidRDefault="00D12115" w:rsidP="00BD2D65">
            <w:pPr>
              <w:spacing w:before="40" w:after="40"/>
              <w:jc w:val="center"/>
              <w:rPr>
                <w:color w:val="000000"/>
                <w:sz w:val="22"/>
                <w:szCs w:val="22"/>
              </w:rPr>
            </w:pPr>
            <w:r w:rsidRPr="00055F0A">
              <w:rPr>
                <w:b/>
                <w:bCs/>
                <w:color w:val="000000"/>
                <w:sz w:val="22"/>
                <w:szCs w:val="22"/>
              </w:rPr>
              <w:t>No</w:t>
            </w:r>
          </w:p>
        </w:tc>
        <w:tc>
          <w:tcPr>
            <w:tcW w:w="6520" w:type="dxa"/>
            <w:shd w:val="clear" w:color="auto" w:fill="D9D9D9"/>
          </w:tcPr>
          <w:p w14:paraId="6F3458EE" w14:textId="77777777" w:rsidR="00B0022E" w:rsidRPr="00055F0A" w:rsidRDefault="00D12115">
            <w:pPr>
              <w:spacing w:before="40" w:after="40"/>
              <w:jc w:val="center"/>
              <w:rPr>
                <w:color w:val="000000"/>
                <w:sz w:val="22"/>
                <w:szCs w:val="22"/>
              </w:rPr>
            </w:pPr>
            <w:r w:rsidRPr="00055F0A">
              <w:rPr>
                <w:b/>
                <w:bCs/>
                <w:color w:val="000000"/>
                <w:sz w:val="22"/>
                <w:szCs w:val="22"/>
              </w:rPr>
              <w:t>Title</w:t>
            </w:r>
          </w:p>
        </w:tc>
      </w:tr>
      <w:tr w:rsidR="00BD2D65" w:rsidRPr="00055F0A" w14:paraId="7FC4435B" w14:textId="77777777" w:rsidTr="00CE080F">
        <w:tblPrEx>
          <w:tblCellMar>
            <w:top w:w="29" w:type="dxa"/>
            <w:left w:w="115" w:type="dxa"/>
            <w:bottom w:w="29" w:type="dxa"/>
            <w:right w:w="115" w:type="dxa"/>
          </w:tblCellMar>
        </w:tblPrEx>
        <w:trPr>
          <w:cantSplit/>
        </w:trPr>
        <w:tc>
          <w:tcPr>
            <w:tcW w:w="851" w:type="dxa"/>
            <w:vAlign w:val="center"/>
          </w:tcPr>
          <w:p w14:paraId="51D0A920" w14:textId="4906DC29" w:rsidR="00BD2D65" w:rsidRPr="00052697" w:rsidRDefault="00BD2D65" w:rsidP="00BD2D65">
            <w:pPr>
              <w:spacing w:before="40" w:after="40"/>
              <w:jc w:val="center"/>
              <w:rPr>
                <w:rFonts w:eastAsia="MS Mincho"/>
              </w:rPr>
            </w:pPr>
            <w:r>
              <w:rPr>
                <w:rFonts w:eastAsia="Times New Roman"/>
                <w:sz w:val="22"/>
                <w:szCs w:val="22"/>
              </w:rPr>
              <w:t>5</w:t>
            </w:r>
          </w:p>
        </w:tc>
        <w:tc>
          <w:tcPr>
            <w:tcW w:w="2268" w:type="dxa"/>
            <w:shd w:val="clear" w:color="auto" w:fill="FFFFFF"/>
            <w:vAlign w:val="center"/>
          </w:tcPr>
          <w:p w14:paraId="4CF51148" w14:textId="4C0DF16D" w:rsidR="00BD2D65" w:rsidRPr="00052697" w:rsidRDefault="00BD2D65" w:rsidP="00BD2D65">
            <w:pPr>
              <w:spacing w:before="40" w:after="40" w:line="240" w:lineRule="atLeast"/>
              <w:jc w:val="center"/>
              <w:rPr>
                <w:rFonts w:eastAsia="MS Mincho"/>
                <w:lang w:val="en-US"/>
              </w:rPr>
            </w:pPr>
            <w:r>
              <w:rPr>
                <w:rFonts w:eastAsia="Times New Roman"/>
                <w:sz w:val="22"/>
                <w:szCs w:val="22"/>
              </w:rPr>
              <w:t>L.1033</w:t>
            </w:r>
          </w:p>
        </w:tc>
        <w:tc>
          <w:tcPr>
            <w:tcW w:w="6520" w:type="dxa"/>
            <w:shd w:val="clear" w:color="auto" w:fill="FFFFFF"/>
          </w:tcPr>
          <w:p w14:paraId="70A4DD22" w14:textId="1D6265E7" w:rsidR="00BD2D65" w:rsidRPr="00052697" w:rsidRDefault="00BD2D65" w:rsidP="00BD2D65">
            <w:pPr>
              <w:spacing w:before="40" w:after="40" w:line="240" w:lineRule="atLeast"/>
              <w:rPr>
                <w:rFonts w:eastAsia="MS Mincho"/>
              </w:rPr>
            </w:pPr>
            <w:r w:rsidRPr="00BD2D65">
              <w:rPr>
                <w:rFonts w:eastAsia="Times New Roman"/>
                <w:sz w:val="22"/>
                <w:szCs w:val="22"/>
              </w:rPr>
              <w:t>Guidance for institutions of higher learning to contribute in the effective life cycle management of e-equipment and e-waste</w:t>
            </w:r>
          </w:p>
        </w:tc>
      </w:tr>
      <w:tr w:rsidR="00BD2D65" w:rsidRPr="00055F0A" w14:paraId="5981EC89" w14:textId="77777777" w:rsidTr="00CE080F">
        <w:tblPrEx>
          <w:tblCellMar>
            <w:top w:w="29" w:type="dxa"/>
            <w:left w:w="115" w:type="dxa"/>
            <w:bottom w:w="29" w:type="dxa"/>
            <w:right w:w="115" w:type="dxa"/>
          </w:tblCellMar>
        </w:tblPrEx>
        <w:trPr>
          <w:cantSplit/>
        </w:trPr>
        <w:tc>
          <w:tcPr>
            <w:tcW w:w="851" w:type="dxa"/>
            <w:vAlign w:val="center"/>
          </w:tcPr>
          <w:p w14:paraId="67025034" w14:textId="0232D462" w:rsidR="00BD2D65" w:rsidRDefault="00BD2D65" w:rsidP="00BD2D65">
            <w:pPr>
              <w:spacing w:before="40" w:after="40"/>
              <w:jc w:val="center"/>
              <w:rPr>
                <w:rFonts w:eastAsia="Times New Roman"/>
                <w:sz w:val="22"/>
                <w:szCs w:val="22"/>
              </w:rPr>
            </w:pPr>
            <w:r>
              <w:rPr>
                <w:rFonts w:eastAsia="Times New Roman"/>
                <w:sz w:val="22"/>
                <w:szCs w:val="22"/>
              </w:rPr>
              <w:t>5</w:t>
            </w:r>
          </w:p>
        </w:tc>
        <w:tc>
          <w:tcPr>
            <w:tcW w:w="2268" w:type="dxa"/>
            <w:shd w:val="clear" w:color="auto" w:fill="FFFFFF"/>
            <w:vAlign w:val="center"/>
          </w:tcPr>
          <w:p w14:paraId="5ECBC54A" w14:textId="1B727DF7" w:rsidR="00BD2D65" w:rsidRDefault="00BD2D65" w:rsidP="00BD2D65">
            <w:pPr>
              <w:spacing w:before="40" w:after="40" w:line="240" w:lineRule="atLeast"/>
              <w:jc w:val="center"/>
              <w:rPr>
                <w:rFonts w:eastAsia="Times New Roman"/>
                <w:sz w:val="22"/>
                <w:szCs w:val="22"/>
              </w:rPr>
            </w:pPr>
            <w:r>
              <w:rPr>
                <w:rFonts w:eastAsia="Times New Roman"/>
                <w:sz w:val="22"/>
                <w:szCs w:val="22"/>
              </w:rPr>
              <w:t>L.1050</w:t>
            </w:r>
          </w:p>
        </w:tc>
        <w:tc>
          <w:tcPr>
            <w:tcW w:w="6520" w:type="dxa"/>
            <w:shd w:val="clear" w:color="auto" w:fill="FFFFFF"/>
          </w:tcPr>
          <w:p w14:paraId="4A5C7F06" w14:textId="5A9599F0" w:rsidR="00BD2D65" w:rsidRPr="00BD2D65" w:rsidRDefault="00BD2D65" w:rsidP="00BD2D65">
            <w:pPr>
              <w:spacing w:before="40" w:after="40" w:line="240" w:lineRule="atLeast"/>
              <w:rPr>
                <w:rFonts w:eastAsia="Times New Roman"/>
                <w:sz w:val="22"/>
                <w:szCs w:val="22"/>
              </w:rPr>
            </w:pPr>
            <w:r w:rsidRPr="00BD2D65">
              <w:rPr>
                <w:rFonts w:eastAsia="Times New Roman"/>
                <w:sz w:val="22"/>
                <w:szCs w:val="22"/>
              </w:rPr>
              <w:t>Methodology to identify the key equipment in order to assess the environmental impact and e-waste generation of different network architectures</w:t>
            </w:r>
          </w:p>
        </w:tc>
      </w:tr>
      <w:tr w:rsidR="00BD2D65" w:rsidRPr="00055F0A" w14:paraId="18D3C812" w14:textId="77777777" w:rsidTr="00CE080F">
        <w:tblPrEx>
          <w:tblCellMar>
            <w:top w:w="29" w:type="dxa"/>
            <w:left w:w="115" w:type="dxa"/>
            <w:bottom w:w="29" w:type="dxa"/>
            <w:right w:w="115" w:type="dxa"/>
          </w:tblCellMar>
        </w:tblPrEx>
        <w:trPr>
          <w:cantSplit/>
        </w:trPr>
        <w:tc>
          <w:tcPr>
            <w:tcW w:w="851" w:type="dxa"/>
            <w:vAlign w:val="center"/>
          </w:tcPr>
          <w:p w14:paraId="4A42E79C" w14:textId="0FAF0973" w:rsidR="00BD2D65" w:rsidRDefault="00BD2D65" w:rsidP="00BD2D65">
            <w:pPr>
              <w:spacing w:before="40" w:after="40"/>
              <w:jc w:val="center"/>
              <w:rPr>
                <w:rFonts w:eastAsia="Times New Roman"/>
                <w:sz w:val="22"/>
                <w:szCs w:val="22"/>
              </w:rPr>
            </w:pPr>
            <w:r>
              <w:rPr>
                <w:rFonts w:eastAsia="Times New Roman"/>
                <w:sz w:val="22"/>
                <w:szCs w:val="22"/>
              </w:rPr>
              <w:t>5</w:t>
            </w:r>
          </w:p>
        </w:tc>
        <w:tc>
          <w:tcPr>
            <w:tcW w:w="2268" w:type="dxa"/>
            <w:shd w:val="clear" w:color="auto" w:fill="FFFFFF"/>
            <w:vAlign w:val="center"/>
          </w:tcPr>
          <w:p w14:paraId="03BC1794" w14:textId="1370DD4B" w:rsidR="00BD2D65" w:rsidRDefault="00BD2D65" w:rsidP="00BD2D65">
            <w:pPr>
              <w:spacing w:before="40" w:after="40" w:line="240" w:lineRule="atLeast"/>
              <w:jc w:val="center"/>
              <w:rPr>
                <w:rFonts w:eastAsia="Times New Roman"/>
                <w:sz w:val="22"/>
                <w:szCs w:val="22"/>
              </w:rPr>
            </w:pPr>
            <w:r>
              <w:rPr>
                <w:rFonts w:eastAsia="Times New Roman"/>
                <w:sz w:val="22"/>
                <w:szCs w:val="22"/>
              </w:rPr>
              <w:t>L.1317</w:t>
            </w:r>
          </w:p>
        </w:tc>
        <w:tc>
          <w:tcPr>
            <w:tcW w:w="6520" w:type="dxa"/>
            <w:shd w:val="clear" w:color="auto" w:fill="FFFFFF"/>
          </w:tcPr>
          <w:p w14:paraId="61E13C51" w14:textId="708DEB04" w:rsidR="00BD2D65" w:rsidRPr="00BD2D65" w:rsidRDefault="00BD2D65" w:rsidP="00BD2D65">
            <w:pPr>
              <w:spacing w:before="40" w:after="40" w:line="240" w:lineRule="atLeast"/>
              <w:rPr>
                <w:rFonts w:eastAsia="Times New Roman"/>
                <w:sz w:val="22"/>
                <w:szCs w:val="22"/>
              </w:rPr>
            </w:pPr>
            <w:r w:rsidRPr="00BD2D65">
              <w:rPr>
                <w:rFonts w:eastAsia="Times New Roman"/>
                <w:sz w:val="22"/>
                <w:szCs w:val="22"/>
              </w:rPr>
              <w:t xml:space="preserve">Guidelines on energy efficient </w:t>
            </w:r>
            <w:proofErr w:type="spellStart"/>
            <w:r w:rsidRPr="00BD2D65">
              <w:rPr>
                <w:rFonts w:eastAsia="Times New Roman"/>
                <w:sz w:val="22"/>
                <w:szCs w:val="22"/>
              </w:rPr>
              <w:t>blockchain</w:t>
            </w:r>
            <w:proofErr w:type="spellEnd"/>
            <w:r w:rsidRPr="00BD2D65">
              <w:rPr>
                <w:rFonts w:eastAsia="Times New Roman"/>
                <w:sz w:val="22"/>
                <w:szCs w:val="22"/>
              </w:rPr>
              <w:t xml:space="preserve"> systems</w:t>
            </w:r>
          </w:p>
        </w:tc>
      </w:tr>
    </w:tbl>
    <w:p w14:paraId="7C951057" w14:textId="77777777" w:rsidR="00B0022E" w:rsidRPr="00055F0A" w:rsidRDefault="00397D8B">
      <w:pPr>
        <w:tabs>
          <w:tab w:val="left" w:pos="794"/>
          <w:tab w:val="left" w:pos="1191"/>
          <w:tab w:val="left" w:pos="1588"/>
          <w:tab w:val="left" w:pos="1985"/>
        </w:tabs>
        <w:spacing w:before="240" w:after="240"/>
        <w:jc w:val="center"/>
      </w:pPr>
      <w:r w:rsidRPr="00055F0A">
        <w:t>___________________</w:t>
      </w:r>
      <w:r w:rsidR="00FD157A" w:rsidRPr="00055F0A">
        <w:t>_</w:t>
      </w:r>
      <w:bookmarkEnd w:id="12"/>
    </w:p>
    <w:sectPr w:rsidR="00B0022E" w:rsidRPr="00055F0A" w:rsidSect="0072722A">
      <w:headerReference w:type="default" r:id="rId54"/>
      <w:pgSz w:w="11907" w:h="16840"/>
      <w:pgMar w:top="1417" w:right="1134"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5E9DD" w14:textId="77777777" w:rsidR="007347F6" w:rsidRDefault="007347F6">
      <w:pPr>
        <w:spacing w:before="0"/>
      </w:pPr>
      <w:r>
        <w:separator/>
      </w:r>
    </w:p>
  </w:endnote>
  <w:endnote w:type="continuationSeparator" w:id="0">
    <w:p w14:paraId="6EE5F50A" w14:textId="77777777" w:rsidR="007347F6" w:rsidRDefault="007347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UI"/>
    <w:panose1 w:val="00000000000000000000"/>
    <w:charset w:val="80"/>
    <w:family w:val="auto"/>
    <w:notTrueType/>
    <w:pitch w:val="variable"/>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A5041" w14:textId="77777777" w:rsidR="007347F6" w:rsidRDefault="007347F6">
      <w:pPr>
        <w:spacing w:before="0"/>
      </w:pPr>
      <w:r>
        <w:separator/>
      </w:r>
    </w:p>
  </w:footnote>
  <w:footnote w:type="continuationSeparator" w:id="0">
    <w:p w14:paraId="7314591F" w14:textId="77777777" w:rsidR="007347F6" w:rsidRDefault="007347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3688E" w14:textId="3650A26A" w:rsidR="00995501" w:rsidRPr="002D344A" w:rsidRDefault="00995501" w:rsidP="00052697">
    <w:pPr>
      <w:pStyle w:val="Header"/>
      <w:rPr>
        <w:sz w:val="18"/>
        <w:szCs w:val="18"/>
      </w:rPr>
    </w:pPr>
    <w:r w:rsidRPr="002D344A">
      <w:rPr>
        <w:sz w:val="18"/>
        <w:szCs w:val="18"/>
      </w:rPr>
      <w:t xml:space="preserve">- </w:t>
    </w:r>
    <w:r w:rsidRPr="002D344A">
      <w:rPr>
        <w:sz w:val="18"/>
        <w:szCs w:val="18"/>
      </w:rPr>
      <w:fldChar w:fldCharType="begin"/>
    </w:r>
    <w:r w:rsidRPr="002D344A">
      <w:rPr>
        <w:sz w:val="18"/>
        <w:szCs w:val="18"/>
      </w:rPr>
      <w:instrText xml:space="preserve"> PAGE   \* MERGEFORMAT </w:instrText>
    </w:r>
    <w:r w:rsidRPr="002D344A">
      <w:rPr>
        <w:sz w:val="18"/>
        <w:szCs w:val="18"/>
      </w:rPr>
      <w:fldChar w:fldCharType="separate"/>
    </w:r>
    <w:r w:rsidR="004A2A82">
      <w:rPr>
        <w:noProof/>
        <w:sz w:val="18"/>
        <w:szCs w:val="18"/>
      </w:rPr>
      <w:t>3</w:t>
    </w:r>
    <w:r w:rsidRPr="002D344A">
      <w:rPr>
        <w:noProof/>
        <w:sz w:val="18"/>
        <w:szCs w:val="18"/>
      </w:rPr>
      <w:fldChar w:fldCharType="end"/>
    </w:r>
    <w:r w:rsidRPr="002D344A">
      <w:rPr>
        <w:noProof/>
        <w:sz w:val="18"/>
        <w:szCs w:val="18"/>
      </w:rPr>
      <w:t xml:space="preserve"> -</w:t>
    </w:r>
    <w:r w:rsidRPr="002D344A">
      <w:rPr>
        <w:noProof/>
        <w:sz w:val="18"/>
        <w:szCs w:val="18"/>
      </w:rPr>
      <w:br/>
    </w:r>
    <w:r w:rsidR="002D344A" w:rsidRPr="002D344A">
      <w:rPr>
        <w:bCs/>
        <w:sz w:val="18"/>
        <w:szCs w:val="18"/>
      </w:rPr>
      <w:t>TSAG-TD1041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C72"/>
    <w:multiLevelType w:val="multilevel"/>
    <w:tmpl w:val="CDFCF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63689"/>
    <w:multiLevelType w:val="hybridMultilevel"/>
    <w:tmpl w:val="312826E2"/>
    <w:lvl w:ilvl="0" w:tplc="52085D1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612036"/>
    <w:multiLevelType w:val="multilevel"/>
    <w:tmpl w:val="CCB0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D54CF"/>
    <w:multiLevelType w:val="multilevel"/>
    <w:tmpl w:val="AF6A125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color w:val="auto"/>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AAA04C3"/>
    <w:multiLevelType w:val="hybridMultilevel"/>
    <w:tmpl w:val="EF9A7C40"/>
    <w:lvl w:ilvl="0" w:tplc="6550207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B05216F"/>
    <w:multiLevelType w:val="hybridMultilevel"/>
    <w:tmpl w:val="890AB816"/>
    <w:lvl w:ilvl="0" w:tplc="544443E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307A94"/>
    <w:multiLevelType w:val="hybridMultilevel"/>
    <w:tmpl w:val="5C26B6A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76A8D"/>
    <w:multiLevelType w:val="multilevel"/>
    <w:tmpl w:val="13BC5436"/>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B86905"/>
    <w:multiLevelType w:val="multilevel"/>
    <w:tmpl w:val="47D4EA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575B02"/>
    <w:multiLevelType w:val="hybridMultilevel"/>
    <w:tmpl w:val="64E293A0"/>
    <w:lvl w:ilvl="0" w:tplc="43B61CF4">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93B86"/>
    <w:multiLevelType w:val="multilevel"/>
    <w:tmpl w:val="66647012"/>
    <w:lvl w:ilvl="0">
      <w:start w:val="1"/>
      <w:numFmt w:val="bullet"/>
      <w:lvlText w:val="–"/>
      <w:lvlJc w:val="left"/>
      <w:pPr>
        <w:ind w:left="1083" w:hanging="360"/>
      </w:pPr>
      <w:rPr>
        <w:rFonts w:ascii="Times New Roman" w:hAnsi="Times New Roman" w:cs="Times New Roman" w:hint="default"/>
        <w:color w:val="auto"/>
      </w:rPr>
    </w:lvl>
    <w:lvl w:ilvl="1">
      <w:start w:val="1"/>
      <w:numFmt w:val="bullet"/>
      <w:lvlText w:val="o"/>
      <w:lvlJc w:val="left"/>
      <w:pPr>
        <w:ind w:left="1803" w:hanging="360"/>
      </w:pPr>
      <w:rPr>
        <w:rFonts w:ascii="Courier New" w:hAnsi="Courier New" w:cs="Courier New" w:hint="default"/>
        <w:color w:val="auto"/>
      </w:rPr>
    </w:lvl>
    <w:lvl w:ilvl="2">
      <w:start w:val="1"/>
      <w:numFmt w:val="bullet"/>
      <w:lvlText w:val=""/>
      <w:lvlJc w:val="left"/>
      <w:pPr>
        <w:ind w:left="2523" w:hanging="360"/>
      </w:pPr>
      <w:rPr>
        <w:rFonts w:ascii="Wingdings" w:hAnsi="Wingdings" w:hint="default"/>
      </w:rPr>
    </w:lvl>
    <w:lvl w:ilvl="3">
      <w:start w:val="1"/>
      <w:numFmt w:val="bullet"/>
      <w:lvlText w:val=""/>
      <w:lvlJc w:val="left"/>
      <w:pPr>
        <w:ind w:left="3243" w:hanging="360"/>
      </w:pPr>
      <w:rPr>
        <w:rFonts w:ascii="Symbol" w:hAnsi="Symbol" w:hint="default"/>
        <w:color w:val="auto"/>
      </w:rPr>
    </w:lvl>
    <w:lvl w:ilvl="4">
      <w:start w:val="1"/>
      <w:numFmt w:val="bullet"/>
      <w:lvlText w:val="o"/>
      <w:lvlJc w:val="left"/>
      <w:pPr>
        <w:ind w:left="3963" w:hanging="360"/>
      </w:pPr>
      <w:rPr>
        <w:rFonts w:ascii="Courier New" w:hAnsi="Courier New" w:cs="Courier New" w:hint="default"/>
      </w:rPr>
    </w:lvl>
    <w:lvl w:ilvl="5">
      <w:start w:val="1"/>
      <w:numFmt w:val="bullet"/>
      <w:lvlText w:val=""/>
      <w:lvlJc w:val="left"/>
      <w:pPr>
        <w:ind w:left="4683" w:hanging="360"/>
      </w:pPr>
      <w:rPr>
        <w:rFonts w:ascii="Wingdings" w:hAnsi="Wingdings" w:hint="default"/>
      </w:rPr>
    </w:lvl>
    <w:lvl w:ilvl="6">
      <w:start w:val="1"/>
      <w:numFmt w:val="bullet"/>
      <w:lvlText w:val=""/>
      <w:lvlJc w:val="left"/>
      <w:pPr>
        <w:ind w:left="5403" w:hanging="360"/>
      </w:pPr>
      <w:rPr>
        <w:rFonts w:ascii="Symbol" w:hAnsi="Symbol" w:hint="default"/>
      </w:rPr>
    </w:lvl>
    <w:lvl w:ilvl="7">
      <w:start w:val="1"/>
      <w:numFmt w:val="bullet"/>
      <w:lvlText w:val="o"/>
      <w:lvlJc w:val="left"/>
      <w:pPr>
        <w:ind w:left="6123" w:hanging="360"/>
      </w:pPr>
      <w:rPr>
        <w:rFonts w:ascii="Courier New" w:hAnsi="Courier New" w:cs="Courier New" w:hint="default"/>
      </w:rPr>
    </w:lvl>
    <w:lvl w:ilvl="8">
      <w:start w:val="1"/>
      <w:numFmt w:val="bullet"/>
      <w:lvlText w:val=""/>
      <w:lvlJc w:val="left"/>
      <w:pPr>
        <w:ind w:left="6843" w:hanging="360"/>
      </w:pPr>
      <w:rPr>
        <w:rFonts w:ascii="Wingdings" w:hAnsi="Wingdings" w:hint="default"/>
      </w:rPr>
    </w:lvl>
  </w:abstractNum>
  <w:abstractNum w:abstractNumId="11" w15:restartNumberingAfterBreak="0">
    <w:nsid w:val="3E5205A6"/>
    <w:multiLevelType w:val="hybridMultilevel"/>
    <w:tmpl w:val="D7102582"/>
    <w:lvl w:ilvl="0" w:tplc="F1D657A8">
      <w:start w:val="1"/>
      <w:numFmt w:val="bullet"/>
      <w:lvlText w:val=""/>
      <w:lvlJc w:val="left"/>
      <w:pPr>
        <w:ind w:left="360" w:hanging="360"/>
      </w:pPr>
      <w:rPr>
        <w:rFonts w:ascii="Symbol" w:hAnsi="Symbol" w:hint="default"/>
        <w:color w:val="auto"/>
      </w:rPr>
    </w:lvl>
    <w:lvl w:ilvl="1" w:tplc="E5FA3FE6">
      <w:start w:val="1"/>
      <w:numFmt w:val="bullet"/>
      <w:lvlText w:val="o"/>
      <w:lvlJc w:val="left"/>
      <w:pPr>
        <w:ind w:left="1080" w:hanging="360"/>
      </w:pPr>
      <w:rPr>
        <w:rFonts w:ascii="Courier New" w:hAnsi="Courier New" w:cs="Courier New" w:hint="default"/>
        <w:color w:val="auto"/>
      </w:rPr>
    </w:lvl>
    <w:lvl w:ilvl="2" w:tplc="74ECF662">
      <w:start w:val="1"/>
      <w:numFmt w:val="bullet"/>
      <w:lvlText w:val=""/>
      <w:lvlJc w:val="left"/>
      <w:pPr>
        <w:ind w:left="1800" w:hanging="360"/>
      </w:pPr>
      <w:rPr>
        <w:rFonts w:ascii="Wingdings" w:hAnsi="Wingdings" w:hint="default"/>
        <w:color w:val="auto"/>
      </w:rPr>
    </w:lvl>
    <w:lvl w:ilvl="3" w:tplc="18B43516">
      <w:start w:val="1"/>
      <w:numFmt w:val="bullet"/>
      <w:lvlText w:val=""/>
      <w:lvlJc w:val="left"/>
      <w:pPr>
        <w:ind w:left="2520" w:hanging="360"/>
      </w:pPr>
      <w:rPr>
        <w:rFonts w:ascii="Symbol" w:hAnsi="Symbol" w:hint="default"/>
        <w:color w:val="auto"/>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7070D01"/>
    <w:multiLevelType w:val="hybridMultilevel"/>
    <w:tmpl w:val="16064D4A"/>
    <w:lvl w:ilvl="0" w:tplc="2E1AE74E">
      <w:start w:val="39"/>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CF757CC"/>
    <w:multiLevelType w:val="multilevel"/>
    <w:tmpl w:val="13BC5436"/>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3909E3"/>
    <w:multiLevelType w:val="hybridMultilevel"/>
    <w:tmpl w:val="FA5C23A6"/>
    <w:lvl w:ilvl="0" w:tplc="23E8C7BC">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8013E"/>
    <w:multiLevelType w:val="hybridMultilevel"/>
    <w:tmpl w:val="56DED2C6"/>
    <w:lvl w:ilvl="0" w:tplc="2E1AE74E">
      <w:start w:val="39"/>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80488"/>
    <w:multiLevelType w:val="multilevel"/>
    <w:tmpl w:val="5AB80488"/>
    <w:lvl w:ilvl="0">
      <w:start w:val="1"/>
      <w:numFmt w:val="bullet"/>
      <w:lvlText w:val="–"/>
      <w:lvlJc w:val="left"/>
      <w:pPr>
        <w:ind w:left="780" w:hanging="360"/>
      </w:pPr>
      <w:rPr>
        <w:rFonts w:ascii="Times New Roman" w:hAnsi="Times New Roman" w:cs="Times New Roman" w:hint="default"/>
        <w:b w:val="0"/>
        <w:bCs/>
        <w:color w:val="auto"/>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5C2A1027"/>
    <w:multiLevelType w:val="hybridMultilevel"/>
    <w:tmpl w:val="AB8A39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73706D"/>
    <w:multiLevelType w:val="hybridMultilevel"/>
    <w:tmpl w:val="539013BC"/>
    <w:lvl w:ilvl="0" w:tplc="544443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20498"/>
    <w:multiLevelType w:val="multilevel"/>
    <w:tmpl w:val="74220498"/>
    <w:lvl w:ilvl="0">
      <w:start w:val="1"/>
      <w:numFmt w:val="bullet"/>
      <w:lvlText w:val="–"/>
      <w:lvlJc w:val="left"/>
      <w:pPr>
        <w:ind w:left="782" w:hanging="360"/>
      </w:pPr>
      <w:rPr>
        <w:rFonts w:ascii="Times New Roman" w:hAnsi="Times New Roman" w:cs="Times New Roman" w:hint="default"/>
        <w:color w:val="auto"/>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0" w15:restartNumberingAfterBreak="0">
    <w:nsid w:val="7FE4225C"/>
    <w:multiLevelType w:val="hybridMultilevel"/>
    <w:tmpl w:val="306E651C"/>
    <w:lvl w:ilvl="0" w:tplc="F6A6CB48">
      <w:start w:val="19"/>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9"/>
  </w:num>
  <w:num w:numId="4">
    <w:abstractNumId w:val="16"/>
  </w:num>
  <w:num w:numId="5">
    <w:abstractNumId w:val="0"/>
  </w:num>
  <w:num w:numId="6">
    <w:abstractNumId w:val="7"/>
  </w:num>
  <w:num w:numId="7">
    <w:abstractNumId w:val="3"/>
  </w:num>
  <w:num w:numId="8">
    <w:abstractNumId w:val="9"/>
  </w:num>
  <w:num w:numId="9">
    <w:abstractNumId w:val="6"/>
  </w:num>
  <w:num w:numId="10">
    <w:abstractNumId w:val="2"/>
  </w:num>
  <w:num w:numId="11">
    <w:abstractNumId w:val="14"/>
  </w:num>
  <w:num w:numId="12">
    <w:abstractNumId w:val="5"/>
  </w:num>
  <w:num w:numId="13">
    <w:abstractNumId w:val="11"/>
  </w:num>
  <w:num w:numId="14">
    <w:abstractNumId w:val="18"/>
  </w:num>
  <w:num w:numId="15">
    <w:abstractNumId w:val="17"/>
  </w:num>
  <w:num w:numId="16">
    <w:abstractNumId w:val="15"/>
  </w:num>
  <w:num w:numId="17">
    <w:abstractNumId w:val="8"/>
  </w:num>
  <w:num w:numId="18">
    <w:abstractNumId w:val="1"/>
  </w:num>
  <w:num w:numId="19">
    <w:abstractNumId w:val="4"/>
  </w:num>
  <w:num w:numId="20">
    <w:abstractNumId w:val="20"/>
  </w:num>
  <w:num w:numId="21">
    <w:abstractNumId w:val="1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2A96"/>
    <w:rsid w:val="00014F69"/>
    <w:rsid w:val="000171DB"/>
    <w:rsid w:val="000235E3"/>
    <w:rsid w:val="00023D9A"/>
    <w:rsid w:val="000253FC"/>
    <w:rsid w:val="0002798F"/>
    <w:rsid w:val="000326F2"/>
    <w:rsid w:val="0003582E"/>
    <w:rsid w:val="0004146D"/>
    <w:rsid w:val="000418C2"/>
    <w:rsid w:val="00043D75"/>
    <w:rsid w:val="0004446D"/>
    <w:rsid w:val="00044A8C"/>
    <w:rsid w:val="000463AA"/>
    <w:rsid w:val="00052697"/>
    <w:rsid w:val="00053826"/>
    <w:rsid w:val="00055266"/>
    <w:rsid w:val="00055F0A"/>
    <w:rsid w:val="00057000"/>
    <w:rsid w:val="000615D4"/>
    <w:rsid w:val="00062240"/>
    <w:rsid w:val="000638E7"/>
    <w:rsid w:val="000640E0"/>
    <w:rsid w:val="00064558"/>
    <w:rsid w:val="000653FF"/>
    <w:rsid w:val="00072380"/>
    <w:rsid w:val="00072FB7"/>
    <w:rsid w:val="00073BB9"/>
    <w:rsid w:val="00074249"/>
    <w:rsid w:val="000743CA"/>
    <w:rsid w:val="00077A05"/>
    <w:rsid w:val="00077B3A"/>
    <w:rsid w:val="00077FD7"/>
    <w:rsid w:val="00084284"/>
    <w:rsid w:val="00086828"/>
    <w:rsid w:val="000906CC"/>
    <w:rsid w:val="00090E17"/>
    <w:rsid w:val="00094C64"/>
    <w:rsid w:val="000966A8"/>
    <w:rsid w:val="0009714A"/>
    <w:rsid w:val="000A0C54"/>
    <w:rsid w:val="000A3BAE"/>
    <w:rsid w:val="000A4E61"/>
    <w:rsid w:val="000A5CA2"/>
    <w:rsid w:val="000A69E1"/>
    <w:rsid w:val="000A6BF6"/>
    <w:rsid w:val="000B456E"/>
    <w:rsid w:val="000B6212"/>
    <w:rsid w:val="000C397B"/>
    <w:rsid w:val="000C6BBA"/>
    <w:rsid w:val="000D19E2"/>
    <w:rsid w:val="000D1D65"/>
    <w:rsid w:val="000E3821"/>
    <w:rsid w:val="000E6125"/>
    <w:rsid w:val="000F324B"/>
    <w:rsid w:val="000F5A31"/>
    <w:rsid w:val="001043D8"/>
    <w:rsid w:val="0010538C"/>
    <w:rsid w:val="00105FA9"/>
    <w:rsid w:val="00111025"/>
    <w:rsid w:val="00113DBE"/>
    <w:rsid w:val="001200A6"/>
    <w:rsid w:val="001217E9"/>
    <w:rsid w:val="00124A40"/>
    <w:rsid w:val="001251DA"/>
    <w:rsid w:val="00125432"/>
    <w:rsid w:val="00126D57"/>
    <w:rsid w:val="00134D7B"/>
    <w:rsid w:val="00136DDD"/>
    <w:rsid w:val="0013714A"/>
    <w:rsid w:val="00137F40"/>
    <w:rsid w:val="00144BDF"/>
    <w:rsid w:val="001550EA"/>
    <w:rsid w:val="001559C1"/>
    <w:rsid w:val="00155DDC"/>
    <w:rsid w:val="001566D0"/>
    <w:rsid w:val="00156997"/>
    <w:rsid w:val="00161830"/>
    <w:rsid w:val="00163065"/>
    <w:rsid w:val="00163120"/>
    <w:rsid w:val="00164D80"/>
    <w:rsid w:val="0017385E"/>
    <w:rsid w:val="00182153"/>
    <w:rsid w:val="00182E77"/>
    <w:rsid w:val="00183A64"/>
    <w:rsid w:val="00187091"/>
    <w:rsid w:val="001871EC"/>
    <w:rsid w:val="001A0C32"/>
    <w:rsid w:val="001A1BF0"/>
    <w:rsid w:val="001A1E7C"/>
    <w:rsid w:val="001A20C3"/>
    <w:rsid w:val="001A2139"/>
    <w:rsid w:val="001A670F"/>
    <w:rsid w:val="001A6E3E"/>
    <w:rsid w:val="001B0110"/>
    <w:rsid w:val="001B2391"/>
    <w:rsid w:val="001B2831"/>
    <w:rsid w:val="001B3E57"/>
    <w:rsid w:val="001B6A45"/>
    <w:rsid w:val="001C297E"/>
    <w:rsid w:val="001C3FD7"/>
    <w:rsid w:val="001C40BE"/>
    <w:rsid w:val="001C4F19"/>
    <w:rsid w:val="001C62B8"/>
    <w:rsid w:val="001C6416"/>
    <w:rsid w:val="001D16A3"/>
    <w:rsid w:val="001D22D8"/>
    <w:rsid w:val="001D35FC"/>
    <w:rsid w:val="001D4213"/>
    <w:rsid w:val="001D4296"/>
    <w:rsid w:val="001D580E"/>
    <w:rsid w:val="001E358D"/>
    <w:rsid w:val="001E7B0E"/>
    <w:rsid w:val="001F141D"/>
    <w:rsid w:val="001F1E4B"/>
    <w:rsid w:val="001F2409"/>
    <w:rsid w:val="001F2AEB"/>
    <w:rsid w:val="001F2FC5"/>
    <w:rsid w:val="00200A06"/>
    <w:rsid w:val="00200A98"/>
    <w:rsid w:val="002016DC"/>
    <w:rsid w:val="00201838"/>
    <w:rsid w:val="00201AFA"/>
    <w:rsid w:val="00202D64"/>
    <w:rsid w:val="002108B2"/>
    <w:rsid w:val="002108BA"/>
    <w:rsid w:val="002136DB"/>
    <w:rsid w:val="00213CCA"/>
    <w:rsid w:val="0021517E"/>
    <w:rsid w:val="002165FC"/>
    <w:rsid w:val="002229F1"/>
    <w:rsid w:val="00222F2A"/>
    <w:rsid w:val="002300CC"/>
    <w:rsid w:val="00232BDA"/>
    <w:rsid w:val="00233F75"/>
    <w:rsid w:val="00234B2E"/>
    <w:rsid w:val="00235C15"/>
    <w:rsid w:val="00236420"/>
    <w:rsid w:val="00240EB1"/>
    <w:rsid w:val="00242786"/>
    <w:rsid w:val="00242FE9"/>
    <w:rsid w:val="00244256"/>
    <w:rsid w:val="00244576"/>
    <w:rsid w:val="0024685F"/>
    <w:rsid w:val="00253DBE"/>
    <w:rsid w:val="00253DC6"/>
    <w:rsid w:val="0025489C"/>
    <w:rsid w:val="002622FA"/>
    <w:rsid w:val="00263518"/>
    <w:rsid w:val="002637E4"/>
    <w:rsid w:val="00267E8F"/>
    <w:rsid w:val="00267EC7"/>
    <w:rsid w:val="0027279C"/>
    <w:rsid w:val="00272C04"/>
    <w:rsid w:val="002759E7"/>
    <w:rsid w:val="00277326"/>
    <w:rsid w:val="002842C4"/>
    <w:rsid w:val="00291FAF"/>
    <w:rsid w:val="002950FA"/>
    <w:rsid w:val="002973EA"/>
    <w:rsid w:val="002A06B8"/>
    <w:rsid w:val="002A11C4"/>
    <w:rsid w:val="002A15AF"/>
    <w:rsid w:val="002A2231"/>
    <w:rsid w:val="002A399B"/>
    <w:rsid w:val="002A6B09"/>
    <w:rsid w:val="002B5B1B"/>
    <w:rsid w:val="002C26C0"/>
    <w:rsid w:val="002C2BC5"/>
    <w:rsid w:val="002C2C4D"/>
    <w:rsid w:val="002C7F21"/>
    <w:rsid w:val="002D344A"/>
    <w:rsid w:val="002D63B1"/>
    <w:rsid w:val="002E0407"/>
    <w:rsid w:val="002E22FD"/>
    <w:rsid w:val="002E3C52"/>
    <w:rsid w:val="002E79CB"/>
    <w:rsid w:val="002F7F55"/>
    <w:rsid w:val="003001C2"/>
    <w:rsid w:val="00303576"/>
    <w:rsid w:val="003048D0"/>
    <w:rsid w:val="0030745F"/>
    <w:rsid w:val="00307DE5"/>
    <w:rsid w:val="00314630"/>
    <w:rsid w:val="0032090A"/>
    <w:rsid w:val="00321CDE"/>
    <w:rsid w:val="00323D78"/>
    <w:rsid w:val="003276F0"/>
    <w:rsid w:val="00333E15"/>
    <w:rsid w:val="003371ED"/>
    <w:rsid w:val="003435A5"/>
    <w:rsid w:val="003449F4"/>
    <w:rsid w:val="00345468"/>
    <w:rsid w:val="003474E1"/>
    <w:rsid w:val="00347860"/>
    <w:rsid w:val="003571BC"/>
    <w:rsid w:val="00357764"/>
    <w:rsid w:val="0036090C"/>
    <w:rsid w:val="00361116"/>
    <w:rsid w:val="003613B4"/>
    <w:rsid w:val="00362562"/>
    <w:rsid w:val="0036424F"/>
    <w:rsid w:val="003660E8"/>
    <w:rsid w:val="00372114"/>
    <w:rsid w:val="0037720D"/>
    <w:rsid w:val="00383605"/>
    <w:rsid w:val="00385C77"/>
    <w:rsid w:val="00385FB5"/>
    <w:rsid w:val="0038715D"/>
    <w:rsid w:val="00394DBF"/>
    <w:rsid w:val="00395134"/>
    <w:rsid w:val="003957A6"/>
    <w:rsid w:val="00396140"/>
    <w:rsid w:val="00396648"/>
    <w:rsid w:val="00397D8B"/>
    <w:rsid w:val="00397FE0"/>
    <w:rsid w:val="003A43EF"/>
    <w:rsid w:val="003A5384"/>
    <w:rsid w:val="003A6A88"/>
    <w:rsid w:val="003A796B"/>
    <w:rsid w:val="003B3764"/>
    <w:rsid w:val="003C304C"/>
    <w:rsid w:val="003C7445"/>
    <w:rsid w:val="003D2A76"/>
    <w:rsid w:val="003D2C18"/>
    <w:rsid w:val="003D31E4"/>
    <w:rsid w:val="003D5E5E"/>
    <w:rsid w:val="003D688B"/>
    <w:rsid w:val="003D6D08"/>
    <w:rsid w:val="003E0E80"/>
    <w:rsid w:val="003E1E32"/>
    <w:rsid w:val="003E39A2"/>
    <w:rsid w:val="003E57AB"/>
    <w:rsid w:val="003E71D8"/>
    <w:rsid w:val="003F24A0"/>
    <w:rsid w:val="003F2BED"/>
    <w:rsid w:val="003F58F6"/>
    <w:rsid w:val="003F5FE1"/>
    <w:rsid w:val="003F60B1"/>
    <w:rsid w:val="003F7B43"/>
    <w:rsid w:val="00400628"/>
    <w:rsid w:val="00400B49"/>
    <w:rsid w:val="00401499"/>
    <w:rsid w:val="00405ABF"/>
    <w:rsid w:val="00406058"/>
    <w:rsid w:val="0041349F"/>
    <w:rsid w:val="0042388D"/>
    <w:rsid w:val="00424843"/>
    <w:rsid w:val="00430728"/>
    <w:rsid w:val="0043492A"/>
    <w:rsid w:val="004367FE"/>
    <w:rsid w:val="00437BC7"/>
    <w:rsid w:val="004421A4"/>
    <w:rsid w:val="00443421"/>
    <w:rsid w:val="00443878"/>
    <w:rsid w:val="004477BD"/>
    <w:rsid w:val="004513D7"/>
    <w:rsid w:val="004539A8"/>
    <w:rsid w:val="00454F5A"/>
    <w:rsid w:val="0046060E"/>
    <w:rsid w:val="00464C7B"/>
    <w:rsid w:val="004670D7"/>
    <w:rsid w:val="00467E11"/>
    <w:rsid w:val="00470391"/>
    <w:rsid w:val="004712CA"/>
    <w:rsid w:val="0047422E"/>
    <w:rsid w:val="00474E80"/>
    <w:rsid w:val="004767BD"/>
    <w:rsid w:val="00481AE3"/>
    <w:rsid w:val="00484A21"/>
    <w:rsid w:val="0048745D"/>
    <w:rsid w:val="0049041E"/>
    <w:rsid w:val="00491DB0"/>
    <w:rsid w:val="00493587"/>
    <w:rsid w:val="0049674B"/>
    <w:rsid w:val="004A2A82"/>
    <w:rsid w:val="004A34AC"/>
    <w:rsid w:val="004A5A4E"/>
    <w:rsid w:val="004B311A"/>
    <w:rsid w:val="004B44A7"/>
    <w:rsid w:val="004C0673"/>
    <w:rsid w:val="004C34D3"/>
    <w:rsid w:val="004C4E4E"/>
    <w:rsid w:val="004E0F36"/>
    <w:rsid w:val="004E56AE"/>
    <w:rsid w:val="004F1D8D"/>
    <w:rsid w:val="004F20AA"/>
    <w:rsid w:val="004F3816"/>
    <w:rsid w:val="00501A4D"/>
    <w:rsid w:val="00502A3B"/>
    <w:rsid w:val="0050586A"/>
    <w:rsid w:val="0051443C"/>
    <w:rsid w:val="0051650C"/>
    <w:rsid w:val="00517AB8"/>
    <w:rsid w:val="00520DBF"/>
    <w:rsid w:val="00521F40"/>
    <w:rsid w:val="005235D8"/>
    <w:rsid w:val="00524802"/>
    <w:rsid w:val="00525997"/>
    <w:rsid w:val="0053169F"/>
    <w:rsid w:val="00543D41"/>
    <w:rsid w:val="00544592"/>
    <w:rsid w:val="0054562B"/>
    <w:rsid w:val="0054713E"/>
    <w:rsid w:val="00552D6B"/>
    <w:rsid w:val="00552DE6"/>
    <w:rsid w:val="00552EE3"/>
    <w:rsid w:val="00553825"/>
    <w:rsid w:val="00561802"/>
    <w:rsid w:val="005621F0"/>
    <w:rsid w:val="00562BA0"/>
    <w:rsid w:val="005645FF"/>
    <w:rsid w:val="00566901"/>
    <w:rsid w:val="00566EDA"/>
    <w:rsid w:val="00567CD7"/>
    <w:rsid w:val="0057081A"/>
    <w:rsid w:val="00572654"/>
    <w:rsid w:val="00575A01"/>
    <w:rsid w:val="0058029A"/>
    <w:rsid w:val="00582025"/>
    <w:rsid w:val="005848F4"/>
    <w:rsid w:val="005867EE"/>
    <w:rsid w:val="00590007"/>
    <w:rsid w:val="00594DF8"/>
    <w:rsid w:val="00595D46"/>
    <w:rsid w:val="005976A1"/>
    <w:rsid w:val="00597AB5"/>
    <w:rsid w:val="005A710C"/>
    <w:rsid w:val="005B3762"/>
    <w:rsid w:val="005B5629"/>
    <w:rsid w:val="005C0300"/>
    <w:rsid w:val="005C05A6"/>
    <w:rsid w:val="005C27A2"/>
    <w:rsid w:val="005C3F50"/>
    <w:rsid w:val="005D2085"/>
    <w:rsid w:val="005D4FEB"/>
    <w:rsid w:val="005D5EAE"/>
    <w:rsid w:val="005E107B"/>
    <w:rsid w:val="005E6135"/>
    <w:rsid w:val="005F1113"/>
    <w:rsid w:val="005F19F9"/>
    <w:rsid w:val="005F3AC1"/>
    <w:rsid w:val="005F4059"/>
    <w:rsid w:val="005F4324"/>
    <w:rsid w:val="005F4B6A"/>
    <w:rsid w:val="00600A11"/>
    <w:rsid w:val="00600C04"/>
    <w:rsid w:val="006010F3"/>
    <w:rsid w:val="00615A0A"/>
    <w:rsid w:val="006202C7"/>
    <w:rsid w:val="00624771"/>
    <w:rsid w:val="00624E76"/>
    <w:rsid w:val="00626673"/>
    <w:rsid w:val="00626686"/>
    <w:rsid w:val="006266F2"/>
    <w:rsid w:val="006279B8"/>
    <w:rsid w:val="00632F0C"/>
    <w:rsid w:val="006333D4"/>
    <w:rsid w:val="006369B2"/>
    <w:rsid w:val="0063718D"/>
    <w:rsid w:val="00637FF0"/>
    <w:rsid w:val="00643BE7"/>
    <w:rsid w:val="00644CE7"/>
    <w:rsid w:val="00647525"/>
    <w:rsid w:val="00647A71"/>
    <w:rsid w:val="00652795"/>
    <w:rsid w:val="006570B0"/>
    <w:rsid w:val="006576EE"/>
    <w:rsid w:val="0066019C"/>
    <w:rsid w:val="0066022F"/>
    <w:rsid w:val="00662C11"/>
    <w:rsid w:val="00670D68"/>
    <w:rsid w:val="006779F6"/>
    <w:rsid w:val="0068049C"/>
    <w:rsid w:val="00681C7F"/>
    <w:rsid w:val="006823F3"/>
    <w:rsid w:val="00684E52"/>
    <w:rsid w:val="00684EAE"/>
    <w:rsid w:val="00685874"/>
    <w:rsid w:val="006913DC"/>
    <w:rsid w:val="00692049"/>
    <w:rsid w:val="0069210B"/>
    <w:rsid w:val="00695DD7"/>
    <w:rsid w:val="006A264C"/>
    <w:rsid w:val="006A3BF4"/>
    <w:rsid w:val="006A4055"/>
    <w:rsid w:val="006A5236"/>
    <w:rsid w:val="006A620B"/>
    <w:rsid w:val="006A7C27"/>
    <w:rsid w:val="006B0877"/>
    <w:rsid w:val="006B11DB"/>
    <w:rsid w:val="006B1659"/>
    <w:rsid w:val="006B1D1A"/>
    <w:rsid w:val="006B2FE4"/>
    <w:rsid w:val="006B37B0"/>
    <w:rsid w:val="006B5642"/>
    <w:rsid w:val="006C3976"/>
    <w:rsid w:val="006C5641"/>
    <w:rsid w:val="006C677D"/>
    <w:rsid w:val="006D1089"/>
    <w:rsid w:val="006D1B86"/>
    <w:rsid w:val="006D20F7"/>
    <w:rsid w:val="006D463F"/>
    <w:rsid w:val="006D7355"/>
    <w:rsid w:val="006E5E8D"/>
    <w:rsid w:val="006F4BE9"/>
    <w:rsid w:val="006F5ABE"/>
    <w:rsid w:val="006F5D95"/>
    <w:rsid w:val="006F63B4"/>
    <w:rsid w:val="006F6C23"/>
    <w:rsid w:val="006F725B"/>
    <w:rsid w:val="006F7DEE"/>
    <w:rsid w:val="00701DF0"/>
    <w:rsid w:val="0070219F"/>
    <w:rsid w:val="00704616"/>
    <w:rsid w:val="0070594E"/>
    <w:rsid w:val="00713E72"/>
    <w:rsid w:val="00715CA6"/>
    <w:rsid w:val="0071611D"/>
    <w:rsid w:val="00722687"/>
    <w:rsid w:val="007242DA"/>
    <w:rsid w:val="007264B0"/>
    <w:rsid w:val="0072722A"/>
    <w:rsid w:val="00731135"/>
    <w:rsid w:val="0073245A"/>
    <w:rsid w:val="007324AF"/>
    <w:rsid w:val="007347F6"/>
    <w:rsid w:val="007409B4"/>
    <w:rsid w:val="00741974"/>
    <w:rsid w:val="00743504"/>
    <w:rsid w:val="00746BBA"/>
    <w:rsid w:val="00747902"/>
    <w:rsid w:val="00750C2C"/>
    <w:rsid w:val="00750D4F"/>
    <w:rsid w:val="00752B04"/>
    <w:rsid w:val="00753EB9"/>
    <w:rsid w:val="00754100"/>
    <w:rsid w:val="0075525E"/>
    <w:rsid w:val="007554FD"/>
    <w:rsid w:val="00756D3D"/>
    <w:rsid w:val="00762364"/>
    <w:rsid w:val="0077113E"/>
    <w:rsid w:val="00771418"/>
    <w:rsid w:val="007717F0"/>
    <w:rsid w:val="00772D9D"/>
    <w:rsid w:val="00775EDA"/>
    <w:rsid w:val="00776277"/>
    <w:rsid w:val="007806C2"/>
    <w:rsid w:val="007806E0"/>
    <w:rsid w:val="00781F1A"/>
    <w:rsid w:val="00781FEE"/>
    <w:rsid w:val="007852ED"/>
    <w:rsid w:val="00786D91"/>
    <w:rsid w:val="007903F8"/>
    <w:rsid w:val="00794214"/>
    <w:rsid w:val="00794F4F"/>
    <w:rsid w:val="007974BE"/>
    <w:rsid w:val="007A0916"/>
    <w:rsid w:val="007A0DFD"/>
    <w:rsid w:val="007A1A7A"/>
    <w:rsid w:val="007A3611"/>
    <w:rsid w:val="007B2852"/>
    <w:rsid w:val="007B50E4"/>
    <w:rsid w:val="007C0B22"/>
    <w:rsid w:val="007C5F52"/>
    <w:rsid w:val="007C7122"/>
    <w:rsid w:val="007D209B"/>
    <w:rsid w:val="007D315D"/>
    <w:rsid w:val="007D3F11"/>
    <w:rsid w:val="007D5A10"/>
    <w:rsid w:val="007D7B96"/>
    <w:rsid w:val="007E08B4"/>
    <w:rsid w:val="007E1164"/>
    <w:rsid w:val="007E171F"/>
    <w:rsid w:val="007E235F"/>
    <w:rsid w:val="007E291D"/>
    <w:rsid w:val="007E2C69"/>
    <w:rsid w:val="007E53E4"/>
    <w:rsid w:val="007E6558"/>
    <w:rsid w:val="007E656A"/>
    <w:rsid w:val="007F3CAA"/>
    <w:rsid w:val="007F664D"/>
    <w:rsid w:val="008009E7"/>
    <w:rsid w:val="00816C5C"/>
    <w:rsid w:val="00820326"/>
    <w:rsid w:val="00821ED5"/>
    <w:rsid w:val="00833C62"/>
    <w:rsid w:val="00837203"/>
    <w:rsid w:val="00842137"/>
    <w:rsid w:val="00850D34"/>
    <w:rsid w:val="00852332"/>
    <w:rsid w:val="00853F5F"/>
    <w:rsid w:val="008623ED"/>
    <w:rsid w:val="008676A4"/>
    <w:rsid w:val="00874179"/>
    <w:rsid w:val="00875AA6"/>
    <w:rsid w:val="00880944"/>
    <w:rsid w:val="008857DA"/>
    <w:rsid w:val="0088713E"/>
    <w:rsid w:val="0089088E"/>
    <w:rsid w:val="00892297"/>
    <w:rsid w:val="008964D6"/>
    <w:rsid w:val="008974F6"/>
    <w:rsid w:val="008A283B"/>
    <w:rsid w:val="008A2AE0"/>
    <w:rsid w:val="008A770F"/>
    <w:rsid w:val="008B28B9"/>
    <w:rsid w:val="008B2B82"/>
    <w:rsid w:val="008B2E55"/>
    <w:rsid w:val="008B5123"/>
    <w:rsid w:val="008B689F"/>
    <w:rsid w:val="008C346B"/>
    <w:rsid w:val="008C4487"/>
    <w:rsid w:val="008C5B70"/>
    <w:rsid w:val="008D52A4"/>
    <w:rsid w:val="008D5C64"/>
    <w:rsid w:val="008D5EE5"/>
    <w:rsid w:val="008E0172"/>
    <w:rsid w:val="008E279E"/>
    <w:rsid w:val="008E6D59"/>
    <w:rsid w:val="008E7F1D"/>
    <w:rsid w:val="008F04E6"/>
    <w:rsid w:val="008F2A0D"/>
    <w:rsid w:val="008F53C4"/>
    <w:rsid w:val="008F552B"/>
    <w:rsid w:val="009012C5"/>
    <w:rsid w:val="0090410C"/>
    <w:rsid w:val="009063A1"/>
    <w:rsid w:val="00911D06"/>
    <w:rsid w:val="00912D9A"/>
    <w:rsid w:val="00913B13"/>
    <w:rsid w:val="009179CD"/>
    <w:rsid w:val="009249C9"/>
    <w:rsid w:val="009251D3"/>
    <w:rsid w:val="00925F53"/>
    <w:rsid w:val="00927C05"/>
    <w:rsid w:val="00931E14"/>
    <w:rsid w:val="00933CE1"/>
    <w:rsid w:val="00936852"/>
    <w:rsid w:val="0094045D"/>
    <w:rsid w:val="009406B5"/>
    <w:rsid w:val="00942596"/>
    <w:rsid w:val="00943CBA"/>
    <w:rsid w:val="00943DCA"/>
    <w:rsid w:val="00946166"/>
    <w:rsid w:val="0095225B"/>
    <w:rsid w:val="00953186"/>
    <w:rsid w:val="00964479"/>
    <w:rsid w:val="009655F2"/>
    <w:rsid w:val="009661D2"/>
    <w:rsid w:val="00970992"/>
    <w:rsid w:val="0097397A"/>
    <w:rsid w:val="00977787"/>
    <w:rsid w:val="00980846"/>
    <w:rsid w:val="00981D3A"/>
    <w:rsid w:val="00982EB9"/>
    <w:rsid w:val="00983164"/>
    <w:rsid w:val="0098572D"/>
    <w:rsid w:val="009863E1"/>
    <w:rsid w:val="009873D8"/>
    <w:rsid w:val="00990A09"/>
    <w:rsid w:val="00992A91"/>
    <w:rsid w:val="009932A5"/>
    <w:rsid w:val="00994912"/>
    <w:rsid w:val="00995501"/>
    <w:rsid w:val="009967B4"/>
    <w:rsid w:val="009972EF"/>
    <w:rsid w:val="00997ED4"/>
    <w:rsid w:val="009A77FE"/>
    <w:rsid w:val="009B5035"/>
    <w:rsid w:val="009B6BC0"/>
    <w:rsid w:val="009C3160"/>
    <w:rsid w:val="009C4249"/>
    <w:rsid w:val="009D0EB8"/>
    <w:rsid w:val="009D4DBC"/>
    <w:rsid w:val="009E0D26"/>
    <w:rsid w:val="009E766E"/>
    <w:rsid w:val="009F1960"/>
    <w:rsid w:val="009F3163"/>
    <w:rsid w:val="009F5666"/>
    <w:rsid w:val="009F715E"/>
    <w:rsid w:val="009F7B7D"/>
    <w:rsid w:val="00A0600B"/>
    <w:rsid w:val="00A10DBB"/>
    <w:rsid w:val="00A11720"/>
    <w:rsid w:val="00A17F98"/>
    <w:rsid w:val="00A21247"/>
    <w:rsid w:val="00A21AA2"/>
    <w:rsid w:val="00A24A30"/>
    <w:rsid w:val="00A2658F"/>
    <w:rsid w:val="00A27236"/>
    <w:rsid w:val="00A27AD6"/>
    <w:rsid w:val="00A316F5"/>
    <w:rsid w:val="00A31D47"/>
    <w:rsid w:val="00A33906"/>
    <w:rsid w:val="00A4013E"/>
    <w:rsid w:val="00A4045F"/>
    <w:rsid w:val="00A427CD"/>
    <w:rsid w:val="00A44804"/>
    <w:rsid w:val="00A454FB"/>
    <w:rsid w:val="00A459D0"/>
    <w:rsid w:val="00A45FEE"/>
    <w:rsid w:val="00A4600B"/>
    <w:rsid w:val="00A50506"/>
    <w:rsid w:val="00A509B2"/>
    <w:rsid w:val="00A50C55"/>
    <w:rsid w:val="00A51EF0"/>
    <w:rsid w:val="00A53CA3"/>
    <w:rsid w:val="00A542B5"/>
    <w:rsid w:val="00A56774"/>
    <w:rsid w:val="00A62D0C"/>
    <w:rsid w:val="00A64B4E"/>
    <w:rsid w:val="00A664DA"/>
    <w:rsid w:val="00A67A81"/>
    <w:rsid w:val="00A70F5A"/>
    <w:rsid w:val="00A730A6"/>
    <w:rsid w:val="00A7465A"/>
    <w:rsid w:val="00A817EF"/>
    <w:rsid w:val="00A8242E"/>
    <w:rsid w:val="00A835A7"/>
    <w:rsid w:val="00A83931"/>
    <w:rsid w:val="00A85E8E"/>
    <w:rsid w:val="00A8698D"/>
    <w:rsid w:val="00A971A0"/>
    <w:rsid w:val="00A97CCD"/>
    <w:rsid w:val="00AA157C"/>
    <w:rsid w:val="00AA1F22"/>
    <w:rsid w:val="00AA26F5"/>
    <w:rsid w:val="00AA7A61"/>
    <w:rsid w:val="00AB1728"/>
    <w:rsid w:val="00AB1EEB"/>
    <w:rsid w:val="00AB45E7"/>
    <w:rsid w:val="00AB4B62"/>
    <w:rsid w:val="00AB55D7"/>
    <w:rsid w:val="00AB6AFE"/>
    <w:rsid w:val="00AB7FB5"/>
    <w:rsid w:val="00AC0074"/>
    <w:rsid w:val="00AC2204"/>
    <w:rsid w:val="00AC5CD1"/>
    <w:rsid w:val="00AD0C2B"/>
    <w:rsid w:val="00AD1633"/>
    <w:rsid w:val="00AD291F"/>
    <w:rsid w:val="00AD5FF3"/>
    <w:rsid w:val="00AE0F51"/>
    <w:rsid w:val="00AE1C9F"/>
    <w:rsid w:val="00AE2004"/>
    <w:rsid w:val="00AE6133"/>
    <w:rsid w:val="00AE77F5"/>
    <w:rsid w:val="00AF235B"/>
    <w:rsid w:val="00AF3CA7"/>
    <w:rsid w:val="00AF4ACE"/>
    <w:rsid w:val="00B0022E"/>
    <w:rsid w:val="00B02B8E"/>
    <w:rsid w:val="00B04367"/>
    <w:rsid w:val="00B05821"/>
    <w:rsid w:val="00B068A9"/>
    <w:rsid w:val="00B07225"/>
    <w:rsid w:val="00B075D2"/>
    <w:rsid w:val="00B0792C"/>
    <w:rsid w:val="00B100D6"/>
    <w:rsid w:val="00B10587"/>
    <w:rsid w:val="00B12A49"/>
    <w:rsid w:val="00B164C9"/>
    <w:rsid w:val="00B17993"/>
    <w:rsid w:val="00B23EC0"/>
    <w:rsid w:val="00B26C28"/>
    <w:rsid w:val="00B2739E"/>
    <w:rsid w:val="00B3167E"/>
    <w:rsid w:val="00B35643"/>
    <w:rsid w:val="00B4174C"/>
    <w:rsid w:val="00B429E5"/>
    <w:rsid w:val="00B453F5"/>
    <w:rsid w:val="00B5092A"/>
    <w:rsid w:val="00B51A3A"/>
    <w:rsid w:val="00B51B17"/>
    <w:rsid w:val="00B527D1"/>
    <w:rsid w:val="00B52BD9"/>
    <w:rsid w:val="00B53C30"/>
    <w:rsid w:val="00B56DD1"/>
    <w:rsid w:val="00B577B2"/>
    <w:rsid w:val="00B57BDE"/>
    <w:rsid w:val="00B60B43"/>
    <w:rsid w:val="00B61624"/>
    <w:rsid w:val="00B65FE7"/>
    <w:rsid w:val="00B66481"/>
    <w:rsid w:val="00B67702"/>
    <w:rsid w:val="00B7189C"/>
    <w:rsid w:val="00B718A5"/>
    <w:rsid w:val="00B748A5"/>
    <w:rsid w:val="00B8077B"/>
    <w:rsid w:val="00B82087"/>
    <w:rsid w:val="00B907F8"/>
    <w:rsid w:val="00B90AD6"/>
    <w:rsid w:val="00B920CD"/>
    <w:rsid w:val="00B95F35"/>
    <w:rsid w:val="00B96659"/>
    <w:rsid w:val="00B96F90"/>
    <w:rsid w:val="00BA20D9"/>
    <w:rsid w:val="00BA691B"/>
    <w:rsid w:val="00BA788A"/>
    <w:rsid w:val="00BB0BA0"/>
    <w:rsid w:val="00BB4983"/>
    <w:rsid w:val="00BB60C4"/>
    <w:rsid w:val="00BB7597"/>
    <w:rsid w:val="00BC197B"/>
    <w:rsid w:val="00BC2AAB"/>
    <w:rsid w:val="00BC324D"/>
    <w:rsid w:val="00BC3BDF"/>
    <w:rsid w:val="00BC62E2"/>
    <w:rsid w:val="00BD06A7"/>
    <w:rsid w:val="00BD2363"/>
    <w:rsid w:val="00BD2D65"/>
    <w:rsid w:val="00BD56A4"/>
    <w:rsid w:val="00BD58FB"/>
    <w:rsid w:val="00BD7AF1"/>
    <w:rsid w:val="00BE0A15"/>
    <w:rsid w:val="00BF0FC3"/>
    <w:rsid w:val="00BF1EFF"/>
    <w:rsid w:val="00C033B1"/>
    <w:rsid w:val="00C03DBC"/>
    <w:rsid w:val="00C048EB"/>
    <w:rsid w:val="00C1356C"/>
    <w:rsid w:val="00C24503"/>
    <w:rsid w:val="00C2506D"/>
    <w:rsid w:val="00C2733D"/>
    <w:rsid w:val="00C32998"/>
    <w:rsid w:val="00C3386D"/>
    <w:rsid w:val="00C37820"/>
    <w:rsid w:val="00C40A06"/>
    <w:rsid w:val="00C42125"/>
    <w:rsid w:val="00C42DCF"/>
    <w:rsid w:val="00C45A74"/>
    <w:rsid w:val="00C54BFA"/>
    <w:rsid w:val="00C61B33"/>
    <w:rsid w:val="00C62814"/>
    <w:rsid w:val="00C641D9"/>
    <w:rsid w:val="00C66FCC"/>
    <w:rsid w:val="00C66FD2"/>
    <w:rsid w:val="00C6796F"/>
    <w:rsid w:val="00C67B25"/>
    <w:rsid w:val="00C7332E"/>
    <w:rsid w:val="00C73564"/>
    <w:rsid w:val="00C73EF0"/>
    <w:rsid w:val="00C748F7"/>
    <w:rsid w:val="00C74937"/>
    <w:rsid w:val="00C75203"/>
    <w:rsid w:val="00C75F46"/>
    <w:rsid w:val="00C770EE"/>
    <w:rsid w:val="00C7728B"/>
    <w:rsid w:val="00C9004E"/>
    <w:rsid w:val="00C91022"/>
    <w:rsid w:val="00CA2809"/>
    <w:rsid w:val="00CA44A2"/>
    <w:rsid w:val="00CB2599"/>
    <w:rsid w:val="00CB287B"/>
    <w:rsid w:val="00CB7B8B"/>
    <w:rsid w:val="00CC0EE2"/>
    <w:rsid w:val="00CC237C"/>
    <w:rsid w:val="00CC5BE0"/>
    <w:rsid w:val="00CD0CFA"/>
    <w:rsid w:val="00CD20A3"/>
    <w:rsid w:val="00CD2139"/>
    <w:rsid w:val="00CD26BF"/>
    <w:rsid w:val="00CD363E"/>
    <w:rsid w:val="00CD6848"/>
    <w:rsid w:val="00CD75EE"/>
    <w:rsid w:val="00CE1248"/>
    <w:rsid w:val="00CE5986"/>
    <w:rsid w:val="00CF3996"/>
    <w:rsid w:val="00CF4EE3"/>
    <w:rsid w:val="00CF5E00"/>
    <w:rsid w:val="00D04F13"/>
    <w:rsid w:val="00D069F8"/>
    <w:rsid w:val="00D10B23"/>
    <w:rsid w:val="00D12115"/>
    <w:rsid w:val="00D257C3"/>
    <w:rsid w:val="00D3712E"/>
    <w:rsid w:val="00D42140"/>
    <w:rsid w:val="00D43D52"/>
    <w:rsid w:val="00D44172"/>
    <w:rsid w:val="00D44FAE"/>
    <w:rsid w:val="00D45D7B"/>
    <w:rsid w:val="00D4703A"/>
    <w:rsid w:val="00D5355D"/>
    <w:rsid w:val="00D537DE"/>
    <w:rsid w:val="00D54321"/>
    <w:rsid w:val="00D559E2"/>
    <w:rsid w:val="00D60D25"/>
    <w:rsid w:val="00D647EF"/>
    <w:rsid w:val="00D66D8A"/>
    <w:rsid w:val="00D67039"/>
    <w:rsid w:val="00D709A8"/>
    <w:rsid w:val="00D72E01"/>
    <w:rsid w:val="00D73137"/>
    <w:rsid w:val="00D76EAE"/>
    <w:rsid w:val="00D77572"/>
    <w:rsid w:val="00D843DD"/>
    <w:rsid w:val="00D87DA5"/>
    <w:rsid w:val="00D93A47"/>
    <w:rsid w:val="00D94134"/>
    <w:rsid w:val="00D96E57"/>
    <w:rsid w:val="00D977A2"/>
    <w:rsid w:val="00DA1D47"/>
    <w:rsid w:val="00DA22D0"/>
    <w:rsid w:val="00DA2BE9"/>
    <w:rsid w:val="00DB1CD5"/>
    <w:rsid w:val="00DB2175"/>
    <w:rsid w:val="00DB6312"/>
    <w:rsid w:val="00DB7D19"/>
    <w:rsid w:val="00DC2E33"/>
    <w:rsid w:val="00DC4A29"/>
    <w:rsid w:val="00DC4E43"/>
    <w:rsid w:val="00DC5D8F"/>
    <w:rsid w:val="00DC7B0B"/>
    <w:rsid w:val="00DD1355"/>
    <w:rsid w:val="00DD149E"/>
    <w:rsid w:val="00DD27E0"/>
    <w:rsid w:val="00DD4672"/>
    <w:rsid w:val="00DD50DE"/>
    <w:rsid w:val="00DD72F7"/>
    <w:rsid w:val="00DE3062"/>
    <w:rsid w:val="00DE40C9"/>
    <w:rsid w:val="00DF07A9"/>
    <w:rsid w:val="00DF29DC"/>
    <w:rsid w:val="00DF4E84"/>
    <w:rsid w:val="00DF55A6"/>
    <w:rsid w:val="00DF7DCF"/>
    <w:rsid w:val="00E01E6D"/>
    <w:rsid w:val="00E0390F"/>
    <w:rsid w:val="00E057F7"/>
    <w:rsid w:val="00E0581D"/>
    <w:rsid w:val="00E12F95"/>
    <w:rsid w:val="00E14A6E"/>
    <w:rsid w:val="00E1769B"/>
    <w:rsid w:val="00E204DD"/>
    <w:rsid w:val="00E21CBA"/>
    <w:rsid w:val="00E226A2"/>
    <w:rsid w:val="00E30BDA"/>
    <w:rsid w:val="00E334D5"/>
    <w:rsid w:val="00E34CE1"/>
    <w:rsid w:val="00E353EC"/>
    <w:rsid w:val="00E41163"/>
    <w:rsid w:val="00E47FCB"/>
    <w:rsid w:val="00E51801"/>
    <w:rsid w:val="00E51C3D"/>
    <w:rsid w:val="00E51F61"/>
    <w:rsid w:val="00E53C24"/>
    <w:rsid w:val="00E56C1F"/>
    <w:rsid w:val="00E56E77"/>
    <w:rsid w:val="00E5735C"/>
    <w:rsid w:val="00E6010D"/>
    <w:rsid w:val="00E610EE"/>
    <w:rsid w:val="00E6685C"/>
    <w:rsid w:val="00E6734C"/>
    <w:rsid w:val="00E7375D"/>
    <w:rsid w:val="00E752C5"/>
    <w:rsid w:val="00E76F12"/>
    <w:rsid w:val="00E80463"/>
    <w:rsid w:val="00E93340"/>
    <w:rsid w:val="00EA4D91"/>
    <w:rsid w:val="00EB01CE"/>
    <w:rsid w:val="00EB11EE"/>
    <w:rsid w:val="00EB1D79"/>
    <w:rsid w:val="00EB29B4"/>
    <w:rsid w:val="00EB444D"/>
    <w:rsid w:val="00EB7005"/>
    <w:rsid w:val="00EC0C5F"/>
    <w:rsid w:val="00EC14ED"/>
    <w:rsid w:val="00EC774F"/>
    <w:rsid w:val="00ED16CF"/>
    <w:rsid w:val="00ED22CE"/>
    <w:rsid w:val="00ED6950"/>
    <w:rsid w:val="00EE06E9"/>
    <w:rsid w:val="00EE088F"/>
    <w:rsid w:val="00EE3C41"/>
    <w:rsid w:val="00EE4A67"/>
    <w:rsid w:val="00EE5C0D"/>
    <w:rsid w:val="00EE6AB1"/>
    <w:rsid w:val="00EF258B"/>
    <w:rsid w:val="00EF4792"/>
    <w:rsid w:val="00EF5B35"/>
    <w:rsid w:val="00EF6FB8"/>
    <w:rsid w:val="00F02294"/>
    <w:rsid w:val="00F03378"/>
    <w:rsid w:val="00F12413"/>
    <w:rsid w:val="00F124BA"/>
    <w:rsid w:val="00F132DE"/>
    <w:rsid w:val="00F13871"/>
    <w:rsid w:val="00F141F9"/>
    <w:rsid w:val="00F240A4"/>
    <w:rsid w:val="00F26645"/>
    <w:rsid w:val="00F305D5"/>
    <w:rsid w:val="00F30DE7"/>
    <w:rsid w:val="00F315BD"/>
    <w:rsid w:val="00F35F57"/>
    <w:rsid w:val="00F3637C"/>
    <w:rsid w:val="00F46592"/>
    <w:rsid w:val="00F50467"/>
    <w:rsid w:val="00F52EC3"/>
    <w:rsid w:val="00F562A0"/>
    <w:rsid w:val="00F56E43"/>
    <w:rsid w:val="00F57FA4"/>
    <w:rsid w:val="00F63B3C"/>
    <w:rsid w:val="00F70485"/>
    <w:rsid w:val="00F70B55"/>
    <w:rsid w:val="00F70DD5"/>
    <w:rsid w:val="00F72EBE"/>
    <w:rsid w:val="00F74D4D"/>
    <w:rsid w:val="00F75A19"/>
    <w:rsid w:val="00F75B09"/>
    <w:rsid w:val="00F8186A"/>
    <w:rsid w:val="00F83147"/>
    <w:rsid w:val="00F83600"/>
    <w:rsid w:val="00F83686"/>
    <w:rsid w:val="00F836A6"/>
    <w:rsid w:val="00F845F1"/>
    <w:rsid w:val="00F85E39"/>
    <w:rsid w:val="00F942C2"/>
    <w:rsid w:val="00F945A9"/>
    <w:rsid w:val="00F959BC"/>
    <w:rsid w:val="00F96104"/>
    <w:rsid w:val="00FA02CB"/>
    <w:rsid w:val="00FA2177"/>
    <w:rsid w:val="00FA5F35"/>
    <w:rsid w:val="00FB0783"/>
    <w:rsid w:val="00FB6CD5"/>
    <w:rsid w:val="00FB7A8B"/>
    <w:rsid w:val="00FC2321"/>
    <w:rsid w:val="00FD0F87"/>
    <w:rsid w:val="00FD157A"/>
    <w:rsid w:val="00FD4136"/>
    <w:rsid w:val="00FD41B8"/>
    <w:rsid w:val="00FD439E"/>
    <w:rsid w:val="00FD6EFB"/>
    <w:rsid w:val="00FD76CB"/>
    <w:rsid w:val="00FE03ED"/>
    <w:rsid w:val="00FE1001"/>
    <w:rsid w:val="00FE10B6"/>
    <w:rsid w:val="00FE152B"/>
    <w:rsid w:val="00FE239E"/>
    <w:rsid w:val="00FE3A9A"/>
    <w:rsid w:val="00FE48BA"/>
    <w:rsid w:val="00FE4BE3"/>
    <w:rsid w:val="00FF3677"/>
    <w:rsid w:val="00FF4493"/>
    <w:rsid w:val="00FF4546"/>
    <w:rsid w:val="00FF538F"/>
    <w:rsid w:val="00FF6EA5"/>
    <w:rsid w:val="00FF7F70"/>
    <w:rsid w:val="0E227C80"/>
    <w:rsid w:val="17B53D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2A90"/>
  <w15:docId w15:val="{ECC0E16D-EC8D-41AB-8C43-B6214D70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rFonts w:ascii="Times New Roman" w:hAnsi="Times New Roman" w:cs="Times New Roman"/>
      <w:sz w:val="24"/>
      <w:szCs w:val="24"/>
      <w:lang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rPr>
      <w:sz w:val="20"/>
      <w:szCs w:val="20"/>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TOC3">
    <w:name w:val="toc 3"/>
    <w:basedOn w:val="TOC2"/>
    <w:next w:val="Normal"/>
    <w:qFormat/>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style>
  <w:style w:type="paragraph" w:styleId="Header">
    <w:name w:val="header"/>
    <w:basedOn w:val="Normal"/>
    <w:link w:val="HeaderChar"/>
    <w:uiPriority w:val="99"/>
    <w:unhideWhenUsed/>
    <w:qFormat/>
    <w:pPr>
      <w:tabs>
        <w:tab w:val="center" w:pos="4680"/>
        <w:tab w:val="right" w:pos="9360"/>
      </w:tabs>
      <w:spacing w:before="0"/>
      <w:jc w:val="center"/>
    </w:pPr>
    <w:rPr>
      <w:sz w:val="20"/>
      <w:szCs w:val="20"/>
    </w:rPr>
  </w:style>
  <w:style w:type="paragraph" w:styleId="Subtitle">
    <w:name w:val="Subtitle"/>
    <w:basedOn w:val="Normal"/>
    <w:next w:val="Normal"/>
    <w:link w:val="SubtitleChar"/>
    <w:uiPriority w:val="11"/>
    <w:qFormat/>
    <w:pPr>
      <w:spacing w:after="160"/>
    </w:pPr>
    <w:rPr>
      <w:rFonts w:ascii="Calibri" w:hAnsi="Calibri" w:cs="Arial"/>
      <w:color w:val="595959"/>
      <w:spacing w:val="15"/>
      <w:sz w:val="22"/>
      <w:szCs w:val="22"/>
    </w:rPr>
  </w:style>
  <w:style w:type="paragraph" w:styleId="TableofFigures">
    <w:name w:val="table of figures"/>
    <w:basedOn w:val="Normal"/>
    <w:next w:val="Normal"/>
    <w:uiPriority w:val="99"/>
    <w:qFormat/>
    <w:pPr>
      <w:tabs>
        <w:tab w:val="right" w:leader="dot" w:pos="9639"/>
      </w:tabs>
    </w:pPr>
    <w:rPr>
      <w:rFonts w:eastAsia="MS Mincho"/>
    </w:r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qFormat/>
    <w:rPr>
      <w:rFonts w:ascii="Times New Roman" w:hAnsi="Times New Roman"/>
      <w:color w:val="0000FF"/>
      <w:u w:val="single"/>
    </w:rPr>
  </w:style>
  <w:style w:type="character" w:styleId="CommentReference">
    <w:name w:val="annotation reference"/>
    <w:uiPriority w:val="99"/>
    <w:semiHidden/>
    <w:unhideWhenUsed/>
    <w:qFormat/>
    <w:rPr>
      <w:sz w:val="16"/>
      <w:szCs w:val="16"/>
    </w:rPr>
  </w:style>
  <w:style w:type="character" w:styleId="PlaceholderText">
    <w:name w:val="Placeholder Tex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b/>
      <w:sz w:val="32"/>
      <w:szCs w:val="20"/>
      <w:lang w:eastAsia="en-US"/>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SimSun"/>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link w:val="Heading9"/>
    <w:qFormat/>
    <w:rPr>
      <w:rFonts w:ascii="Times New Roman" w:eastAsia="Times New Roman" w:hAnsi="Times New Roman" w:cs="Times New Roman"/>
      <w:b/>
      <w:sz w:val="24"/>
      <w:szCs w:val="20"/>
      <w:lang w:val="en-GB" w:eastAsia="en-US"/>
    </w:rPr>
  </w:style>
  <w:style w:type="character" w:customStyle="1" w:styleId="HeaderChar">
    <w:name w:val="Header Char"/>
    <w:link w:val="Header"/>
    <w:uiPriority w:val="99"/>
    <w:qFormat/>
    <w:rPr>
      <w:rFonts w:ascii="Times New Roman" w:hAnsi="Times New Roman" w:cs="Times New Roman"/>
      <w:sz w:val="20"/>
      <w:szCs w:val="20"/>
      <w:lang w:val="en-GB" w:eastAsia="ja-JP"/>
    </w:rPr>
  </w:style>
  <w:style w:type="character" w:customStyle="1" w:styleId="FooterChar">
    <w:name w:val="Footer Char"/>
    <w:link w:val="Footer"/>
    <w:uiPriority w:val="99"/>
    <w:qFormat/>
    <w:rPr>
      <w:rFonts w:ascii="Times New Roman" w:hAnsi="Times New Roman" w:cs="Times New Roman"/>
      <w:sz w:val="24"/>
      <w:szCs w:val="24"/>
      <w:lang w:val="en-GB" w:eastAsia="ja-JP"/>
    </w:rPr>
  </w:style>
  <w:style w:type="character" w:customStyle="1" w:styleId="SubtitleChar">
    <w:name w:val="Subtitle Char"/>
    <w:link w:val="Subtitle"/>
    <w:uiPriority w:val="11"/>
    <w:qFormat/>
    <w:rPr>
      <w:color w:val="595959"/>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cs="Times New Roman"/>
      <w:i/>
      <w:iCs/>
      <w:color w:val="404040"/>
      <w:sz w:val="24"/>
      <w:szCs w:val="24"/>
      <w:lang w:val="en-GB" w:eastAsia="ja-JP"/>
    </w:rPr>
  </w:style>
  <w:style w:type="character" w:customStyle="1" w:styleId="BalloonTextChar">
    <w:name w:val="Balloon Text Char"/>
    <w:link w:val="BalloonText"/>
    <w:uiPriority w:val="99"/>
    <w:semiHidden/>
    <w:qFormat/>
    <w:rPr>
      <w:rFonts w:ascii="Segoe UI" w:hAnsi="Segoe UI" w:cs="Segoe UI"/>
      <w:sz w:val="18"/>
      <w:szCs w:val="18"/>
      <w:lang w:val="en-GB" w:eastAsia="ja-JP"/>
    </w:rPr>
  </w:style>
  <w:style w:type="paragraph" w:customStyle="1" w:styleId="LSDeadline">
    <w:name w:val="LSDeadline"/>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qFormat/>
  </w:style>
  <w:style w:type="paragraph" w:customStyle="1" w:styleId="LSForComment">
    <w:name w:val="LSForComment"/>
    <w:basedOn w:val="LSForAction"/>
    <w:qFormat/>
  </w:style>
  <w:style w:type="paragraph" w:customStyle="1" w:styleId="NO">
    <w:name w:val="NO"/>
    <w:basedOn w:val="Normal"/>
    <w:qFormat/>
    <w:pPr>
      <w:keepLines/>
      <w:overflowPunct w:val="0"/>
      <w:autoSpaceDE w:val="0"/>
      <w:autoSpaceDN w:val="0"/>
      <w:adjustRightInd w:val="0"/>
      <w:spacing w:before="0" w:after="180"/>
      <w:ind w:left="1135" w:hanging="851"/>
      <w:textAlignment w:val="baseline"/>
    </w:pPr>
    <w:rPr>
      <w:rFonts w:eastAsia="Batang"/>
      <w:sz w:val="20"/>
      <w:szCs w:val="20"/>
      <w:lang w:val="en-US" w:eastAsia="en-US" w:bidi="en-US"/>
    </w:rPr>
  </w:style>
  <w:style w:type="character" w:customStyle="1" w:styleId="CommentTextChar">
    <w:name w:val="Comment Text Char"/>
    <w:link w:val="CommentText"/>
    <w:uiPriority w:val="99"/>
    <w:semiHidden/>
    <w:qFormat/>
    <w:rPr>
      <w:rFonts w:ascii="Times New Roman" w:hAnsi="Times New Roman" w:cs="Times New Roman"/>
      <w:sz w:val="20"/>
      <w:szCs w:val="20"/>
      <w:lang w:val="en-GB" w:eastAsia="ja-JP"/>
    </w:rPr>
  </w:style>
  <w:style w:type="character" w:customStyle="1" w:styleId="CommentSubjectChar">
    <w:name w:val="Comment Subject Char"/>
    <w:link w:val="CommentSubject"/>
    <w:uiPriority w:val="99"/>
    <w:semiHidden/>
    <w:qFormat/>
    <w:rPr>
      <w:rFonts w:ascii="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uiPriority w:val="99"/>
    <w:semiHidden/>
    <w:unhideWhenUsed/>
    <w:rsid w:val="00597AB5"/>
    <w:rPr>
      <w:color w:val="605E5C"/>
      <w:shd w:val="clear" w:color="auto" w:fill="E1DFDD"/>
    </w:rPr>
  </w:style>
  <w:style w:type="character" w:customStyle="1" w:styleId="ListParagraphChar">
    <w:name w:val="List Paragraph Char"/>
    <w:link w:val="ListParagraph"/>
    <w:uiPriority w:val="34"/>
    <w:locked/>
    <w:rsid w:val="00C7332E"/>
    <w:rPr>
      <w:rFonts w:ascii="Times New Roman" w:hAnsi="Times New Roman" w:cs="Times New Roman"/>
      <w:sz w:val="24"/>
      <w:szCs w:val="24"/>
      <w:lang w:eastAsia="ja-JP"/>
    </w:rPr>
  </w:style>
  <w:style w:type="paragraph" w:styleId="FootnoteText">
    <w:name w:val="footnote text"/>
    <w:basedOn w:val="Normal"/>
    <w:link w:val="FootnoteTextChar"/>
    <w:uiPriority w:val="99"/>
    <w:semiHidden/>
    <w:unhideWhenUsed/>
    <w:rsid w:val="008A770F"/>
    <w:pPr>
      <w:spacing w:before="0"/>
    </w:pPr>
    <w:rPr>
      <w:sz w:val="20"/>
      <w:szCs w:val="20"/>
    </w:rPr>
  </w:style>
  <w:style w:type="character" w:customStyle="1" w:styleId="FootnoteTextChar">
    <w:name w:val="Footnote Text Char"/>
    <w:link w:val="FootnoteText"/>
    <w:uiPriority w:val="99"/>
    <w:semiHidden/>
    <w:rsid w:val="008A770F"/>
    <w:rPr>
      <w:rFonts w:ascii="Times New Roman" w:hAnsi="Times New Roman" w:cs="Times New Roman"/>
      <w:lang w:eastAsia="ja-JP"/>
    </w:rPr>
  </w:style>
  <w:style w:type="character" w:styleId="FootnoteReference">
    <w:name w:val="footnote reference"/>
    <w:uiPriority w:val="99"/>
    <w:semiHidden/>
    <w:unhideWhenUsed/>
    <w:rsid w:val="008A770F"/>
    <w:rPr>
      <w:vertAlign w:val="superscript"/>
    </w:rPr>
  </w:style>
  <w:style w:type="character" w:customStyle="1" w:styleId="ms-rtethemeforecolor-2-0">
    <w:name w:val="ms-rtethemeforecolor-2-0"/>
    <w:rsid w:val="003D688B"/>
  </w:style>
  <w:style w:type="character" w:customStyle="1" w:styleId="UnresolvedMention">
    <w:name w:val="Unresolved Mention"/>
    <w:basedOn w:val="DefaultParagraphFont"/>
    <w:uiPriority w:val="99"/>
    <w:semiHidden/>
    <w:unhideWhenUsed/>
    <w:rsid w:val="00DF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605">
      <w:bodyDiv w:val="1"/>
      <w:marLeft w:val="0"/>
      <w:marRight w:val="0"/>
      <w:marTop w:val="0"/>
      <w:marBottom w:val="0"/>
      <w:divBdr>
        <w:top w:val="none" w:sz="0" w:space="0" w:color="auto"/>
        <w:left w:val="none" w:sz="0" w:space="0" w:color="auto"/>
        <w:bottom w:val="none" w:sz="0" w:space="0" w:color="auto"/>
        <w:right w:val="none" w:sz="0" w:space="0" w:color="auto"/>
      </w:divBdr>
    </w:div>
    <w:div w:id="17659101">
      <w:bodyDiv w:val="1"/>
      <w:marLeft w:val="0"/>
      <w:marRight w:val="0"/>
      <w:marTop w:val="0"/>
      <w:marBottom w:val="0"/>
      <w:divBdr>
        <w:top w:val="none" w:sz="0" w:space="0" w:color="auto"/>
        <w:left w:val="none" w:sz="0" w:space="0" w:color="auto"/>
        <w:bottom w:val="none" w:sz="0" w:space="0" w:color="auto"/>
        <w:right w:val="none" w:sz="0" w:space="0" w:color="auto"/>
      </w:divBdr>
    </w:div>
    <w:div w:id="22294904">
      <w:bodyDiv w:val="1"/>
      <w:marLeft w:val="0"/>
      <w:marRight w:val="0"/>
      <w:marTop w:val="0"/>
      <w:marBottom w:val="0"/>
      <w:divBdr>
        <w:top w:val="none" w:sz="0" w:space="0" w:color="auto"/>
        <w:left w:val="none" w:sz="0" w:space="0" w:color="auto"/>
        <w:bottom w:val="none" w:sz="0" w:space="0" w:color="auto"/>
        <w:right w:val="none" w:sz="0" w:space="0" w:color="auto"/>
      </w:divBdr>
    </w:div>
    <w:div w:id="27877846">
      <w:bodyDiv w:val="1"/>
      <w:marLeft w:val="0"/>
      <w:marRight w:val="0"/>
      <w:marTop w:val="0"/>
      <w:marBottom w:val="0"/>
      <w:divBdr>
        <w:top w:val="none" w:sz="0" w:space="0" w:color="auto"/>
        <w:left w:val="none" w:sz="0" w:space="0" w:color="auto"/>
        <w:bottom w:val="none" w:sz="0" w:space="0" w:color="auto"/>
        <w:right w:val="none" w:sz="0" w:space="0" w:color="auto"/>
      </w:divBdr>
    </w:div>
    <w:div w:id="32460117">
      <w:bodyDiv w:val="1"/>
      <w:marLeft w:val="0"/>
      <w:marRight w:val="0"/>
      <w:marTop w:val="0"/>
      <w:marBottom w:val="0"/>
      <w:divBdr>
        <w:top w:val="none" w:sz="0" w:space="0" w:color="auto"/>
        <w:left w:val="none" w:sz="0" w:space="0" w:color="auto"/>
        <w:bottom w:val="none" w:sz="0" w:space="0" w:color="auto"/>
        <w:right w:val="none" w:sz="0" w:space="0" w:color="auto"/>
      </w:divBdr>
    </w:div>
    <w:div w:id="54092328">
      <w:bodyDiv w:val="1"/>
      <w:marLeft w:val="0"/>
      <w:marRight w:val="0"/>
      <w:marTop w:val="0"/>
      <w:marBottom w:val="0"/>
      <w:divBdr>
        <w:top w:val="none" w:sz="0" w:space="0" w:color="auto"/>
        <w:left w:val="none" w:sz="0" w:space="0" w:color="auto"/>
        <w:bottom w:val="none" w:sz="0" w:space="0" w:color="auto"/>
        <w:right w:val="none" w:sz="0" w:space="0" w:color="auto"/>
      </w:divBdr>
    </w:div>
    <w:div w:id="57367768">
      <w:bodyDiv w:val="1"/>
      <w:marLeft w:val="0"/>
      <w:marRight w:val="0"/>
      <w:marTop w:val="0"/>
      <w:marBottom w:val="0"/>
      <w:divBdr>
        <w:top w:val="none" w:sz="0" w:space="0" w:color="auto"/>
        <w:left w:val="none" w:sz="0" w:space="0" w:color="auto"/>
        <w:bottom w:val="none" w:sz="0" w:space="0" w:color="auto"/>
        <w:right w:val="none" w:sz="0" w:space="0" w:color="auto"/>
      </w:divBdr>
    </w:div>
    <w:div w:id="63844336">
      <w:bodyDiv w:val="1"/>
      <w:marLeft w:val="0"/>
      <w:marRight w:val="0"/>
      <w:marTop w:val="0"/>
      <w:marBottom w:val="0"/>
      <w:divBdr>
        <w:top w:val="none" w:sz="0" w:space="0" w:color="auto"/>
        <w:left w:val="none" w:sz="0" w:space="0" w:color="auto"/>
        <w:bottom w:val="none" w:sz="0" w:space="0" w:color="auto"/>
        <w:right w:val="none" w:sz="0" w:space="0" w:color="auto"/>
      </w:divBdr>
    </w:div>
    <w:div w:id="67849480">
      <w:bodyDiv w:val="1"/>
      <w:marLeft w:val="0"/>
      <w:marRight w:val="0"/>
      <w:marTop w:val="0"/>
      <w:marBottom w:val="0"/>
      <w:divBdr>
        <w:top w:val="none" w:sz="0" w:space="0" w:color="auto"/>
        <w:left w:val="none" w:sz="0" w:space="0" w:color="auto"/>
        <w:bottom w:val="none" w:sz="0" w:space="0" w:color="auto"/>
        <w:right w:val="none" w:sz="0" w:space="0" w:color="auto"/>
      </w:divBdr>
    </w:div>
    <w:div w:id="78254643">
      <w:bodyDiv w:val="1"/>
      <w:marLeft w:val="0"/>
      <w:marRight w:val="0"/>
      <w:marTop w:val="0"/>
      <w:marBottom w:val="0"/>
      <w:divBdr>
        <w:top w:val="none" w:sz="0" w:space="0" w:color="auto"/>
        <w:left w:val="none" w:sz="0" w:space="0" w:color="auto"/>
        <w:bottom w:val="none" w:sz="0" w:space="0" w:color="auto"/>
        <w:right w:val="none" w:sz="0" w:space="0" w:color="auto"/>
      </w:divBdr>
    </w:div>
    <w:div w:id="84036888">
      <w:bodyDiv w:val="1"/>
      <w:marLeft w:val="0"/>
      <w:marRight w:val="0"/>
      <w:marTop w:val="0"/>
      <w:marBottom w:val="0"/>
      <w:divBdr>
        <w:top w:val="none" w:sz="0" w:space="0" w:color="auto"/>
        <w:left w:val="none" w:sz="0" w:space="0" w:color="auto"/>
        <w:bottom w:val="none" w:sz="0" w:space="0" w:color="auto"/>
        <w:right w:val="none" w:sz="0" w:space="0" w:color="auto"/>
      </w:divBdr>
    </w:div>
    <w:div w:id="84310258">
      <w:bodyDiv w:val="1"/>
      <w:marLeft w:val="0"/>
      <w:marRight w:val="0"/>
      <w:marTop w:val="0"/>
      <w:marBottom w:val="0"/>
      <w:divBdr>
        <w:top w:val="none" w:sz="0" w:space="0" w:color="auto"/>
        <w:left w:val="none" w:sz="0" w:space="0" w:color="auto"/>
        <w:bottom w:val="none" w:sz="0" w:space="0" w:color="auto"/>
        <w:right w:val="none" w:sz="0" w:space="0" w:color="auto"/>
      </w:divBdr>
    </w:div>
    <w:div w:id="117376620">
      <w:bodyDiv w:val="1"/>
      <w:marLeft w:val="0"/>
      <w:marRight w:val="0"/>
      <w:marTop w:val="0"/>
      <w:marBottom w:val="0"/>
      <w:divBdr>
        <w:top w:val="none" w:sz="0" w:space="0" w:color="auto"/>
        <w:left w:val="none" w:sz="0" w:space="0" w:color="auto"/>
        <w:bottom w:val="none" w:sz="0" w:space="0" w:color="auto"/>
        <w:right w:val="none" w:sz="0" w:space="0" w:color="auto"/>
      </w:divBdr>
    </w:div>
    <w:div w:id="149298286">
      <w:bodyDiv w:val="1"/>
      <w:marLeft w:val="0"/>
      <w:marRight w:val="0"/>
      <w:marTop w:val="0"/>
      <w:marBottom w:val="0"/>
      <w:divBdr>
        <w:top w:val="none" w:sz="0" w:space="0" w:color="auto"/>
        <w:left w:val="none" w:sz="0" w:space="0" w:color="auto"/>
        <w:bottom w:val="none" w:sz="0" w:space="0" w:color="auto"/>
        <w:right w:val="none" w:sz="0" w:space="0" w:color="auto"/>
      </w:divBdr>
    </w:div>
    <w:div w:id="166530303">
      <w:bodyDiv w:val="1"/>
      <w:marLeft w:val="0"/>
      <w:marRight w:val="0"/>
      <w:marTop w:val="0"/>
      <w:marBottom w:val="0"/>
      <w:divBdr>
        <w:top w:val="none" w:sz="0" w:space="0" w:color="auto"/>
        <w:left w:val="none" w:sz="0" w:space="0" w:color="auto"/>
        <w:bottom w:val="none" w:sz="0" w:space="0" w:color="auto"/>
        <w:right w:val="none" w:sz="0" w:space="0" w:color="auto"/>
      </w:divBdr>
    </w:div>
    <w:div w:id="191386909">
      <w:bodyDiv w:val="1"/>
      <w:marLeft w:val="0"/>
      <w:marRight w:val="0"/>
      <w:marTop w:val="0"/>
      <w:marBottom w:val="0"/>
      <w:divBdr>
        <w:top w:val="none" w:sz="0" w:space="0" w:color="auto"/>
        <w:left w:val="none" w:sz="0" w:space="0" w:color="auto"/>
        <w:bottom w:val="none" w:sz="0" w:space="0" w:color="auto"/>
        <w:right w:val="none" w:sz="0" w:space="0" w:color="auto"/>
      </w:divBdr>
    </w:div>
    <w:div w:id="231620469">
      <w:bodyDiv w:val="1"/>
      <w:marLeft w:val="0"/>
      <w:marRight w:val="0"/>
      <w:marTop w:val="0"/>
      <w:marBottom w:val="0"/>
      <w:divBdr>
        <w:top w:val="none" w:sz="0" w:space="0" w:color="auto"/>
        <w:left w:val="none" w:sz="0" w:space="0" w:color="auto"/>
        <w:bottom w:val="none" w:sz="0" w:space="0" w:color="auto"/>
        <w:right w:val="none" w:sz="0" w:space="0" w:color="auto"/>
      </w:divBdr>
    </w:div>
    <w:div w:id="249588483">
      <w:bodyDiv w:val="1"/>
      <w:marLeft w:val="0"/>
      <w:marRight w:val="0"/>
      <w:marTop w:val="0"/>
      <w:marBottom w:val="0"/>
      <w:divBdr>
        <w:top w:val="none" w:sz="0" w:space="0" w:color="auto"/>
        <w:left w:val="none" w:sz="0" w:space="0" w:color="auto"/>
        <w:bottom w:val="none" w:sz="0" w:space="0" w:color="auto"/>
        <w:right w:val="none" w:sz="0" w:space="0" w:color="auto"/>
      </w:divBdr>
    </w:div>
    <w:div w:id="267737810">
      <w:bodyDiv w:val="1"/>
      <w:marLeft w:val="0"/>
      <w:marRight w:val="0"/>
      <w:marTop w:val="0"/>
      <w:marBottom w:val="0"/>
      <w:divBdr>
        <w:top w:val="none" w:sz="0" w:space="0" w:color="auto"/>
        <w:left w:val="none" w:sz="0" w:space="0" w:color="auto"/>
        <w:bottom w:val="none" w:sz="0" w:space="0" w:color="auto"/>
        <w:right w:val="none" w:sz="0" w:space="0" w:color="auto"/>
      </w:divBdr>
    </w:div>
    <w:div w:id="273363159">
      <w:bodyDiv w:val="1"/>
      <w:marLeft w:val="0"/>
      <w:marRight w:val="0"/>
      <w:marTop w:val="0"/>
      <w:marBottom w:val="0"/>
      <w:divBdr>
        <w:top w:val="none" w:sz="0" w:space="0" w:color="auto"/>
        <w:left w:val="none" w:sz="0" w:space="0" w:color="auto"/>
        <w:bottom w:val="none" w:sz="0" w:space="0" w:color="auto"/>
        <w:right w:val="none" w:sz="0" w:space="0" w:color="auto"/>
      </w:divBdr>
    </w:div>
    <w:div w:id="279185423">
      <w:bodyDiv w:val="1"/>
      <w:marLeft w:val="0"/>
      <w:marRight w:val="0"/>
      <w:marTop w:val="0"/>
      <w:marBottom w:val="0"/>
      <w:divBdr>
        <w:top w:val="none" w:sz="0" w:space="0" w:color="auto"/>
        <w:left w:val="none" w:sz="0" w:space="0" w:color="auto"/>
        <w:bottom w:val="none" w:sz="0" w:space="0" w:color="auto"/>
        <w:right w:val="none" w:sz="0" w:space="0" w:color="auto"/>
      </w:divBdr>
    </w:div>
    <w:div w:id="297102636">
      <w:bodyDiv w:val="1"/>
      <w:marLeft w:val="0"/>
      <w:marRight w:val="0"/>
      <w:marTop w:val="0"/>
      <w:marBottom w:val="0"/>
      <w:divBdr>
        <w:top w:val="none" w:sz="0" w:space="0" w:color="auto"/>
        <w:left w:val="none" w:sz="0" w:space="0" w:color="auto"/>
        <w:bottom w:val="none" w:sz="0" w:space="0" w:color="auto"/>
        <w:right w:val="none" w:sz="0" w:space="0" w:color="auto"/>
      </w:divBdr>
    </w:div>
    <w:div w:id="330790937">
      <w:bodyDiv w:val="1"/>
      <w:marLeft w:val="0"/>
      <w:marRight w:val="0"/>
      <w:marTop w:val="0"/>
      <w:marBottom w:val="0"/>
      <w:divBdr>
        <w:top w:val="none" w:sz="0" w:space="0" w:color="auto"/>
        <w:left w:val="none" w:sz="0" w:space="0" w:color="auto"/>
        <w:bottom w:val="none" w:sz="0" w:space="0" w:color="auto"/>
        <w:right w:val="none" w:sz="0" w:space="0" w:color="auto"/>
      </w:divBdr>
    </w:div>
    <w:div w:id="333647161">
      <w:bodyDiv w:val="1"/>
      <w:marLeft w:val="0"/>
      <w:marRight w:val="0"/>
      <w:marTop w:val="0"/>
      <w:marBottom w:val="0"/>
      <w:divBdr>
        <w:top w:val="none" w:sz="0" w:space="0" w:color="auto"/>
        <w:left w:val="none" w:sz="0" w:space="0" w:color="auto"/>
        <w:bottom w:val="none" w:sz="0" w:space="0" w:color="auto"/>
        <w:right w:val="none" w:sz="0" w:space="0" w:color="auto"/>
      </w:divBdr>
    </w:div>
    <w:div w:id="343745235">
      <w:bodyDiv w:val="1"/>
      <w:marLeft w:val="0"/>
      <w:marRight w:val="0"/>
      <w:marTop w:val="0"/>
      <w:marBottom w:val="0"/>
      <w:divBdr>
        <w:top w:val="none" w:sz="0" w:space="0" w:color="auto"/>
        <w:left w:val="none" w:sz="0" w:space="0" w:color="auto"/>
        <w:bottom w:val="none" w:sz="0" w:space="0" w:color="auto"/>
        <w:right w:val="none" w:sz="0" w:space="0" w:color="auto"/>
      </w:divBdr>
    </w:div>
    <w:div w:id="371852410">
      <w:bodyDiv w:val="1"/>
      <w:marLeft w:val="0"/>
      <w:marRight w:val="0"/>
      <w:marTop w:val="0"/>
      <w:marBottom w:val="0"/>
      <w:divBdr>
        <w:top w:val="none" w:sz="0" w:space="0" w:color="auto"/>
        <w:left w:val="none" w:sz="0" w:space="0" w:color="auto"/>
        <w:bottom w:val="none" w:sz="0" w:space="0" w:color="auto"/>
        <w:right w:val="none" w:sz="0" w:space="0" w:color="auto"/>
      </w:divBdr>
    </w:div>
    <w:div w:id="396784322">
      <w:bodyDiv w:val="1"/>
      <w:marLeft w:val="0"/>
      <w:marRight w:val="0"/>
      <w:marTop w:val="0"/>
      <w:marBottom w:val="0"/>
      <w:divBdr>
        <w:top w:val="none" w:sz="0" w:space="0" w:color="auto"/>
        <w:left w:val="none" w:sz="0" w:space="0" w:color="auto"/>
        <w:bottom w:val="none" w:sz="0" w:space="0" w:color="auto"/>
        <w:right w:val="none" w:sz="0" w:space="0" w:color="auto"/>
      </w:divBdr>
    </w:div>
    <w:div w:id="397635215">
      <w:bodyDiv w:val="1"/>
      <w:marLeft w:val="0"/>
      <w:marRight w:val="0"/>
      <w:marTop w:val="0"/>
      <w:marBottom w:val="0"/>
      <w:divBdr>
        <w:top w:val="none" w:sz="0" w:space="0" w:color="auto"/>
        <w:left w:val="none" w:sz="0" w:space="0" w:color="auto"/>
        <w:bottom w:val="none" w:sz="0" w:space="0" w:color="auto"/>
        <w:right w:val="none" w:sz="0" w:space="0" w:color="auto"/>
      </w:divBdr>
    </w:div>
    <w:div w:id="398483118">
      <w:bodyDiv w:val="1"/>
      <w:marLeft w:val="0"/>
      <w:marRight w:val="0"/>
      <w:marTop w:val="0"/>
      <w:marBottom w:val="0"/>
      <w:divBdr>
        <w:top w:val="none" w:sz="0" w:space="0" w:color="auto"/>
        <w:left w:val="none" w:sz="0" w:space="0" w:color="auto"/>
        <w:bottom w:val="none" w:sz="0" w:space="0" w:color="auto"/>
        <w:right w:val="none" w:sz="0" w:space="0" w:color="auto"/>
      </w:divBdr>
    </w:div>
    <w:div w:id="404765015">
      <w:bodyDiv w:val="1"/>
      <w:marLeft w:val="0"/>
      <w:marRight w:val="0"/>
      <w:marTop w:val="0"/>
      <w:marBottom w:val="0"/>
      <w:divBdr>
        <w:top w:val="none" w:sz="0" w:space="0" w:color="auto"/>
        <w:left w:val="none" w:sz="0" w:space="0" w:color="auto"/>
        <w:bottom w:val="none" w:sz="0" w:space="0" w:color="auto"/>
        <w:right w:val="none" w:sz="0" w:space="0" w:color="auto"/>
      </w:divBdr>
    </w:div>
    <w:div w:id="443303193">
      <w:bodyDiv w:val="1"/>
      <w:marLeft w:val="0"/>
      <w:marRight w:val="0"/>
      <w:marTop w:val="0"/>
      <w:marBottom w:val="0"/>
      <w:divBdr>
        <w:top w:val="none" w:sz="0" w:space="0" w:color="auto"/>
        <w:left w:val="none" w:sz="0" w:space="0" w:color="auto"/>
        <w:bottom w:val="none" w:sz="0" w:space="0" w:color="auto"/>
        <w:right w:val="none" w:sz="0" w:space="0" w:color="auto"/>
      </w:divBdr>
    </w:div>
    <w:div w:id="451021947">
      <w:bodyDiv w:val="1"/>
      <w:marLeft w:val="0"/>
      <w:marRight w:val="0"/>
      <w:marTop w:val="0"/>
      <w:marBottom w:val="0"/>
      <w:divBdr>
        <w:top w:val="none" w:sz="0" w:space="0" w:color="auto"/>
        <w:left w:val="none" w:sz="0" w:space="0" w:color="auto"/>
        <w:bottom w:val="none" w:sz="0" w:space="0" w:color="auto"/>
        <w:right w:val="none" w:sz="0" w:space="0" w:color="auto"/>
      </w:divBdr>
    </w:div>
    <w:div w:id="461965820">
      <w:bodyDiv w:val="1"/>
      <w:marLeft w:val="0"/>
      <w:marRight w:val="0"/>
      <w:marTop w:val="0"/>
      <w:marBottom w:val="0"/>
      <w:divBdr>
        <w:top w:val="none" w:sz="0" w:space="0" w:color="auto"/>
        <w:left w:val="none" w:sz="0" w:space="0" w:color="auto"/>
        <w:bottom w:val="none" w:sz="0" w:space="0" w:color="auto"/>
        <w:right w:val="none" w:sz="0" w:space="0" w:color="auto"/>
      </w:divBdr>
    </w:div>
    <w:div w:id="480540384">
      <w:bodyDiv w:val="1"/>
      <w:marLeft w:val="0"/>
      <w:marRight w:val="0"/>
      <w:marTop w:val="0"/>
      <w:marBottom w:val="0"/>
      <w:divBdr>
        <w:top w:val="none" w:sz="0" w:space="0" w:color="auto"/>
        <w:left w:val="none" w:sz="0" w:space="0" w:color="auto"/>
        <w:bottom w:val="none" w:sz="0" w:space="0" w:color="auto"/>
        <w:right w:val="none" w:sz="0" w:space="0" w:color="auto"/>
      </w:divBdr>
    </w:div>
    <w:div w:id="497161391">
      <w:bodyDiv w:val="1"/>
      <w:marLeft w:val="0"/>
      <w:marRight w:val="0"/>
      <w:marTop w:val="0"/>
      <w:marBottom w:val="0"/>
      <w:divBdr>
        <w:top w:val="none" w:sz="0" w:space="0" w:color="auto"/>
        <w:left w:val="none" w:sz="0" w:space="0" w:color="auto"/>
        <w:bottom w:val="none" w:sz="0" w:space="0" w:color="auto"/>
        <w:right w:val="none" w:sz="0" w:space="0" w:color="auto"/>
      </w:divBdr>
    </w:div>
    <w:div w:id="518664913">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93125657">
      <w:bodyDiv w:val="1"/>
      <w:marLeft w:val="0"/>
      <w:marRight w:val="0"/>
      <w:marTop w:val="0"/>
      <w:marBottom w:val="0"/>
      <w:divBdr>
        <w:top w:val="none" w:sz="0" w:space="0" w:color="auto"/>
        <w:left w:val="none" w:sz="0" w:space="0" w:color="auto"/>
        <w:bottom w:val="none" w:sz="0" w:space="0" w:color="auto"/>
        <w:right w:val="none" w:sz="0" w:space="0" w:color="auto"/>
      </w:divBdr>
    </w:div>
    <w:div w:id="593169374">
      <w:bodyDiv w:val="1"/>
      <w:marLeft w:val="0"/>
      <w:marRight w:val="0"/>
      <w:marTop w:val="0"/>
      <w:marBottom w:val="0"/>
      <w:divBdr>
        <w:top w:val="none" w:sz="0" w:space="0" w:color="auto"/>
        <w:left w:val="none" w:sz="0" w:space="0" w:color="auto"/>
        <w:bottom w:val="none" w:sz="0" w:space="0" w:color="auto"/>
        <w:right w:val="none" w:sz="0" w:space="0" w:color="auto"/>
      </w:divBdr>
    </w:div>
    <w:div w:id="627513093">
      <w:bodyDiv w:val="1"/>
      <w:marLeft w:val="0"/>
      <w:marRight w:val="0"/>
      <w:marTop w:val="0"/>
      <w:marBottom w:val="0"/>
      <w:divBdr>
        <w:top w:val="none" w:sz="0" w:space="0" w:color="auto"/>
        <w:left w:val="none" w:sz="0" w:space="0" w:color="auto"/>
        <w:bottom w:val="none" w:sz="0" w:space="0" w:color="auto"/>
        <w:right w:val="none" w:sz="0" w:space="0" w:color="auto"/>
      </w:divBdr>
    </w:div>
    <w:div w:id="637035992">
      <w:bodyDiv w:val="1"/>
      <w:marLeft w:val="0"/>
      <w:marRight w:val="0"/>
      <w:marTop w:val="0"/>
      <w:marBottom w:val="0"/>
      <w:divBdr>
        <w:top w:val="none" w:sz="0" w:space="0" w:color="auto"/>
        <w:left w:val="none" w:sz="0" w:space="0" w:color="auto"/>
        <w:bottom w:val="none" w:sz="0" w:space="0" w:color="auto"/>
        <w:right w:val="none" w:sz="0" w:space="0" w:color="auto"/>
      </w:divBdr>
    </w:div>
    <w:div w:id="672728702">
      <w:bodyDiv w:val="1"/>
      <w:marLeft w:val="0"/>
      <w:marRight w:val="0"/>
      <w:marTop w:val="0"/>
      <w:marBottom w:val="0"/>
      <w:divBdr>
        <w:top w:val="none" w:sz="0" w:space="0" w:color="auto"/>
        <w:left w:val="none" w:sz="0" w:space="0" w:color="auto"/>
        <w:bottom w:val="none" w:sz="0" w:space="0" w:color="auto"/>
        <w:right w:val="none" w:sz="0" w:space="0" w:color="auto"/>
      </w:divBdr>
    </w:div>
    <w:div w:id="679508718">
      <w:bodyDiv w:val="1"/>
      <w:marLeft w:val="0"/>
      <w:marRight w:val="0"/>
      <w:marTop w:val="0"/>
      <w:marBottom w:val="0"/>
      <w:divBdr>
        <w:top w:val="none" w:sz="0" w:space="0" w:color="auto"/>
        <w:left w:val="none" w:sz="0" w:space="0" w:color="auto"/>
        <w:bottom w:val="none" w:sz="0" w:space="0" w:color="auto"/>
        <w:right w:val="none" w:sz="0" w:space="0" w:color="auto"/>
      </w:divBdr>
    </w:div>
    <w:div w:id="690764245">
      <w:bodyDiv w:val="1"/>
      <w:marLeft w:val="0"/>
      <w:marRight w:val="0"/>
      <w:marTop w:val="0"/>
      <w:marBottom w:val="0"/>
      <w:divBdr>
        <w:top w:val="none" w:sz="0" w:space="0" w:color="auto"/>
        <w:left w:val="none" w:sz="0" w:space="0" w:color="auto"/>
        <w:bottom w:val="none" w:sz="0" w:space="0" w:color="auto"/>
        <w:right w:val="none" w:sz="0" w:space="0" w:color="auto"/>
      </w:divBdr>
    </w:div>
    <w:div w:id="705714130">
      <w:bodyDiv w:val="1"/>
      <w:marLeft w:val="0"/>
      <w:marRight w:val="0"/>
      <w:marTop w:val="0"/>
      <w:marBottom w:val="0"/>
      <w:divBdr>
        <w:top w:val="none" w:sz="0" w:space="0" w:color="auto"/>
        <w:left w:val="none" w:sz="0" w:space="0" w:color="auto"/>
        <w:bottom w:val="none" w:sz="0" w:space="0" w:color="auto"/>
        <w:right w:val="none" w:sz="0" w:space="0" w:color="auto"/>
      </w:divBdr>
    </w:div>
    <w:div w:id="722949478">
      <w:bodyDiv w:val="1"/>
      <w:marLeft w:val="0"/>
      <w:marRight w:val="0"/>
      <w:marTop w:val="0"/>
      <w:marBottom w:val="0"/>
      <w:divBdr>
        <w:top w:val="none" w:sz="0" w:space="0" w:color="auto"/>
        <w:left w:val="none" w:sz="0" w:space="0" w:color="auto"/>
        <w:bottom w:val="none" w:sz="0" w:space="0" w:color="auto"/>
        <w:right w:val="none" w:sz="0" w:space="0" w:color="auto"/>
      </w:divBdr>
    </w:div>
    <w:div w:id="724061545">
      <w:bodyDiv w:val="1"/>
      <w:marLeft w:val="0"/>
      <w:marRight w:val="0"/>
      <w:marTop w:val="0"/>
      <w:marBottom w:val="0"/>
      <w:divBdr>
        <w:top w:val="none" w:sz="0" w:space="0" w:color="auto"/>
        <w:left w:val="none" w:sz="0" w:space="0" w:color="auto"/>
        <w:bottom w:val="none" w:sz="0" w:space="0" w:color="auto"/>
        <w:right w:val="none" w:sz="0" w:space="0" w:color="auto"/>
      </w:divBdr>
    </w:div>
    <w:div w:id="737440379">
      <w:bodyDiv w:val="1"/>
      <w:marLeft w:val="0"/>
      <w:marRight w:val="0"/>
      <w:marTop w:val="0"/>
      <w:marBottom w:val="0"/>
      <w:divBdr>
        <w:top w:val="none" w:sz="0" w:space="0" w:color="auto"/>
        <w:left w:val="none" w:sz="0" w:space="0" w:color="auto"/>
        <w:bottom w:val="none" w:sz="0" w:space="0" w:color="auto"/>
        <w:right w:val="none" w:sz="0" w:space="0" w:color="auto"/>
      </w:divBdr>
    </w:div>
    <w:div w:id="746998896">
      <w:bodyDiv w:val="1"/>
      <w:marLeft w:val="0"/>
      <w:marRight w:val="0"/>
      <w:marTop w:val="0"/>
      <w:marBottom w:val="0"/>
      <w:divBdr>
        <w:top w:val="none" w:sz="0" w:space="0" w:color="auto"/>
        <w:left w:val="none" w:sz="0" w:space="0" w:color="auto"/>
        <w:bottom w:val="none" w:sz="0" w:space="0" w:color="auto"/>
        <w:right w:val="none" w:sz="0" w:space="0" w:color="auto"/>
      </w:divBdr>
      <w:divsChild>
        <w:div w:id="2006013188">
          <w:marLeft w:val="0"/>
          <w:marRight w:val="0"/>
          <w:marTop w:val="0"/>
          <w:marBottom w:val="0"/>
          <w:divBdr>
            <w:top w:val="none" w:sz="0" w:space="0" w:color="auto"/>
            <w:left w:val="none" w:sz="0" w:space="0" w:color="auto"/>
            <w:bottom w:val="none" w:sz="0" w:space="0" w:color="auto"/>
            <w:right w:val="none" w:sz="0" w:space="0" w:color="auto"/>
          </w:divBdr>
          <w:divsChild>
            <w:div w:id="1131287666">
              <w:marLeft w:val="0"/>
              <w:marRight w:val="0"/>
              <w:marTop w:val="0"/>
              <w:marBottom w:val="0"/>
              <w:divBdr>
                <w:top w:val="none" w:sz="0" w:space="0" w:color="auto"/>
                <w:left w:val="none" w:sz="0" w:space="0" w:color="auto"/>
                <w:bottom w:val="none" w:sz="0" w:space="0" w:color="auto"/>
                <w:right w:val="none" w:sz="0" w:space="0" w:color="auto"/>
              </w:divBdr>
              <w:divsChild>
                <w:div w:id="1524634133">
                  <w:marLeft w:val="0"/>
                  <w:marRight w:val="0"/>
                  <w:marTop w:val="0"/>
                  <w:marBottom w:val="0"/>
                  <w:divBdr>
                    <w:top w:val="none" w:sz="0" w:space="0" w:color="auto"/>
                    <w:left w:val="none" w:sz="0" w:space="0" w:color="auto"/>
                    <w:bottom w:val="none" w:sz="0" w:space="0" w:color="auto"/>
                    <w:right w:val="none" w:sz="0" w:space="0" w:color="auto"/>
                  </w:divBdr>
                  <w:divsChild>
                    <w:div w:id="296960677">
                      <w:marLeft w:val="0"/>
                      <w:marRight w:val="0"/>
                      <w:marTop w:val="0"/>
                      <w:marBottom w:val="0"/>
                      <w:divBdr>
                        <w:top w:val="none" w:sz="0" w:space="0" w:color="auto"/>
                        <w:left w:val="none" w:sz="0" w:space="0" w:color="auto"/>
                        <w:bottom w:val="none" w:sz="0" w:space="0" w:color="auto"/>
                        <w:right w:val="none" w:sz="0" w:space="0" w:color="auto"/>
                      </w:divBdr>
                      <w:divsChild>
                        <w:div w:id="1588029151">
                          <w:marLeft w:val="0"/>
                          <w:marRight w:val="0"/>
                          <w:marTop w:val="0"/>
                          <w:marBottom w:val="0"/>
                          <w:divBdr>
                            <w:top w:val="none" w:sz="0" w:space="0" w:color="auto"/>
                            <w:left w:val="none" w:sz="0" w:space="0" w:color="auto"/>
                            <w:bottom w:val="none" w:sz="0" w:space="0" w:color="auto"/>
                            <w:right w:val="none" w:sz="0" w:space="0" w:color="auto"/>
                          </w:divBdr>
                          <w:divsChild>
                            <w:div w:id="1370883038">
                              <w:marLeft w:val="0"/>
                              <w:marRight w:val="0"/>
                              <w:marTop w:val="0"/>
                              <w:marBottom w:val="0"/>
                              <w:divBdr>
                                <w:top w:val="none" w:sz="0" w:space="0" w:color="auto"/>
                                <w:left w:val="none" w:sz="0" w:space="0" w:color="auto"/>
                                <w:bottom w:val="none" w:sz="0" w:space="0" w:color="auto"/>
                                <w:right w:val="none" w:sz="0" w:space="0" w:color="auto"/>
                              </w:divBdr>
                              <w:divsChild>
                                <w:div w:id="216666595">
                                  <w:marLeft w:val="0"/>
                                  <w:marRight w:val="0"/>
                                  <w:marTop w:val="0"/>
                                  <w:marBottom w:val="0"/>
                                  <w:divBdr>
                                    <w:top w:val="none" w:sz="0" w:space="0" w:color="auto"/>
                                    <w:left w:val="none" w:sz="0" w:space="0" w:color="auto"/>
                                    <w:bottom w:val="none" w:sz="0" w:space="0" w:color="auto"/>
                                    <w:right w:val="none" w:sz="0" w:space="0" w:color="auto"/>
                                  </w:divBdr>
                                  <w:divsChild>
                                    <w:div w:id="1994798374">
                                      <w:marLeft w:val="0"/>
                                      <w:marRight w:val="0"/>
                                      <w:marTop w:val="0"/>
                                      <w:marBottom w:val="0"/>
                                      <w:divBdr>
                                        <w:top w:val="none" w:sz="0" w:space="0" w:color="auto"/>
                                        <w:left w:val="none" w:sz="0" w:space="0" w:color="auto"/>
                                        <w:bottom w:val="none" w:sz="0" w:space="0" w:color="auto"/>
                                        <w:right w:val="none" w:sz="0" w:space="0" w:color="auto"/>
                                      </w:divBdr>
                                      <w:divsChild>
                                        <w:div w:id="47580073">
                                          <w:marLeft w:val="0"/>
                                          <w:marRight w:val="0"/>
                                          <w:marTop w:val="0"/>
                                          <w:marBottom w:val="0"/>
                                          <w:divBdr>
                                            <w:top w:val="none" w:sz="0" w:space="0" w:color="auto"/>
                                            <w:left w:val="none" w:sz="0" w:space="0" w:color="auto"/>
                                            <w:bottom w:val="none" w:sz="0" w:space="0" w:color="auto"/>
                                            <w:right w:val="none" w:sz="0" w:space="0" w:color="auto"/>
                                          </w:divBdr>
                                          <w:divsChild>
                                            <w:div w:id="3470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086399">
      <w:bodyDiv w:val="1"/>
      <w:marLeft w:val="0"/>
      <w:marRight w:val="0"/>
      <w:marTop w:val="0"/>
      <w:marBottom w:val="0"/>
      <w:divBdr>
        <w:top w:val="none" w:sz="0" w:space="0" w:color="auto"/>
        <w:left w:val="none" w:sz="0" w:space="0" w:color="auto"/>
        <w:bottom w:val="none" w:sz="0" w:space="0" w:color="auto"/>
        <w:right w:val="none" w:sz="0" w:space="0" w:color="auto"/>
      </w:divBdr>
    </w:div>
    <w:div w:id="753674302">
      <w:bodyDiv w:val="1"/>
      <w:marLeft w:val="0"/>
      <w:marRight w:val="0"/>
      <w:marTop w:val="0"/>
      <w:marBottom w:val="0"/>
      <w:divBdr>
        <w:top w:val="none" w:sz="0" w:space="0" w:color="auto"/>
        <w:left w:val="none" w:sz="0" w:space="0" w:color="auto"/>
        <w:bottom w:val="none" w:sz="0" w:space="0" w:color="auto"/>
        <w:right w:val="none" w:sz="0" w:space="0" w:color="auto"/>
      </w:divBdr>
    </w:div>
    <w:div w:id="768501496">
      <w:bodyDiv w:val="1"/>
      <w:marLeft w:val="0"/>
      <w:marRight w:val="0"/>
      <w:marTop w:val="0"/>
      <w:marBottom w:val="0"/>
      <w:divBdr>
        <w:top w:val="none" w:sz="0" w:space="0" w:color="auto"/>
        <w:left w:val="none" w:sz="0" w:space="0" w:color="auto"/>
        <w:bottom w:val="none" w:sz="0" w:space="0" w:color="auto"/>
        <w:right w:val="none" w:sz="0" w:space="0" w:color="auto"/>
      </w:divBdr>
    </w:div>
    <w:div w:id="773480144">
      <w:bodyDiv w:val="1"/>
      <w:marLeft w:val="0"/>
      <w:marRight w:val="0"/>
      <w:marTop w:val="0"/>
      <w:marBottom w:val="0"/>
      <w:divBdr>
        <w:top w:val="none" w:sz="0" w:space="0" w:color="auto"/>
        <w:left w:val="none" w:sz="0" w:space="0" w:color="auto"/>
        <w:bottom w:val="none" w:sz="0" w:space="0" w:color="auto"/>
        <w:right w:val="none" w:sz="0" w:space="0" w:color="auto"/>
      </w:divBdr>
    </w:div>
    <w:div w:id="783113188">
      <w:bodyDiv w:val="1"/>
      <w:marLeft w:val="0"/>
      <w:marRight w:val="0"/>
      <w:marTop w:val="0"/>
      <w:marBottom w:val="0"/>
      <w:divBdr>
        <w:top w:val="none" w:sz="0" w:space="0" w:color="auto"/>
        <w:left w:val="none" w:sz="0" w:space="0" w:color="auto"/>
        <w:bottom w:val="none" w:sz="0" w:space="0" w:color="auto"/>
        <w:right w:val="none" w:sz="0" w:space="0" w:color="auto"/>
      </w:divBdr>
    </w:div>
    <w:div w:id="789589727">
      <w:bodyDiv w:val="1"/>
      <w:marLeft w:val="0"/>
      <w:marRight w:val="0"/>
      <w:marTop w:val="0"/>
      <w:marBottom w:val="0"/>
      <w:divBdr>
        <w:top w:val="none" w:sz="0" w:space="0" w:color="auto"/>
        <w:left w:val="none" w:sz="0" w:space="0" w:color="auto"/>
        <w:bottom w:val="none" w:sz="0" w:space="0" w:color="auto"/>
        <w:right w:val="none" w:sz="0" w:space="0" w:color="auto"/>
      </w:divBdr>
    </w:div>
    <w:div w:id="835804903">
      <w:bodyDiv w:val="1"/>
      <w:marLeft w:val="0"/>
      <w:marRight w:val="0"/>
      <w:marTop w:val="0"/>
      <w:marBottom w:val="0"/>
      <w:divBdr>
        <w:top w:val="none" w:sz="0" w:space="0" w:color="auto"/>
        <w:left w:val="none" w:sz="0" w:space="0" w:color="auto"/>
        <w:bottom w:val="none" w:sz="0" w:space="0" w:color="auto"/>
        <w:right w:val="none" w:sz="0" w:space="0" w:color="auto"/>
      </w:divBdr>
    </w:div>
    <w:div w:id="838544642">
      <w:bodyDiv w:val="1"/>
      <w:marLeft w:val="0"/>
      <w:marRight w:val="0"/>
      <w:marTop w:val="0"/>
      <w:marBottom w:val="0"/>
      <w:divBdr>
        <w:top w:val="none" w:sz="0" w:space="0" w:color="auto"/>
        <w:left w:val="none" w:sz="0" w:space="0" w:color="auto"/>
        <w:bottom w:val="none" w:sz="0" w:space="0" w:color="auto"/>
        <w:right w:val="none" w:sz="0" w:space="0" w:color="auto"/>
      </w:divBdr>
    </w:div>
    <w:div w:id="851530274">
      <w:bodyDiv w:val="1"/>
      <w:marLeft w:val="0"/>
      <w:marRight w:val="0"/>
      <w:marTop w:val="0"/>
      <w:marBottom w:val="0"/>
      <w:divBdr>
        <w:top w:val="none" w:sz="0" w:space="0" w:color="auto"/>
        <w:left w:val="none" w:sz="0" w:space="0" w:color="auto"/>
        <w:bottom w:val="none" w:sz="0" w:space="0" w:color="auto"/>
        <w:right w:val="none" w:sz="0" w:space="0" w:color="auto"/>
      </w:divBdr>
    </w:div>
    <w:div w:id="865219745">
      <w:bodyDiv w:val="1"/>
      <w:marLeft w:val="0"/>
      <w:marRight w:val="0"/>
      <w:marTop w:val="0"/>
      <w:marBottom w:val="0"/>
      <w:divBdr>
        <w:top w:val="none" w:sz="0" w:space="0" w:color="auto"/>
        <w:left w:val="none" w:sz="0" w:space="0" w:color="auto"/>
        <w:bottom w:val="none" w:sz="0" w:space="0" w:color="auto"/>
        <w:right w:val="none" w:sz="0" w:space="0" w:color="auto"/>
      </w:divBdr>
    </w:div>
    <w:div w:id="882333164">
      <w:bodyDiv w:val="1"/>
      <w:marLeft w:val="0"/>
      <w:marRight w:val="0"/>
      <w:marTop w:val="0"/>
      <w:marBottom w:val="0"/>
      <w:divBdr>
        <w:top w:val="none" w:sz="0" w:space="0" w:color="auto"/>
        <w:left w:val="none" w:sz="0" w:space="0" w:color="auto"/>
        <w:bottom w:val="none" w:sz="0" w:space="0" w:color="auto"/>
        <w:right w:val="none" w:sz="0" w:space="0" w:color="auto"/>
      </w:divBdr>
    </w:div>
    <w:div w:id="885332212">
      <w:bodyDiv w:val="1"/>
      <w:marLeft w:val="0"/>
      <w:marRight w:val="0"/>
      <w:marTop w:val="0"/>
      <w:marBottom w:val="0"/>
      <w:divBdr>
        <w:top w:val="none" w:sz="0" w:space="0" w:color="auto"/>
        <w:left w:val="none" w:sz="0" w:space="0" w:color="auto"/>
        <w:bottom w:val="none" w:sz="0" w:space="0" w:color="auto"/>
        <w:right w:val="none" w:sz="0" w:space="0" w:color="auto"/>
      </w:divBdr>
    </w:div>
    <w:div w:id="891696986">
      <w:bodyDiv w:val="1"/>
      <w:marLeft w:val="0"/>
      <w:marRight w:val="0"/>
      <w:marTop w:val="0"/>
      <w:marBottom w:val="0"/>
      <w:divBdr>
        <w:top w:val="none" w:sz="0" w:space="0" w:color="auto"/>
        <w:left w:val="none" w:sz="0" w:space="0" w:color="auto"/>
        <w:bottom w:val="none" w:sz="0" w:space="0" w:color="auto"/>
        <w:right w:val="none" w:sz="0" w:space="0" w:color="auto"/>
      </w:divBdr>
    </w:div>
    <w:div w:id="931429113">
      <w:bodyDiv w:val="1"/>
      <w:marLeft w:val="0"/>
      <w:marRight w:val="0"/>
      <w:marTop w:val="0"/>
      <w:marBottom w:val="0"/>
      <w:divBdr>
        <w:top w:val="none" w:sz="0" w:space="0" w:color="auto"/>
        <w:left w:val="none" w:sz="0" w:space="0" w:color="auto"/>
        <w:bottom w:val="none" w:sz="0" w:space="0" w:color="auto"/>
        <w:right w:val="none" w:sz="0" w:space="0" w:color="auto"/>
      </w:divBdr>
    </w:div>
    <w:div w:id="974943577">
      <w:bodyDiv w:val="1"/>
      <w:marLeft w:val="0"/>
      <w:marRight w:val="0"/>
      <w:marTop w:val="0"/>
      <w:marBottom w:val="0"/>
      <w:divBdr>
        <w:top w:val="none" w:sz="0" w:space="0" w:color="auto"/>
        <w:left w:val="none" w:sz="0" w:space="0" w:color="auto"/>
        <w:bottom w:val="none" w:sz="0" w:space="0" w:color="auto"/>
        <w:right w:val="none" w:sz="0" w:space="0" w:color="auto"/>
      </w:divBdr>
    </w:div>
    <w:div w:id="980815953">
      <w:bodyDiv w:val="1"/>
      <w:marLeft w:val="0"/>
      <w:marRight w:val="0"/>
      <w:marTop w:val="0"/>
      <w:marBottom w:val="0"/>
      <w:divBdr>
        <w:top w:val="none" w:sz="0" w:space="0" w:color="auto"/>
        <w:left w:val="none" w:sz="0" w:space="0" w:color="auto"/>
        <w:bottom w:val="none" w:sz="0" w:space="0" w:color="auto"/>
        <w:right w:val="none" w:sz="0" w:space="0" w:color="auto"/>
      </w:divBdr>
    </w:div>
    <w:div w:id="1015349725">
      <w:bodyDiv w:val="1"/>
      <w:marLeft w:val="0"/>
      <w:marRight w:val="0"/>
      <w:marTop w:val="0"/>
      <w:marBottom w:val="0"/>
      <w:divBdr>
        <w:top w:val="none" w:sz="0" w:space="0" w:color="auto"/>
        <w:left w:val="none" w:sz="0" w:space="0" w:color="auto"/>
        <w:bottom w:val="none" w:sz="0" w:space="0" w:color="auto"/>
        <w:right w:val="none" w:sz="0" w:space="0" w:color="auto"/>
      </w:divBdr>
    </w:div>
    <w:div w:id="1064720701">
      <w:bodyDiv w:val="1"/>
      <w:marLeft w:val="0"/>
      <w:marRight w:val="0"/>
      <w:marTop w:val="0"/>
      <w:marBottom w:val="0"/>
      <w:divBdr>
        <w:top w:val="none" w:sz="0" w:space="0" w:color="auto"/>
        <w:left w:val="none" w:sz="0" w:space="0" w:color="auto"/>
        <w:bottom w:val="none" w:sz="0" w:space="0" w:color="auto"/>
        <w:right w:val="none" w:sz="0" w:space="0" w:color="auto"/>
      </w:divBdr>
    </w:div>
    <w:div w:id="1073356841">
      <w:bodyDiv w:val="1"/>
      <w:marLeft w:val="0"/>
      <w:marRight w:val="0"/>
      <w:marTop w:val="0"/>
      <w:marBottom w:val="0"/>
      <w:divBdr>
        <w:top w:val="none" w:sz="0" w:space="0" w:color="auto"/>
        <w:left w:val="none" w:sz="0" w:space="0" w:color="auto"/>
        <w:bottom w:val="none" w:sz="0" w:space="0" w:color="auto"/>
        <w:right w:val="none" w:sz="0" w:space="0" w:color="auto"/>
      </w:divBdr>
    </w:div>
    <w:div w:id="1082291150">
      <w:bodyDiv w:val="1"/>
      <w:marLeft w:val="0"/>
      <w:marRight w:val="0"/>
      <w:marTop w:val="0"/>
      <w:marBottom w:val="0"/>
      <w:divBdr>
        <w:top w:val="none" w:sz="0" w:space="0" w:color="auto"/>
        <w:left w:val="none" w:sz="0" w:space="0" w:color="auto"/>
        <w:bottom w:val="none" w:sz="0" w:space="0" w:color="auto"/>
        <w:right w:val="none" w:sz="0" w:space="0" w:color="auto"/>
      </w:divBdr>
    </w:div>
    <w:div w:id="1104886463">
      <w:bodyDiv w:val="1"/>
      <w:marLeft w:val="0"/>
      <w:marRight w:val="0"/>
      <w:marTop w:val="0"/>
      <w:marBottom w:val="0"/>
      <w:divBdr>
        <w:top w:val="none" w:sz="0" w:space="0" w:color="auto"/>
        <w:left w:val="none" w:sz="0" w:space="0" w:color="auto"/>
        <w:bottom w:val="none" w:sz="0" w:space="0" w:color="auto"/>
        <w:right w:val="none" w:sz="0" w:space="0" w:color="auto"/>
      </w:divBdr>
    </w:div>
    <w:div w:id="1106656775">
      <w:bodyDiv w:val="1"/>
      <w:marLeft w:val="0"/>
      <w:marRight w:val="0"/>
      <w:marTop w:val="0"/>
      <w:marBottom w:val="0"/>
      <w:divBdr>
        <w:top w:val="none" w:sz="0" w:space="0" w:color="auto"/>
        <w:left w:val="none" w:sz="0" w:space="0" w:color="auto"/>
        <w:bottom w:val="none" w:sz="0" w:space="0" w:color="auto"/>
        <w:right w:val="none" w:sz="0" w:space="0" w:color="auto"/>
      </w:divBdr>
    </w:div>
    <w:div w:id="1110390094">
      <w:bodyDiv w:val="1"/>
      <w:marLeft w:val="0"/>
      <w:marRight w:val="0"/>
      <w:marTop w:val="0"/>
      <w:marBottom w:val="0"/>
      <w:divBdr>
        <w:top w:val="none" w:sz="0" w:space="0" w:color="auto"/>
        <w:left w:val="none" w:sz="0" w:space="0" w:color="auto"/>
        <w:bottom w:val="none" w:sz="0" w:space="0" w:color="auto"/>
        <w:right w:val="none" w:sz="0" w:space="0" w:color="auto"/>
      </w:divBdr>
    </w:div>
    <w:div w:id="1113984198">
      <w:bodyDiv w:val="1"/>
      <w:marLeft w:val="0"/>
      <w:marRight w:val="0"/>
      <w:marTop w:val="0"/>
      <w:marBottom w:val="0"/>
      <w:divBdr>
        <w:top w:val="none" w:sz="0" w:space="0" w:color="auto"/>
        <w:left w:val="none" w:sz="0" w:space="0" w:color="auto"/>
        <w:bottom w:val="none" w:sz="0" w:space="0" w:color="auto"/>
        <w:right w:val="none" w:sz="0" w:space="0" w:color="auto"/>
      </w:divBdr>
    </w:div>
    <w:div w:id="1131703595">
      <w:bodyDiv w:val="1"/>
      <w:marLeft w:val="0"/>
      <w:marRight w:val="0"/>
      <w:marTop w:val="0"/>
      <w:marBottom w:val="0"/>
      <w:divBdr>
        <w:top w:val="none" w:sz="0" w:space="0" w:color="auto"/>
        <w:left w:val="none" w:sz="0" w:space="0" w:color="auto"/>
        <w:bottom w:val="none" w:sz="0" w:space="0" w:color="auto"/>
        <w:right w:val="none" w:sz="0" w:space="0" w:color="auto"/>
      </w:divBdr>
    </w:div>
    <w:div w:id="1145509892">
      <w:bodyDiv w:val="1"/>
      <w:marLeft w:val="0"/>
      <w:marRight w:val="0"/>
      <w:marTop w:val="0"/>
      <w:marBottom w:val="0"/>
      <w:divBdr>
        <w:top w:val="none" w:sz="0" w:space="0" w:color="auto"/>
        <w:left w:val="none" w:sz="0" w:space="0" w:color="auto"/>
        <w:bottom w:val="none" w:sz="0" w:space="0" w:color="auto"/>
        <w:right w:val="none" w:sz="0" w:space="0" w:color="auto"/>
      </w:divBdr>
      <w:divsChild>
        <w:div w:id="1443256611">
          <w:marLeft w:val="0"/>
          <w:marRight w:val="0"/>
          <w:marTop w:val="0"/>
          <w:marBottom w:val="0"/>
          <w:divBdr>
            <w:top w:val="none" w:sz="0" w:space="0" w:color="auto"/>
            <w:left w:val="none" w:sz="0" w:space="0" w:color="auto"/>
            <w:bottom w:val="none" w:sz="0" w:space="0" w:color="auto"/>
            <w:right w:val="none" w:sz="0" w:space="0" w:color="auto"/>
          </w:divBdr>
        </w:div>
        <w:div w:id="1665474604">
          <w:marLeft w:val="0"/>
          <w:marRight w:val="0"/>
          <w:marTop w:val="0"/>
          <w:marBottom w:val="0"/>
          <w:divBdr>
            <w:top w:val="none" w:sz="0" w:space="0" w:color="auto"/>
            <w:left w:val="none" w:sz="0" w:space="0" w:color="auto"/>
            <w:bottom w:val="none" w:sz="0" w:space="0" w:color="auto"/>
            <w:right w:val="none" w:sz="0" w:space="0" w:color="auto"/>
          </w:divBdr>
        </w:div>
      </w:divsChild>
    </w:div>
    <w:div w:id="1164051981">
      <w:bodyDiv w:val="1"/>
      <w:marLeft w:val="0"/>
      <w:marRight w:val="0"/>
      <w:marTop w:val="0"/>
      <w:marBottom w:val="0"/>
      <w:divBdr>
        <w:top w:val="none" w:sz="0" w:space="0" w:color="auto"/>
        <w:left w:val="none" w:sz="0" w:space="0" w:color="auto"/>
        <w:bottom w:val="none" w:sz="0" w:space="0" w:color="auto"/>
        <w:right w:val="none" w:sz="0" w:space="0" w:color="auto"/>
      </w:divBdr>
    </w:div>
    <w:div w:id="1170103912">
      <w:bodyDiv w:val="1"/>
      <w:marLeft w:val="0"/>
      <w:marRight w:val="0"/>
      <w:marTop w:val="0"/>
      <w:marBottom w:val="0"/>
      <w:divBdr>
        <w:top w:val="none" w:sz="0" w:space="0" w:color="auto"/>
        <w:left w:val="none" w:sz="0" w:space="0" w:color="auto"/>
        <w:bottom w:val="none" w:sz="0" w:space="0" w:color="auto"/>
        <w:right w:val="none" w:sz="0" w:space="0" w:color="auto"/>
      </w:divBdr>
    </w:div>
    <w:div w:id="1176922050">
      <w:bodyDiv w:val="1"/>
      <w:marLeft w:val="0"/>
      <w:marRight w:val="0"/>
      <w:marTop w:val="0"/>
      <w:marBottom w:val="0"/>
      <w:divBdr>
        <w:top w:val="none" w:sz="0" w:space="0" w:color="auto"/>
        <w:left w:val="none" w:sz="0" w:space="0" w:color="auto"/>
        <w:bottom w:val="none" w:sz="0" w:space="0" w:color="auto"/>
        <w:right w:val="none" w:sz="0" w:space="0" w:color="auto"/>
      </w:divBdr>
    </w:div>
    <w:div w:id="1194155516">
      <w:bodyDiv w:val="1"/>
      <w:marLeft w:val="0"/>
      <w:marRight w:val="0"/>
      <w:marTop w:val="0"/>
      <w:marBottom w:val="0"/>
      <w:divBdr>
        <w:top w:val="none" w:sz="0" w:space="0" w:color="auto"/>
        <w:left w:val="none" w:sz="0" w:space="0" w:color="auto"/>
        <w:bottom w:val="none" w:sz="0" w:space="0" w:color="auto"/>
        <w:right w:val="none" w:sz="0" w:space="0" w:color="auto"/>
      </w:divBdr>
    </w:div>
    <w:div w:id="1207914832">
      <w:bodyDiv w:val="1"/>
      <w:marLeft w:val="0"/>
      <w:marRight w:val="0"/>
      <w:marTop w:val="0"/>
      <w:marBottom w:val="0"/>
      <w:divBdr>
        <w:top w:val="none" w:sz="0" w:space="0" w:color="auto"/>
        <w:left w:val="none" w:sz="0" w:space="0" w:color="auto"/>
        <w:bottom w:val="none" w:sz="0" w:space="0" w:color="auto"/>
        <w:right w:val="none" w:sz="0" w:space="0" w:color="auto"/>
      </w:divBdr>
    </w:div>
    <w:div w:id="1208491706">
      <w:bodyDiv w:val="1"/>
      <w:marLeft w:val="0"/>
      <w:marRight w:val="0"/>
      <w:marTop w:val="0"/>
      <w:marBottom w:val="0"/>
      <w:divBdr>
        <w:top w:val="none" w:sz="0" w:space="0" w:color="auto"/>
        <w:left w:val="none" w:sz="0" w:space="0" w:color="auto"/>
        <w:bottom w:val="none" w:sz="0" w:space="0" w:color="auto"/>
        <w:right w:val="none" w:sz="0" w:space="0" w:color="auto"/>
      </w:divBdr>
    </w:div>
    <w:div w:id="1210922795">
      <w:bodyDiv w:val="1"/>
      <w:marLeft w:val="0"/>
      <w:marRight w:val="0"/>
      <w:marTop w:val="0"/>
      <w:marBottom w:val="0"/>
      <w:divBdr>
        <w:top w:val="none" w:sz="0" w:space="0" w:color="auto"/>
        <w:left w:val="none" w:sz="0" w:space="0" w:color="auto"/>
        <w:bottom w:val="none" w:sz="0" w:space="0" w:color="auto"/>
        <w:right w:val="none" w:sz="0" w:space="0" w:color="auto"/>
      </w:divBdr>
    </w:div>
    <w:div w:id="1226069576">
      <w:bodyDiv w:val="1"/>
      <w:marLeft w:val="0"/>
      <w:marRight w:val="0"/>
      <w:marTop w:val="0"/>
      <w:marBottom w:val="0"/>
      <w:divBdr>
        <w:top w:val="none" w:sz="0" w:space="0" w:color="auto"/>
        <w:left w:val="none" w:sz="0" w:space="0" w:color="auto"/>
        <w:bottom w:val="none" w:sz="0" w:space="0" w:color="auto"/>
        <w:right w:val="none" w:sz="0" w:space="0" w:color="auto"/>
      </w:divBdr>
    </w:div>
    <w:div w:id="1236167579">
      <w:bodyDiv w:val="1"/>
      <w:marLeft w:val="0"/>
      <w:marRight w:val="0"/>
      <w:marTop w:val="0"/>
      <w:marBottom w:val="0"/>
      <w:divBdr>
        <w:top w:val="none" w:sz="0" w:space="0" w:color="auto"/>
        <w:left w:val="none" w:sz="0" w:space="0" w:color="auto"/>
        <w:bottom w:val="none" w:sz="0" w:space="0" w:color="auto"/>
        <w:right w:val="none" w:sz="0" w:space="0" w:color="auto"/>
      </w:divBdr>
    </w:div>
    <w:div w:id="1267999878">
      <w:bodyDiv w:val="1"/>
      <w:marLeft w:val="0"/>
      <w:marRight w:val="0"/>
      <w:marTop w:val="0"/>
      <w:marBottom w:val="0"/>
      <w:divBdr>
        <w:top w:val="none" w:sz="0" w:space="0" w:color="auto"/>
        <w:left w:val="none" w:sz="0" w:space="0" w:color="auto"/>
        <w:bottom w:val="none" w:sz="0" w:space="0" w:color="auto"/>
        <w:right w:val="none" w:sz="0" w:space="0" w:color="auto"/>
      </w:divBdr>
    </w:div>
    <w:div w:id="1272010615">
      <w:bodyDiv w:val="1"/>
      <w:marLeft w:val="0"/>
      <w:marRight w:val="0"/>
      <w:marTop w:val="0"/>
      <w:marBottom w:val="0"/>
      <w:divBdr>
        <w:top w:val="none" w:sz="0" w:space="0" w:color="auto"/>
        <w:left w:val="none" w:sz="0" w:space="0" w:color="auto"/>
        <w:bottom w:val="none" w:sz="0" w:space="0" w:color="auto"/>
        <w:right w:val="none" w:sz="0" w:space="0" w:color="auto"/>
      </w:divBdr>
    </w:div>
    <w:div w:id="1282298793">
      <w:bodyDiv w:val="1"/>
      <w:marLeft w:val="0"/>
      <w:marRight w:val="0"/>
      <w:marTop w:val="0"/>
      <w:marBottom w:val="0"/>
      <w:divBdr>
        <w:top w:val="none" w:sz="0" w:space="0" w:color="auto"/>
        <w:left w:val="none" w:sz="0" w:space="0" w:color="auto"/>
        <w:bottom w:val="none" w:sz="0" w:space="0" w:color="auto"/>
        <w:right w:val="none" w:sz="0" w:space="0" w:color="auto"/>
      </w:divBdr>
    </w:div>
    <w:div w:id="1287854529">
      <w:bodyDiv w:val="1"/>
      <w:marLeft w:val="0"/>
      <w:marRight w:val="0"/>
      <w:marTop w:val="0"/>
      <w:marBottom w:val="0"/>
      <w:divBdr>
        <w:top w:val="none" w:sz="0" w:space="0" w:color="auto"/>
        <w:left w:val="none" w:sz="0" w:space="0" w:color="auto"/>
        <w:bottom w:val="none" w:sz="0" w:space="0" w:color="auto"/>
        <w:right w:val="none" w:sz="0" w:space="0" w:color="auto"/>
      </w:divBdr>
    </w:div>
    <w:div w:id="1299914498">
      <w:bodyDiv w:val="1"/>
      <w:marLeft w:val="0"/>
      <w:marRight w:val="0"/>
      <w:marTop w:val="0"/>
      <w:marBottom w:val="0"/>
      <w:divBdr>
        <w:top w:val="none" w:sz="0" w:space="0" w:color="auto"/>
        <w:left w:val="none" w:sz="0" w:space="0" w:color="auto"/>
        <w:bottom w:val="none" w:sz="0" w:space="0" w:color="auto"/>
        <w:right w:val="none" w:sz="0" w:space="0" w:color="auto"/>
      </w:divBdr>
    </w:div>
    <w:div w:id="1316033577">
      <w:bodyDiv w:val="1"/>
      <w:marLeft w:val="0"/>
      <w:marRight w:val="0"/>
      <w:marTop w:val="0"/>
      <w:marBottom w:val="0"/>
      <w:divBdr>
        <w:top w:val="none" w:sz="0" w:space="0" w:color="auto"/>
        <w:left w:val="none" w:sz="0" w:space="0" w:color="auto"/>
        <w:bottom w:val="none" w:sz="0" w:space="0" w:color="auto"/>
        <w:right w:val="none" w:sz="0" w:space="0" w:color="auto"/>
      </w:divBdr>
    </w:div>
    <w:div w:id="1357002605">
      <w:bodyDiv w:val="1"/>
      <w:marLeft w:val="0"/>
      <w:marRight w:val="0"/>
      <w:marTop w:val="0"/>
      <w:marBottom w:val="0"/>
      <w:divBdr>
        <w:top w:val="none" w:sz="0" w:space="0" w:color="auto"/>
        <w:left w:val="none" w:sz="0" w:space="0" w:color="auto"/>
        <w:bottom w:val="none" w:sz="0" w:space="0" w:color="auto"/>
        <w:right w:val="none" w:sz="0" w:space="0" w:color="auto"/>
      </w:divBdr>
    </w:div>
    <w:div w:id="1379009733">
      <w:bodyDiv w:val="1"/>
      <w:marLeft w:val="0"/>
      <w:marRight w:val="0"/>
      <w:marTop w:val="0"/>
      <w:marBottom w:val="0"/>
      <w:divBdr>
        <w:top w:val="none" w:sz="0" w:space="0" w:color="auto"/>
        <w:left w:val="none" w:sz="0" w:space="0" w:color="auto"/>
        <w:bottom w:val="none" w:sz="0" w:space="0" w:color="auto"/>
        <w:right w:val="none" w:sz="0" w:space="0" w:color="auto"/>
      </w:divBdr>
    </w:div>
    <w:div w:id="1397899532">
      <w:bodyDiv w:val="1"/>
      <w:marLeft w:val="0"/>
      <w:marRight w:val="0"/>
      <w:marTop w:val="0"/>
      <w:marBottom w:val="0"/>
      <w:divBdr>
        <w:top w:val="none" w:sz="0" w:space="0" w:color="auto"/>
        <w:left w:val="none" w:sz="0" w:space="0" w:color="auto"/>
        <w:bottom w:val="none" w:sz="0" w:space="0" w:color="auto"/>
        <w:right w:val="none" w:sz="0" w:space="0" w:color="auto"/>
      </w:divBdr>
    </w:div>
    <w:div w:id="1414083249">
      <w:bodyDiv w:val="1"/>
      <w:marLeft w:val="0"/>
      <w:marRight w:val="0"/>
      <w:marTop w:val="0"/>
      <w:marBottom w:val="0"/>
      <w:divBdr>
        <w:top w:val="none" w:sz="0" w:space="0" w:color="auto"/>
        <w:left w:val="none" w:sz="0" w:space="0" w:color="auto"/>
        <w:bottom w:val="none" w:sz="0" w:space="0" w:color="auto"/>
        <w:right w:val="none" w:sz="0" w:space="0" w:color="auto"/>
      </w:divBdr>
    </w:div>
    <w:div w:id="1450009868">
      <w:bodyDiv w:val="1"/>
      <w:marLeft w:val="0"/>
      <w:marRight w:val="0"/>
      <w:marTop w:val="0"/>
      <w:marBottom w:val="0"/>
      <w:divBdr>
        <w:top w:val="none" w:sz="0" w:space="0" w:color="auto"/>
        <w:left w:val="none" w:sz="0" w:space="0" w:color="auto"/>
        <w:bottom w:val="none" w:sz="0" w:space="0" w:color="auto"/>
        <w:right w:val="none" w:sz="0" w:space="0" w:color="auto"/>
      </w:divBdr>
    </w:div>
    <w:div w:id="1480422254">
      <w:bodyDiv w:val="1"/>
      <w:marLeft w:val="0"/>
      <w:marRight w:val="0"/>
      <w:marTop w:val="0"/>
      <w:marBottom w:val="0"/>
      <w:divBdr>
        <w:top w:val="none" w:sz="0" w:space="0" w:color="auto"/>
        <w:left w:val="none" w:sz="0" w:space="0" w:color="auto"/>
        <w:bottom w:val="none" w:sz="0" w:space="0" w:color="auto"/>
        <w:right w:val="none" w:sz="0" w:space="0" w:color="auto"/>
      </w:divBdr>
    </w:div>
    <w:div w:id="1502889585">
      <w:bodyDiv w:val="1"/>
      <w:marLeft w:val="0"/>
      <w:marRight w:val="0"/>
      <w:marTop w:val="0"/>
      <w:marBottom w:val="0"/>
      <w:divBdr>
        <w:top w:val="none" w:sz="0" w:space="0" w:color="auto"/>
        <w:left w:val="none" w:sz="0" w:space="0" w:color="auto"/>
        <w:bottom w:val="none" w:sz="0" w:space="0" w:color="auto"/>
        <w:right w:val="none" w:sz="0" w:space="0" w:color="auto"/>
      </w:divBdr>
    </w:div>
    <w:div w:id="1539120915">
      <w:bodyDiv w:val="1"/>
      <w:marLeft w:val="0"/>
      <w:marRight w:val="0"/>
      <w:marTop w:val="0"/>
      <w:marBottom w:val="0"/>
      <w:divBdr>
        <w:top w:val="none" w:sz="0" w:space="0" w:color="auto"/>
        <w:left w:val="none" w:sz="0" w:space="0" w:color="auto"/>
        <w:bottom w:val="none" w:sz="0" w:space="0" w:color="auto"/>
        <w:right w:val="none" w:sz="0" w:space="0" w:color="auto"/>
      </w:divBdr>
    </w:div>
    <w:div w:id="1562061085">
      <w:bodyDiv w:val="1"/>
      <w:marLeft w:val="0"/>
      <w:marRight w:val="0"/>
      <w:marTop w:val="0"/>
      <w:marBottom w:val="0"/>
      <w:divBdr>
        <w:top w:val="none" w:sz="0" w:space="0" w:color="auto"/>
        <w:left w:val="none" w:sz="0" w:space="0" w:color="auto"/>
        <w:bottom w:val="none" w:sz="0" w:space="0" w:color="auto"/>
        <w:right w:val="none" w:sz="0" w:space="0" w:color="auto"/>
      </w:divBdr>
    </w:div>
    <w:div w:id="1570068757">
      <w:bodyDiv w:val="1"/>
      <w:marLeft w:val="0"/>
      <w:marRight w:val="0"/>
      <w:marTop w:val="0"/>
      <w:marBottom w:val="0"/>
      <w:divBdr>
        <w:top w:val="none" w:sz="0" w:space="0" w:color="auto"/>
        <w:left w:val="none" w:sz="0" w:space="0" w:color="auto"/>
        <w:bottom w:val="none" w:sz="0" w:space="0" w:color="auto"/>
        <w:right w:val="none" w:sz="0" w:space="0" w:color="auto"/>
      </w:divBdr>
    </w:div>
    <w:div w:id="1584679680">
      <w:bodyDiv w:val="1"/>
      <w:marLeft w:val="0"/>
      <w:marRight w:val="0"/>
      <w:marTop w:val="0"/>
      <w:marBottom w:val="0"/>
      <w:divBdr>
        <w:top w:val="none" w:sz="0" w:space="0" w:color="auto"/>
        <w:left w:val="none" w:sz="0" w:space="0" w:color="auto"/>
        <w:bottom w:val="none" w:sz="0" w:space="0" w:color="auto"/>
        <w:right w:val="none" w:sz="0" w:space="0" w:color="auto"/>
      </w:divBdr>
    </w:div>
    <w:div w:id="1623729759">
      <w:bodyDiv w:val="1"/>
      <w:marLeft w:val="0"/>
      <w:marRight w:val="0"/>
      <w:marTop w:val="0"/>
      <w:marBottom w:val="0"/>
      <w:divBdr>
        <w:top w:val="none" w:sz="0" w:space="0" w:color="auto"/>
        <w:left w:val="none" w:sz="0" w:space="0" w:color="auto"/>
        <w:bottom w:val="none" w:sz="0" w:space="0" w:color="auto"/>
        <w:right w:val="none" w:sz="0" w:space="0" w:color="auto"/>
      </w:divBdr>
    </w:div>
    <w:div w:id="1626497483">
      <w:bodyDiv w:val="1"/>
      <w:marLeft w:val="0"/>
      <w:marRight w:val="0"/>
      <w:marTop w:val="0"/>
      <w:marBottom w:val="0"/>
      <w:divBdr>
        <w:top w:val="none" w:sz="0" w:space="0" w:color="auto"/>
        <w:left w:val="none" w:sz="0" w:space="0" w:color="auto"/>
        <w:bottom w:val="none" w:sz="0" w:space="0" w:color="auto"/>
        <w:right w:val="none" w:sz="0" w:space="0" w:color="auto"/>
      </w:divBdr>
    </w:div>
    <w:div w:id="1635014883">
      <w:bodyDiv w:val="1"/>
      <w:marLeft w:val="0"/>
      <w:marRight w:val="0"/>
      <w:marTop w:val="0"/>
      <w:marBottom w:val="0"/>
      <w:divBdr>
        <w:top w:val="none" w:sz="0" w:space="0" w:color="auto"/>
        <w:left w:val="none" w:sz="0" w:space="0" w:color="auto"/>
        <w:bottom w:val="none" w:sz="0" w:space="0" w:color="auto"/>
        <w:right w:val="none" w:sz="0" w:space="0" w:color="auto"/>
      </w:divBdr>
    </w:div>
    <w:div w:id="1644235970">
      <w:bodyDiv w:val="1"/>
      <w:marLeft w:val="0"/>
      <w:marRight w:val="0"/>
      <w:marTop w:val="0"/>
      <w:marBottom w:val="0"/>
      <w:divBdr>
        <w:top w:val="none" w:sz="0" w:space="0" w:color="auto"/>
        <w:left w:val="none" w:sz="0" w:space="0" w:color="auto"/>
        <w:bottom w:val="none" w:sz="0" w:space="0" w:color="auto"/>
        <w:right w:val="none" w:sz="0" w:space="0" w:color="auto"/>
      </w:divBdr>
    </w:div>
    <w:div w:id="1645696538">
      <w:bodyDiv w:val="1"/>
      <w:marLeft w:val="0"/>
      <w:marRight w:val="0"/>
      <w:marTop w:val="0"/>
      <w:marBottom w:val="0"/>
      <w:divBdr>
        <w:top w:val="none" w:sz="0" w:space="0" w:color="auto"/>
        <w:left w:val="none" w:sz="0" w:space="0" w:color="auto"/>
        <w:bottom w:val="none" w:sz="0" w:space="0" w:color="auto"/>
        <w:right w:val="none" w:sz="0" w:space="0" w:color="auto"/>
      </w:divBdr>
    </w:div>
    <w:div w:id="1678536304">
      <w:bodyDiv w:val="1"/>
      <w:marLeft w:val="0"/>
      <w:marRight w:val="0"/>
      <w:marTop w:val="0"/>
      <w:marBottom w:val="0"/>
      <w:divBdr>
        <w:top w:val="none" w:sz="0" w:space="0" w:color="auto"/>
        <w:left w:val="none" w:sz="0" w:space="0" w:color="auto"/>
        <w:bottom w:val="none" w:sz="0" w:space="0" w:color="auto"/>
        <w:right w:val="none" w:sz="0" w:space="0" w:color="auto"/>
      </w:divBdr>
    </w:div>
    <w:div w:id="1691836231">
      <w:bodyDiv w:val="1"/>
      <w:marLeft w:val="0"/>
      <w:marRight w:val="0"/>
      <w:marTop w:val="0"/>
      <w:marBottom w:val="0"/>
      <w:divBdr>
        <w:top w:val="none" w:sz="0" w:space="0" w:color="auto"/>
        <w:left w:val="none" w:sz="0" w:space="0" w:color="auto"/>
        <w:bottom w:val="none" w:sz="0" w:space="0" w:color="auto"/>
        <w:right w:val="none" w:sz="0" w:space="0" w:color="auto"/>
      </w:divBdr>
    </w:div>
    <w:div w:id="1697845071">
      <w:bodyDiv w:val="1"/>
      <w:marLeft w:val="0"/>
      <w:marRight w:val="0"/>
      <w:marTop w:val="0"/>
      <w:marBottom w:val="0"/>
      <w:divBdr>
        <w:top w:val="none" w:sz="0" w:space="0" w:color="auto"/>
        <w:left w:val="none" w:sz="0" w:space="0" w:color="auto"/>
        <w:bottom w:val="none" w:sz="0" w:space="0" w:color="auto"/>
        <w:right w:val="none" w:sz="0" w:space="0" w:color="auto"/>
      </w:divBdr>
    </w:div>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 w:id="1733037964">
      <w:bodyDiv w:val="1"/>
      <w:marLeft w:val="0"/>
      <w:marRight w:val="0"/>
      <w:marTop w:val="0"/>
      <w:marBottom w:val="0"/>
      <w:divBdr>
        <w:top w:val="none" w:sz="0" w:space="0" w:color="auto"/>
        <w:left w:val="none" w:sz="0" w:space="0" w:color="auto"/>
        <w:bottom w:val="none" w:sz="0" w:space="0" w:color="auto"/>
        <w:right w:val="none" w:sz="0" w:space="0" w:color="auto"/>
      </w:divBdr>
    </w:div>
    <w:div w:id="1735200786">
      <w:bodyDiv w:val="1"/>
      <w:marLeft w:val="0"/>
      <w:marRight w:val="0"/>
      <w:marTop w:val="0"/>
      <w:marBottom w:val="0"/>
      <w:divBdr>
        <w:top w:val="none" w:sz="0" w:space="0" w:color="auto"/>
        <w:left w:val="none" w:sz="0" w:space="0" w:color="auto"/>
        <w:bottom w:val="none" w:sz="0" w:space="0" w:color="auto"/>
        <w:right w:val="none" w:sz="0" w:space="0" w:color="auto"/>
      </w:divBdr>
    </w:div>
    <w:div w:id="1737047705">
      <w:bodyDiv w:val="1"/>
      <w:marLeft w:val="0"/>
      <w:marRight w:val="0"/>
      <w:marTop w:val="0"/>
      <w:marBottom w:val="0"/>
      <w:divBdr>
        <w:top w:val="none" w:sz="0" w:space="0" w:color="auto"/>
        <w:left w:val="none" w:sz="0" w:space="0" w:color="auto"/>
        <w:bottom w:val="none" w:sz="0" w:space="0" w:color="auto"/>
        <w:right w:val="none" w:sz="0" w:space="0" w:color="auto"/>
      </w:divBdr>
    </w:div>
    <w:div w:id="1739280159">
      <w:bodyDiv w:val="1"/>
      <w:marLeft w:val="0"/>
      <w:marRight w:val="0"/>
      <w:marTop w:val="0"/>
      <w:marBottom w:val="0"/>
      <w:divBdr>
        <w:top w:val="none" w:sz="0" w:space="0" w:color="auto"/>
        <w:left w:val="none" w:sz="0" w:space="0" w:color="auto"/>
        <w:bottom w:val="none" w:sz="0" w:space="0" w:color="auto"/>
        <w:right w:val="none" w:sz="0" w:space="0" w:color="auto"/>
      </w:divBdr>
    </w:div>
    <w:div w:id="1745450803">
      <w:bodyDiv w:val="1"/>
      <w:marLeft w:val="0"/>
      <w:marRight w:val="0"/>
      <w:marTop w:val="0"/>
      <w:marBottom w:val="0"/>
      <w:divBdr>
        <w:top w:val="none" w:sz="0" w:space="0" w:color="auto"/>
        <w:left w:val="none" w:sz="0" w:space="0" w:color="auto"/>
        <w:bottom w:val="none" w:sz="0" w:space="0" w:color="auto"/>
        <w:right w:val="none" w:sz="0" w:space="0" w:color="auto"/>
      </w:divBdr>
    </w:div>
    <w:div w:id="1755972513">
      <w:bodyDiv w:val="1"/>
      <w:marLeft w:val="0"/>
      <w:marRight w:val="0"/>
      <w:marTop w:val="0"/>
      <w:marBottom w:val="0"/>
      <w:divBdr>
        <w:top w:val="none" w:sz="0" w:space="0" w:color="auto"/>
        <w:left w:val="none" w:sz="0" w:space="0" w:color="auto"/>
        <w:bottom w:val="none" w:sz="0" w:space="0" w:color="auto"/>
        <w:right w:val="none" w:sz="0" w:space="0" w:color="auto"/>
      </w:divBdr>
    </w:div>
    <w:div w:id="1765146927">
      <w:bodyDiv w:val="1"/>
      <w:marLeft w:val="0"/>
      <w:marRight w:val="0"/>
      <w:marTop w:val="0"/>
      <w:marBottom w:val="0"/>
      <w:divBdr>
        <w:top w:val="none" w:sz="0" w:space="0" w:color="auto"/>
        <w:left w:val="none" w:sz="0" w:space="0" w:color="auto"/>
        <w:bottom w:val="none" w:sz="0" w:space="0" w:color="auto"/>
        <w:right w:val="none" w:sz="0" w:space="0" w:color="auto"/>
      </w:divBdr>
    </w:div>
    <w:div w:id="1785148778">
      <w:bodyDiv w:val="1"/>
      <w:marLeft w:val="0"/>
      <w:marRight w:val="0"/>
      <w:marTop w:val="0"/>
      <w:marBottom w:val="0"/>
      <w:divBdr>
        <w:top w:val="none" w:sz="0" w:space="0" w:color="auto"/>
        <w:left w:val="none" w:sz="0" w:space="0" w:color="auto"/>
        <w:bottom w:val="none" w:sz="0" w:space="0" w:color="auto"/>
        <w:right w:val="none" w:sz="0" w:space="0" w:color="auto"/>
      </w:divBdr>
    </w:div>
    <w:div w:id="1786385892">
      <w:bodyDiv w:val="1"/>
      <w:marLeft w:val="0"/>
      <w:marRight w:val="0"/>
      <w:marTop w:val="0"/>
      <w:marBottom w:val="0"/>
      <w:divBdr>
        <w:top w:val="none" w:sz="0" w:space="0" w:color="auto"/>
        <w:left w:val="none" w:sz="0" w:space="0" w:color="auto"/>
        <w:bottom w:val="none" w:sz="0" w:space="0" w:color="auto"/>
        <w:right w:val="none" w:sz="0" w:space="0" w:color="auto"/>
      </w:divBdr>
    </w:div>
    <w:div w:id="1796412681">
      <w:bodyDiv w:val="1"/>
      <w:marLeft w:val="0"/>
      <w:marRight w:val="0"/>
      <w:marTop w:val="0"/>
      <w:marBottom w:val="0"/>
      <w:divBdr>
        <w:top w:val="none" w:sz="0" w:space="0" w:color="auto"/>
        <w:left w:val="none" w:sz="0" w:space="0" w:color="auto"/>
        <w:bottom w:val="none" w:sz="0" w:space="0" w:color="auto"/>
        <w:right w:val="none" w:sz="0" w:space="0" w:color="auto"/>
      </w:divBdr>
    </w:div>
    <w:div w:id="1805927321">
      <w:bodyDiv w:val="1"/>
      <w:marLeft w:val="0"/>
      <w:marRight w:val="0"/>
      <w:marTop w:val="0"/>
      <w:marBottom w:val="0"/>
      <w:divBdr>
        <w:top w:val="none" w:sz="0" w:space="0" w:color="auto"/>
        <w:left w:val="none" w:sz="0" w:space="0" w:color="auto"/>
        <w:bottom w:val="none" w:sz="0" w:space="0" w:color="auto"/>
        <w:right w:val="none" w:sz="0" w:space="0" w:color="auto"/>
      </w:divBdr>
    </w:div>
    <w:div w:id="1823231529">
      <w:bodyDiv w:val="1"/>
      <w:marLeft w:val="0"/>
      <w:marRight w:val="0"/>
      <w:marTop w:val="0"/>
      <w:marBottom w:val="0"/>
      <w:divBdr>
        <w:top w:val="none" w:sz="0" w:space="0" w:color="auto"/>
        <w:left w:val="none" w:sz="0" w:space="0" w:color="auto"/>
        <w:bottom w:val="none" w:sz="0" w:space="0" w:color="auto"/>
        <w:right w:val="none" w:sz="0" w:space="0" w:color="auto"/>
      </w:divBdr>
    </w:div>
    <w:div w:id="1824617979">
      <w:bodyDiv w:val="1"/>
      <w:marLeft w:val="0"/>
      <w:marRight w:val="0"/>
      <w:marTop w:val="0"/>
      <w:marBottom w:val="0"/>
      <w:divBdr>
        <w:top w:val="none" w:sz="0" w:space="0" w:color="auto"/>
        <w:left w:val="none" w:sz="0" w:space="0" w:color="auto"/>
        <w:bottom w:val="none" w:sz="0" w:space="0" w:color="auto"/>
        <w:right w:val="none" w:sz="0" w:space="0" w:color="auto"/>
      </w:divBdr>
    </w:div>
    <w:div w:id="1834028121">
      <w:bodyDiv w:val="1"/>
      <w:marLeft w:val="0"/>
      <w:marRight w:val="0"/>
      <w:marTop w:val="0"/>
      <w:marBottom w:val="0"/>
      <w:divBdr>
        <w:top w:val="none" w:sz="0" w:space="0" w:color="auto"/>
        <w:left w:val="none" w:sz="0" w:space="0" w:color="auto"/>
        <w:bottom w:val="none" w:sz="0" w:space="0" w:color="auto"/>
        <w:right w:val="none" w:sz="0" w:space="0" w:color="auto"/>
      </w:divBdr>
    </w:div>
    <w:div w:id="1845784259">
      <w:bodyDiv w:val="1"/>
      <w:marLeft w:val="0"/>
      <w:marRight w:val="0"/>
      <w:marTop w:val="0"/>
      <w:marBottom w:val="0"/>
      <w:divBdr>
        <w:top w:val="none" w:sz="0" w:space="0" w:color="auto"/>
        <w:left w:val="none" w:sz="0" w:space="0" w:color="auto"/>
        <w:bottom w:val="none" w:sz="0" w:space="0" w:color="auto"/>
        <w:right w:val="none" w:sz="0" w:space="0" w:color="auto"/>
      </w:divBdr>
    </w:div>
    <w:div w:id="1848710370">
      <w:bodyDiv w:val="1"/>
      <w:marLeft w:val="0"/>
      <w:marRight w:val="0"/>
      <w:marTop w:val="0"/>
      <w:marBottom w:val="0"/>
      <w:divBdr>
        <w:top w:val="none" w:sz="0" w:space="0" w:color="auto"/>
        <w:left w:val="none" w:sz="0" w:space="0" w:color="auto"/>
        <w:bottom w:val="none" w:sz="0" w:space="0" w:color="auto"/>
        <w:right w:val="none" w:sz="0" w:space="0" w:color="auto"/>
      </w:divBdr>
    </w:div>
    <w:div w:id="1853715358">
      <w:bodyDiv w:val="1"/>
      <w:marLeft w:val="0"/>
      <w:marRight w:val="0"/>
      <w:marTop w:val="0"/>
      <w:marBottom w:val="0"/>
      <w:divBdr>
        <w:top w:val="none" w:sz="0" w:space="0" w:color="auto"/>
        <w:left w:val="none" w:sz="0" w:space="0" w:color="auto"/>
        <w:bottom w:val="none" w:sz="0" w:space="0" w:color="auto"/>
        <w:right w:val="none" w:sz="0" w:space="0" w:color="auto"/>
      </w:divBdr>
    </w:div>
    <w:div w:id="1858083940">
      <w:bodyDiv w:val="1"/>
      <w:marLeft w:val="0"/>
      <w:marRight w:val="0"/>
      <w:marTop w:val="0"/>
      <w:marBottom w:val="0"/>
      <w:divBdr>
        <w:top w:val="none" w:sz="0" w:space="0" w:color="auto"/>
        <w:left w:val="none" w:sz="0" w:space="0" w:color="auto"/>
        <w:bottom w:val="none" w:sz="0" w:space="0" w:color="auto"/>
        <w:right w:val="none" w:sz="0" w:space="0" w:color="auto"/>
      </w:divBdr>
    </w:div>
    <w:div w:id="1863667744">
      <w:bodyDiv w:val="1"/>
      <w:marLeft w:val="0"/>
      <w:marRight w:val="0"/>
      <w:marTop w:val="0"/>
      <w:marBottom w:val="0"/>
      <w:divBdr>
        <w:top w:val="none" w:sz="0" w:space="0" w:color="auto"/>
        <w:left w:val="none" w:sz="0" w:space="0" w:color="auto"/>
        <w:bottom w:val="none" w:sz="0" w:space="0" w:color="auto"/>
        <w:right w:val="none" w:sz="0" w:space="0" w:color="auto"/>
      </w:divBdr>
    </w:div>
    <w:div w:id="1880894526">
      <w:bodyDiv w:val="1"/>
      <w:marLeft w:val="0"/>
      <w:marRight w:val="0"/>
      <w:marTop w:val="0"/>
      <w:marBottom w:val="0"/>
      <w:divBdr>
        <w:top w:val="none" w:sz="0" w:space="0" w:color="auto"/>
        <w:left w:val="none" w:sz="0" w:space="0" w:color="auto"/>
        <w:bottom w:val="none" w:sz="0" w:space="0" w:color="auto"/>
        <w:right w:val="none" w:sz="0" w:space="0" w:color="auto"/>
      </w:divBdr>
      <w:divsChild>
        <w:div w:id="2034575225">
          <w:marLeft w:val="0"/>
          <w:marRight w:val="0"/>
          <w:marTop w:val="0"/>
          <w:marBottom w:val="0"/>
          <w:divBdr>
            <w:top w:val="none" w:sz="0" w:space="0" w:color="auto"/>
            <w:left w:val="none" w:sz="0" w:space="0" w:color="auto"/>
            <w:bottom w:val="none" w:sz="0" w:space="0" w:color="auto"/>
            <w:right w:val="none" w:sz="0" w:space="0" w:color="auto"/>
          </w:divBdr>
          <w:divsChild>
            <w:div w:id="841624649">
              <w:marLeft w:val="0"/>
              <w:marRight w:val="0"/>
              <w:marTop w:val="0"/>
              <w:marBottom w:val="0"/>
              <w:divBdr>
                <w:top w:val="none" w:sz="0" w:space="0" w:color="auto"/>
                <w:left w:val="none" w:sz="0" w:space="0" w:color="auto"/>
                <w:bottom w:val="none" w:sz="0" w:space="0" w:color="auto"/>
                <w:right w:val="none" w:sz="0" w:space="0" w:color="auto"/>
              </w:divBdr>
              <w:divsChild>
                <w:div w:id="563640470">
                  <w:marLeft w:val="0"/>
                  <w:marRight w:val="0"/>
                  <w:marTop w:val="0"/>
                  <w:marBottom w:val="0"/>
                  <w:divBdr>
                    <w:top w:val="none" w:sz="0" w:space="0" w:color="auto"/>
                    <w:left w:val="none" w:sz="0" w:space="0" w:color="auto"/>
                    <w:bottom w:val="none" w:sz="0" w:space="0" w:color="auto"/>
                    <w:right w:val="none" w:sz="0" w:space="0" w:color="auto"/>
                  </w:divBdr>
                  <w:divsChild>
                    <w:div w:id="1501655025">
                      <w:marLeft w:val="0"/>
                      <w:marRight w:val="0"/>
                      <w:marTop w:val="0"/>
                      <w:marBottom w:val="0"/>
                      <w:divBdr>
                        <w:top w:val="none" w:sz="0" w:space="0" w:color="auto"/>
                        <w:left w:val="none" w:sz="0" w:space="0" w:color="auto"/>
                        <w:bottom w:val="none" w:sz="0" w:space="0" w:color="auto"/>
                        <w:right w:val="none" w:sz="0" w:space="0" w:color="auto"/>
                      </w:divBdr>
                      <w:divsChild>
                        <w:div w:id="713966452">
                          <w:marLeft w:val="0"/>
                          <w:marRight w:val="0"/>
                          <w:marTop w:val="0"/>
                          <w:marBottom w:val="0"/>
                          <w:divBdr>
                            <w:top w:val="none" w:sz="0" w:space="0" w:color="auto"/>
                            <w:left w:val="none" w:sz="0" w:space="0" w:color="auto"/>
                            <w:bottom w:val="none" w:sz="0" w:space="0" w:color="auto"/>
                            <w:right w:val="none" w:sz="0" w:space="0" w:color="auto"/>
                          </w:divBdr>
                          <w:divsChild>
                            <w:div w:id="1974480997">
                              <w:marLeft w:val="0"/>
                              <w:marRight w:val="0"/>
                              <w:marTop w:val="0"/>
                              <w:marBottom w:val="0"/>
                              <w:divBdr>
                                <w:top w:val="none" w:sz="0" w:space="0" w:color="auto"/>
                                <w:left w:val="none" w:sz="0" w:space="0" w:color="auto"/>
                                <w:bottom w:val="none" w:sz="0" w:space="0" w:color="auto"/>
                                <w:right w:val="none" w:sz="0" w:space="0" w:color="auto"/>
                              </w:divBdr>
                              <w:divsChild>
                                <w:div w:id="1027292691">
                                  <w:marLeft w:val="0"/>
                                  <w:marRight w:val="0"/>
                                  <w:marTop w:val="0"/>
                                  <w:marBottom w:val="0"/>
                                  <w:divBdr>
                                    <w:top w:val="none" w:sz="0" w:space="0" w:color="auto"/>
                                    <w:left w:val="none" w:sz="0" w:space="0" w:color="auto"/>
                                    <w:bottom w:val="none" w:sz="0" w:space="0" w:color="auto"/>
                                    <w:right w:val="none" w:sz="0" w:space="0" w:color="auto"/>
                                  </w:divBdr>
                                  <w:divsChild>
                                    <w:div w:id="226650428">
                                      <w:marLeft w:val="0"/>
                                      <w:marRight w:val="0"/>
                                      <w:marTop w:val="0"/>
                                      <w:marBottom w:val="0"/>
                                      <w:divBdr>
                                        <w:top w:val="none" w:sz="0" w:space="0" w:color="auto"/>
                                        <w:left w:val="none" w:sz="0" w:space="0" w:color="auto"/>
                                        <w:bottom w:val="none" w:sz="0" w:space="0" w:color="auto"/>
                                        <w:right w:val="none" w:sz="0" w:space="0" w:color="auto"/>
                                      </w:divBdr>
                                      <w:divsChild>
                                        <w:div w:id="516388536">
                                          <w:marLeft w:val="0"/>
                                          <w:marRight w:val="0"/>
                                          <w:marTop w:val="0"/>
                                          <w:marBottom w:val="0"/>
                                          <w:divBdr>
                                            <w:top w:val="none" w:sz="0" w:space="0" w:color="auto"/>
                                            <w:left w:val="none" w:sz="0" w:space="0" w:color="auto"/>
                                            <w:bottom w:val="none" w:sz="0" w:space="0" w:color="auto"/>
                                            <w:right w:val="none" w:sz="0" w:space="0" w:color="auto"/>
                                          </w:divBdr>
                                          <w:divsChild>
                                            <w:div w:id="14173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548746">
      <w:bodyDiv w:val="1"/>
      <w:marLeft w:val="0"/>
      <w:marRight w:val="0"/>
      <w:marTop w:val="0"/>
      <w:marBottom w:val="0"/>
      <w:divBdr>
        <w:top w:val="none" w:sz="0" w:space="0" w:color="auto"/>
        <w:left w:val="none" w:sz="0" w:space="0" w:color="auto"/>
        <w:bottom w:val="none" w:sz="0" w:space="0" w:color="auto"/>
        <w:right w:val="none" w:sz="0" w:space="0" w:color="auto"/>
      </w:divBdr>
    </w:div>
    <w:div w:id="1892376958">
      <w:bodyDiv w:val="1"/>
      <w:marLeft w:val="0"/>
      <w:marRight w:val="0"/>
      <w:marTop w:val="0"/>
      <w:marBottom w:val="0"/>
      <w:divBdr>
        <w:top w:val="none" w:sz="0" w:space="0" w:color="auto"/>
        <w:left w:val="none" w:sz="0" w:space="0" w:color="auto"/>
        <w:bottom w:val="none" w:sz="0" w:space="0" w:color="auto"/>
        <w:right w:val="none" w:sz="0" w:space="0" w:color="auto"/>
      </w:divBdr>
      <w:divsChild>
        <w:div w:id="351995100">
          <w:marLeft w:val="0"/>
          <w:marRight w:val="0"/>
          <w:marTop w:val="0"/>
          <w:marBottom w:val="0"/>
          <w:divBdr>
            <w:top w:val="none" w:sz="0" w:space="0" w:color="auto"/>
            <w:left w:val="none" w:sz="0" w:space="0" w:color="auto"/>
            <w:bottom w:val="none" w:sz="0" w:space="0" w:color="auto"/>
            <w:right w:val="none" w:sz="0" w:space="0" w:color="auto"/>
          </w:divBdr>
          <w:divsChild>
            <w:div w:id="1211456209">
              <w:marLeft w:val="0"/>
              <w:marRight w:val="0"/>
              <w:marTop w:val="0"/>
              <w:marBottom w:val="0"/>
              <w:divBdr>
                <w:top w:val="none" w:sz="0" w:space="0" w:color="auto"/>
                <w:left w:val="none" w:sz="0" w:space="0" w:color="auto"/>
                <w:bottom w:val="none" w:sz="0" w:space="0" w:color="auto"/>
                <w:right w:val="none" w:sz="0" w:space="0" w:color="auto"/>
              </w:divBdr>
              <w:divsChild>
                <w:div w:id="930971438">
                  <w:marLeft w:val="0"/>
                  <w:marRight w:val="0"/>
                  <w:marTop w:val="0"/>
                  <w:marBottom w:val="0"/>
                  <w:divBdr>
                    <w:top w:val="none" w:sz="0" w:space="0" w:color="auto"/>
                    <w:left w:val="none" w:sz="0" w:space="0" w:color="auto"/>
                    <w:bottom w:val="none" w:sz="0" w:space="0" w:color="auto"/>
                    <w:right w:val="none" w:sz="0" w:space="0" w:color="auto"/>
                  </w:divBdr>
                  <w:divsChild>
                    <w:div w:id="1974167868">
                      <w:marLeft w:val="0"/>
                      <w:marRight w:val="0"/>
                      <w:marTop w:val="0"/>
                      <w:marBottom w:val="0"/>
                      <w:divBdr>
                        <w:top w:val="none" w:sz="0" w:space="0" w:color="auto"/>
                        <w:left w:val="none" w:sz="0" w:space="0" w:color="auto"/>
                        <w:bottom w:val="none" w:sz="0" w:space="0" w:color="auto"/>
                        <w:right w:val="none" w:sz="0" w:space="0" w:color="auto"/>
                      </w:divBdr>
                      <w:divsChild>
                        <w:div w:id="958293512">
                          <w:marLeft w:val="0"/>
                          <w:marRight w:val="0"/>
                          <w:marTop w:val="0"/>
                          <w:marBottom w:val="0"/>
                          <w:divBdr>
                            <w:top w:val="none" w:sz="0" w:space="0" w:color="auto"/>
                            <w:left w:val="none" w:sz="0" w:space="0" w:color="auto"/>
                            <w:bottom w:val="none" w:sz="0" w:space="0" w:color="auto"/>
                            <w:right w:val="none" w:sz="0" w:space="0" w:color="auto"/>
                          </w:divBdr>
                          <w:divsChild>
                            <w:div w:id="765150154">
                              <w:marLeft w:val="0"/>
                              <w:marRight w:val="0"/>
                              <w:marTop w:val="0"/>
                              <w:marBottom w:val="0"/>
                              <w:divBdr>
                                <w:top w:val="none" w:sz="0" w:space="0" w:color="auto"/>
                                <w:left w:val="none" w:sz="0" w:space="0" w:color="auto"/>
                                <w:bottom w:val="none" w:sz="0" w:space="0" w:color="auto"/>
                                <w:right w:val="none" w:sz="0" w:space="0" w:color="auto"/>
                              </w:divBdr>
                              <w:divsChild>
                                <w:div w:id="712727893">
                                  <w:marLeft w:val="0"/>
                                  <w:marRight w:val="0"/>
                                  <w:marTop w:val="0"/>
                                  <w:marBottom w:val="0"/>
                                  <w:divBdr>
                                    <w:top w:val="none" w:sz="0" w:space="0" w:color="auto"/>
                                    <w:left w:val="none" w:sz="0" w:space="0" w:color="auto"/>
                                    <w:bottom w:val="none" w:sz="0" w:space="0" w:color="auto"/>
                                    <w:right w:val="none" w:sz="0" w:space="0" w:color="auto"/>
                                  </w:divBdr>
                                  <w:divsChild>
                                    <w:div w:id="2008747730">
                                      <w:marLeft w:val="0"/>
                                      <w:marRight w:val="0"/>
                                      <w:marTop w:val="0"/>
                                      <w:marBottom w:val="0"/>
                                      <w:divBdr>
                                        <w:top w:val="none" w:sz="0" w:space="0" w:color="auto"/>
                                        <w:left w:val="none" w:sz="0" w:space="0" w:color="auto"/>
                                        <w:bottom w:val="none" w:sz="0" w:space="0" w:color="auto"/>
                                        <w:right w:val="none" w:sz="0" w:space="0" w:color="auto"/>
                                      </w:divBdr>
                                      <w:divsChild>
                                        <w:div w:id="1968075227">
                                          <w:marLeft w:val="0"/>
                                          <w:marRight w:val="0"/>
                                          <w:marTop w:val="0"/>
                                          <w:marBottom w:val="0"/>
                                          <w:divBdr>
                                            <w:top w:val="none" w:sz="0" w:space="0" w:color="auto"/>
                                            <w:left w:val="none" w:sz="0" w:space="0" w:color="auto"/>
                                            <w:bottom w:val="none" w:sz="0" w:space="0" w:color="auto"/>
                                            <w:right w:val="none" w:sz="0" w:space="0" w:color="auto"/>
                                          </w:divBdr>
                                          <w:divsChild>
                                            <w:div w:id="18854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812174">
      <w:bodyDiv w:val="1"/>
      <w:marLeft w:val="0"/>
      <w:marRight w:val="0"/>
      <w:marTop w:val="0"/>
      <w:marBottom w:val="0"/>
      <w:divBdr>
        <w:top w:val="none" w:sz="0" w:space="0" w:color="auto"/>
        <w:left w:val="none" w:sz="0" w:space="0" w:color="auto"/>
        <w:bottom w:val="none" w:sz="0" w:space="0" w:color="auto"/>
        <w:right w:val="none" w:sz="0" w:space="0" w:color="auto"/>
      </w:divBdr>
    </w:div>
    <w:div w:id="1899776436">
      <w:bodyDiv w:val="1"/>
      <w:marLeft w:val="0"/>
      <w:marRight w:val="0"/>
      <w:marTop w:val="0"/>
      <w:marBottom w:val="0"/>
      <w:divBdr>
        <w:top w:val="none" w:sz="0" w:space="0" w:color="auto"/>
        <w:left w:val="none" w:sz="0" w:space="0" w:color="auto"/>
        <w:bottom w:val="none" w:sz="0" w:space="0" w:color="auto"/>
        <w:right w:val="none" w:sz="0" w:space="0" w:color="auto"/>
      </w:divBdr>
    </w:div>
    <w:div w:id="1915050186">
      <w:bodyDiv w:val="1"/>
      <w:marLeft w:val="0"/>
      <w:marRight w:val="0"/>
      <w:marTop w:val="0"/>
      <w:marBottom w:val="0"/>
      <w:divBdr>
        <w:top w:val="none" w:sz="0" w:space="0" w:color="auto"/>
        <w:left w:val="none" w:sz="0" w:space="0" w:color="auto"/>
        <w:bottom w:val="none" w:sz="0" w:space="0" w:color="auto"/>
        <w:right w:val="none" w:sz="0" w:space="0" w:color="auto"/>
      </w:divBdr>
      <w:divsChild>
        <w:div w:id="1220440892">
          <w:marLeft w:val="0"/>
          <w:marRight w:val="0"/>
          <w:marTop w:val="0"/>
          <w:marBottom w:val="0"/>
          <w:divBdr>
            <w:top w:val="none" w:sz="0" w:space="0" w:color="auto"/>
            <w:left w:val="none" w:sz="0" w:space="0" w:color="auto"/>
            <w:bottom w:val="none" w:sz="0" w:space="0" w:color="auto"/>
            <w:right w:val="none" w:sz="0" w:space="0" w:color="auto"/>
          </w:divBdr>
          <w:divsChild>
            <w:div w:id="1977685282">
              <w:marLeft w:val="0"/>
              <w:marRight w:val="0"/>
              <w:marTop w:val="0"/>
              <w:marBottom w:val="0"/>
              <w:divBdr>
                <w:top w:val="none" w:sz="0" w:space="0" w:color="auto"/>
                <w:left w:val="none" w:sz="0" w:space="0" w:color="auto"/>
                <w:bottom w:val="none" w:sz="0" w:space="0" w:color="auto"/>
                <w:right w:val="none" w:sz="0" w:space="0" w:color="auto"/>
              </w:divBdr>
              <w:divsChild>
                <w:div w:id="1291860515">
                  <w:marLeft w:val="0"/>
                  <w:marRight w:val="0"/>
                  <w:marTop w:val="0"/>
                  <w:marBottom w:val="0"/>
                  <w:divBdr>
                    <w:top w:val="none" w:sz="0" w:space="0" w:color="auto"/>
                    <w:left w:val="none" w:sz="0" w:space="0" w:color="auto"/>
                    <w:bottom w:val="none" w:sz="0" w:space="0" w:color="auto"/>
                    <w:right w:val="none" w:sz="0" w:space="0" w:color="auto"/>
                  </w:divBdr>
                  <w:divsChild>
                    <w:div w:id="1256741456">
                      <w:marLeft w:val="0"/>
                      <w:marRight w:val="0"/>
                      <w:marTop w:val="0"/>
                      <w:marBottom w:val="0"/>
                      <w:divBdr>
                        <w:top w:val="none" w:sz="0" w:space="0" w:color="auto"/>
                        <w:left w:val="none" w:sz="0" w:space="0" w:color="auto"/>
                        <w:bottom w:val="none" w:sz="0" w:space="0" w:color="auto"/>
                        <w:right w:val="none" w:sz="0" w:space="0" w:color="auto"/>
                      </w:divBdr>
                      <w:divsChild>
                        <w:div w:id="1439182550">
                          <w:marLeft w:val="0"/>
                          <w:marRight w:val="0"/>
                          <w:marTop w:val="0"/>
                          <w:marBottom w:val="0"/>
                          <w:divBdr>
                            <w:top w:val="none" w:sz="0" w:space="0" w:color="auto"/>
                            <w:left w:val="none" w:sz="0" w:space="0" w:color="auto"/>
                            <w:bottom w:val="none" w:sz="0" w:space="0" w:color="auto"/>
                            <w:right w:val="none" w:sz="0" w:space="0" w:color="auto"/>
                          </w:divBdr>
                          <w:divsChild>
                            <w:div w:id="851410314">
                              <w:marLeft w:val="0"/>
                              <w:marRight w:val="0"/>
                              <w:marTop w:val="0"/>
                              <w:marBottom w:val="0"/>
                              <w:divBdr>
                                <w:top w:val="none" w:sz="0" w:space="0" w:color="auto"/>
                                <w:left w:val="none" w:sz="0" w:space="0" w:color="auto"/>
                                <w:bottom w:val="none" w:sz="0" w:space="0" w:color="auto"/>
                                <w:right w:val="none" w:sz="0" w:space="0" w:color="auto"/>
                              </w:divBdr>
                              <w:divsChild>
                                <w:div w:id="254092332">
                                  <w:marLeft w:val="0"/>
                                  <w:marRight w:val="0"/>
                                  <w:marTop w:val="0"/>
                                  <w:marBottom w:val="0"/>
                                  <w:divBdr>
                                    <w:top w:val="none" w:sz="0" w:space="0" w:color="auto"/>
                                    <w:left w:val="none" w:sz="0" w:space="0" w:color="auto"/>
                                    <w:bottom w:val="none" w:sz="0" w:space="0" w:color="auto"/>
                                    <w:right w:val="none" w:sz="0" w:space="0" w:color="auto"/>
                                  </w:divBdr>
                                  <w:divsChild>
                                    <w:div w:id="1328896857">
                                      <w:marLeft w:val="0"/>
                                      <w:marRight w:val="0"/>
                                      <w:marTop w:val="0"/>
                                      <w:marBottom w:val="0"/>
                                      <w:divBdr>
                                        <w:top w:val="none" w:sz="0" w:space="0" w:color="auto"/>
                                        <w:left w:val="none" w:sz="0" w:space="0" w:color="auto"/>
                                        <w:bottom w:val="none" w:sz="0" w:space="0" w:color="auto"/>
                                        <w:right w:val="none" w:sz="0" w:space="0" w:color="auto"/>
                                      </w:divBdr>
                                      <w:divsChild>
                                        <w:div w:id="1848865792">
                                          <w:marLeft w:val="0"/>
                                          <w:marRight w:val="0"/>
                                          <w:marTop w:val="0"/>
                                          <w:marBottom w:val="0"/>
                                          <w:divBdr>
                                            <w:top w:val="none" w:sz="0" w:space="0" w:color="auto"/>
                                            <w:left w:val="none" w:sz="0" w:space="0" w:color="auto"/>
                                            <w:bottom w:val="none" w:sz="0" w:space="0" w:color="auto"/>
                                            <w:right w:val="none" w:sz="0" w:space="0" w:color="auto"/>
                                          </w:divBdr>
                                          <w:divsChild>
                                            <w:div w:id="161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942180">
      <w:bodyDiv w:val="1"/>
      <w:marLeft w:val="0"/>
      <w:marRight w:val="0"/>
      <w:marTop w:val="0"/>
      <w:marBottom w:val="0"/>
      <w:divBdr>
        <w:top w:val="none" w:sz="0" w:space="0" w:color="auto"/>
        <w:left w:val="none" w:sz="0" w:space="0" w:color="auto"/>
        <w:bottom w:val="none" w:sz="0" w:space="0" w:color="auto"/>
        <w:right w:val="none" w:sz="0" w:space="0" w:color="auto"/>
      </w:divBdr>
    </w:div>
    <w:div w:id="1956402924">
      <w:bodyDiv w:val="1"/>
      <w:marLeft w:val="0"/>
      <w:marRight w:val="0"/>
      <w:marTop w:val="0"/>
      <w:marBottom w:val="0"/>
      <w:divBdr>
        <w:top w:val="none" w:sz="0" w:space="0" w:color="auto"/>
        <w:left w:val="none" w:sz="0" w:space="0" w:color="auto"/>
        <w:bottom w:val="none" w:sz="0" w:space="0" w:color="auto"/>
        <w:right w:val="none" w:sz="0" w:space="0" w:color="auto"/>
      </w:divBdr>
    </w:div>
    <w:div w:id="1986083132">
      <w:bodyDiv w:val="1"/>
      <w:marLeft w:val="0"/>
      <w:marRight w:val="0"/>
      <w:marTop w:val="0"/>
      <w:marBottom w:val="0"/>
      <w:divBdr>
        <w:top w:val="none" w:sz="0" w:space="0" w:color="auto"/>
        <w:left w:val="none" w:sz="0" w:space="0" w:color="auto"/>
        <w:bottom w:val="none" w:sz="0" w:space="0" w:color="auto"/>
        <w:right w:val="none" w:sz="0" w:space="0" w:color="auto"/>
      </w:divBdr>
    </w:div>
    <w:div w:id="1995138539">
      <w:bodyDiv w:val="1"/>
      <w:marLeft w:val="0"/>
      <w:marRight w:val="0"/>
      <w:marTop w:val="0"/>
      <w:marBottom w:val="0"/>
      <w:divBdr>
        <w:top w:val="none" w:sz="0" w:space="0" w:color="auto"/>
        <w:left w:val="none" w:sz="0" w:space="0" w:color="auto"/>
        <w:bottom w:val="none" w:sz="0" w:space="0" w:color="auto"/>
        <w:right w:val="none" w:sz="0" w:space="0" w:color="auto"/>
      </w:divBdr>
    </w:div>
    <w:div w:id="2006203742">
      <w:bodyDiv w:val="1"/>
      <w:marLeft w:val="0"/>
      <w:marRight w:val="0"/>
      <w:marTop w:val="0"/>
      <w:marBottom w:val="0"/>
      <w:divBdr>
        <w:top w:val="none" w:sz="0" w:space="0" w:color="auto"/>
        <w:left w:val="none" w:sz="0" w:space="0" w:color="auto"/>
        <w:bottom w:val="none" w:sz="0" w:space="0" w:color="auto"/>
        <w:right w:val="none" w:sz="0" w:space="0" w:color="auto"/>
      </w:divBdr>
    </w:div>
    <w:div w:id="2072579001">
      <w:bodyDiv w:val="1"/>
      <w:marLeft w:val="0"/>
      <w:marRight w:val="0"/>
      <w:marTop w:val="0"/>
      <w:marBottom w:val="0"/>
      <w:divBdr>
        <w:top w:val="none" w:sz="0" w:space="0" w:color="auto"/>
        <w:left w:val="none" w:sz="0" w:space="0" w:color="auto"/>
        <w:bottom w:val="none" w:sz="0" w:space="0" w:color="auto"/>
        <w:right w:val="none" w:sz="0" w:space="0" w:color="auto"/>
      </w:divBdr>
      <w:divsChild>
        <w:div w:id="878513009">
          <w:marLeft w:val="0"/>
          <w:marRight w:val="0"/>
          <w:marTop w:val="0"/>
          <w:marBottom w:val="0"/>
          <w:divBdr>
            <w:top w:val="none" w:sz="0" w:space="0" w:color="auto"/>
            <w:left w:val="none" w:sz="0" w:space="0" w:color="auto"/>
            <w:bottom w:val="none" w:sz="0" w:space="0" w:color="auto"/>
            <w:right w:val="none" w:sz="0" w:space="0" w:color="auto"/>
          </w:divBdr>
          <w:divsChild>
            <w:div w:id="1749188121">
              <w:marLeft w:val="0"/>
              <w:marRight w:val="0"/>
              <w:marTop w:val="0"/>
              <w:marBottom w:val="0"/>
              <w:divBdr>
                <w:top w:val="none" w:sz="0" w:space="0" w:color="auto"/>
                <w:left w:val="none" w:sz="0" w:space="0" w:color="auto"/>
                <w:bottom w:val="none" w:sz="0" w:space="0" w:color="auto"/>
                <w:right w:val="none" w:sz="0" w:space="0" w:color="auto"/>
              </w:divBdr>
              <w:divsChild>
                <w:div w:id="580019800">
                  <w:marLeft w:val="0"/>
                  <w:marRight w:val="0"/>
                  <w:marTop w:val="0"/>
                  <w:marBottom w:val="0"/>
                  <w:divBdr>
                    <w:top w:val="none" w:sz="0" w:space="0" w:color="auto"/>
                    <w:left w:val="none" w:sz="0" w:space="0" w:color="auto"/>
                    <w:bottom w:val="none" w:sz="0" w:space="0" w:color="auto"/>
                    <w:right w:val="none" w:sz="0" w:space="0" w:color="auto"/>
                  </w:divBdr>
                  <w:divsChild>
                    <w:div w:id="2078741783">
                      <w:marLeft w:val="0"/>
                      <w:marRight w:val="0"/>
                      <w:marTop w:val="0"/>
                      <w:marBottom w:val="0"/>
                      <w:divBdr>
                        <w:top w:val="none" w:sz="0" w:space="0" w:color="auto"/>
                        <w:left w:val="none" w:sz="0" w:space="0" w:color="auto"/>
                        <w:bottom w:val="none" w:sz="0" w:space="0" w:color="auto"/>
                        <w:right w:val="none" w:sz="0" w:space="0" w:color="auto"/>
                      </w:divBdr>
                      <w:divsChild>
                        <w:div w:id="1457749401">
                          <w:marLeft w:val="0"/>
                          <w:marRight w:val="0"/>
                          <w:marTop w:val="0"/>
                          <w:marBottom w:val="0"/>
                          <w:divBdr>
                            <w:top w:val="none" w:sz="0" w:space="0" w:color="auto"/>
                            <w:left w:val="none" w:sz="0" w:space="0" w:color="auto"/>
                            <w:bottom w:val="none" w:sz="0" w:space="0" w:color="auto"/>
                            <w:right w:val="none" w:sz="0" w:space="0" w:color="auto"/>
                          </w:divBdr>
                          <w:divsChild>
                            <w:div w:id="1132677694">
                              <w:marLeft w:val="0"/>
                              <w:marRight w:val="0"/>
                              <w:marTop w:val="0"/>
                              <w:marBottom w:val="0"/>
                              <w:divBdr>
                                <w:top w:val="none" w:sz="0" w:space="0" w:color="auto"/>
                                <w:left w:val="none" w:sz="0" w:space="0" w:color="auto"/>
                                <w:bottom w:val="none" w:sz="0" w:space="0" w:color="auto"/>
                                <w:right w:val="none" w:sz="0" w:space="0" w:color="auto"/>
                              </w:divBdr>
                              <w:divsChild>
                                <w:div w:id="1768043709">
                                  <w:marLeft w:val="0"/>
                                  <w:marRight w:val="0"/>
                                  <w:marTop w:val="0"/>
                                  <w:marBottom w:val="0"/>
                                  <w:divBdr>
                                    <w:top w:val="none" w:sz="0" w:space="0" w:color="auto"/>
                                    <w:left w:val="none" w:sz="0" w:space="0" w:color="auto"/>
                                    <w:bottom w:val="none" w:sz="0" w:space="0" w:color="auto"/>
                                    <w:right w:val="none" w:sz="0" w:space="0" w:color="auto"/>
                                  </w:divBdr>
                                  <w:divsChild>
                                    <w:div w:id="1848398990">
                                      <w:marLeft w:val="0"/>
                                      <w:marRight w:val="0"/>
                                      <w:marTop w:val="0"/>
                                      <w:marBottom w:val="0"/>
                                      <w:divBdr>
                                        <w:top w:val="none" w:sz="0" w:space="0" w:color="auto"/>
                                        <w:left w:val="none" w:sz="0" w:space="0" w:color="auto"/>
                                        <w:bottom w:val="none" w:sz="0" w:space="0" w:color="auto"/>
                                        <w:right w:val="none" w:sz="0" w:space="0" w:color="auto"/>
                                      </w:divBdr>
                                      <w:divsChild>
                                        <w:div w:id="1499926508">
                                          <w:marLeft w:val="0"/>
                                          <w:marRight w:val="0"/>
                                          <w:marTop w:val="0"/>
                                          <w:marBottom w:val="0"/>
                                          <w:divBdr>
                                            <w:top w:val="none" w:sz="0" w:space="0" w:color="auto"/>
                                            <w:left w:val="none" w:sz="0" w:space="0" w:color="auto"/>
                                            <w:bottom w:val="none" w:sz="0" w:space="0" w:color="auto"/>
                                            <w:right w:val="none" w:sz="0" w:space="0" w:color="auto"/>
                                          </w:divBdr>
                                          <w:divsChild>
                                            <w:div w:id="6357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458911">
      <w:bodyDiv w:val="1"/>
      <w:marLeft w:val="0"/>
      <w:marRight w:val="0"/>
      <w:marTop w:val="0"/>
      <w:marBottom w:val="0"/>
      <w:divBdr>
        <w:top w:val="none" w:sz="0" w:space="0" w:color="auto"/>
        <w:left w:val="none" w:sz="0" w:space="0" w:color="auto"/>
        <w:bottom w:val="none" w:sz="0" w:space="0" w:color="auto"/>
        <w:right w:val="none" w:sz="0" w:space="0" w:color="auto"/>
      </w:divBdr>
    </w:div>
    <w:div w:id="2107771794">
      <w:bodyDiv w:val="1"/>
      <w:marLeft w:val="0"/>
      <w:marRight w:val="0"/>
      <w:marTop w:val="0"/>
      <w:marBottom w:val="0"/>
      <w:divBdr>
        <w:top w:val="none" w:sz="0" w:space="0" w:color="auto"/>
        <w:left w:val="none" w:sz="0" w:space="0" w:color="auto"/>
        <w:bottom w:val="none" w:sz="0" w:space="0" w:color="auto"/>
        <w:right w:val="none" w:sz="0" w:space="0" w:color="auto"/>
      </w:divBdr>
    </w:div>
    <w:div w:id="2126535230">
      <w:bodyDiv w:val="1"/>
      <w:marLeft w:val="0"/>
      <w:marRight w:val="0"/>
      <w:marTop w:val="0"/>
      <w:marBottom w:val="0"/>
      <w:divBdr>
        <w:top w:val="none" w:sz="0" w:space="0" w:color="auto"/>
        <w:left w:val="none" w:sz="0" w:space="0" w:color="auto"/>
        <w:bottom w:val="none" w:sz="0" w:space="0" w:color="auto"/>
        <w:right w:val="none" w:sz="0" w:space="0" w:color="auto"/>
      </w:divBdr>
    </w:div>
    <w:div w:id="2127383632">
      <w:bodyDiv w:val="1"/>
      <w:marLeft w:val="0"/>
      <w:marRight w:val="0"/>
      <w:marTop w:val="0"/>
      <w:marBottom w:val="0"/>
      <w:divBdr>
        <w:top w:val="none" w:sz="0" w:space="0" w:color="auto"/>
        <w:left w:val="none" w:sz="0" w:space="0" w:color="auto"/>
        <w:bottom w:val="none" w:sz="0" w:space="0" w:color="auto"/>
        <w:right w:val="none" w:sz="0" w:space="0" w:color="auto"/>
      </w:divBdr>
    </w:div>
    <w:div w:id="2143227567">
      <w:bodyDiv w:val="1"/>
      <w:marLeft w:val="0"/>
      <w:marRight w:val="0"/>
      <w:marTop w:val="0"/>
      <w:marBottom w:val="0"/>
      <w:divBdr>
        <w:top w:val="none" w:sz="0" w:space="0" w:color="auto"/>
        <w:left w:val="none" w:sz="0" w:space="0" w:color="auto"/>
        <w:bottom w:val="none" w:sz="0" w:space="0" w:color="auto"/>
        <w:right w:val="none" w:sz="0" w:space="0" w:color="auto"/>
      </w:divBdr>
    </w:div>
    <w:div w:id="214488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ls/sp16-sg5-oLS-00224.docx" TargetMode="External"/><Relationship Id="rId18" Type="http://schemas.openxmlformats.org/officeDocument/2006/relationships/hyperlink" Target="mailto:qishuguang@caict.ac.cn" TargetMode="External"/><Relationship Id="rId26" Type="http://schemas.openxmlformats.org/officeDocument/2006/relationships/hyperlink" Target="https://www.itu.int/en/ITU-T/Workshops-and-Seminars/sg05rg/sdtd/Pages/default.aspx" TargetMode="External"/><Relationship Id="rId39" Type="http://schemas.openxmlformats.org/officeDocument/2006/relationships/hyperlink" Target="https://www.itu.int/en/ITU-T/focusgroups/ai4ee/Documents/AI4EE-O-002_Report%20of%20ITU%20FG-AI4EE%202nd%20meeting%2c%2010%20December%202021.docx" TargetMode="External"/><Relationship Id="rId21" Type="http://schemas.openxmlformats.org/officeDocument/2006/relationships/hyperlink" Target="https://www.itu.int/ITU-T/workprog/wp_search.aspx?isn_sp=3925&amp;isn_sg=3928&amp;isn_status=-1,1,3,7&amp;details=0&amp;field=acdefghijo" TargetMode="External"/><Relationship Id="rId34" Type="http://schemas.openxmlformats.org/officeDocument/2006/relationships/hyperlink" Target="https://www.itu.int/en/ITU-T/focusgroups/ai4ee/Documents/Report%20of%20ITU%20FG-AI4EE%203rd%20meeting%2c%2008%20April%202021.docx" TargetMode="External"/><Relationship Id="rId42" Type="http://schemas.openxmlformats.org/officeDocument/2006/relationships/hyperlink" Target="https://www.itu.int/en/ITU-T/focusgroups/ai4ee/Pages/default.aspx" TargetMode="External"/><Relationship Id="rId47" Type="http://schemas.openxmlformats.org/officeDocument/2006/relationships/hyperlink" Target="https://www.itu.int/en/ITU-T/Workshops-and-Seminars/sg05rg/sdtd/Pages/default.aspx" TargetMode="External"/><Relationship Id="rId50" Type="http://schemas.openxmlformats.org/officeDocument/2006/relationships/hyperlink" Target="https://www.itu.int/en/ITU-T/Workshops-and-Seminars/sg05rg/sdtd/20210930/Pages/default.aspx"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aolo.gemma@huawei.com" TargetMode="External"/><Relationship Id="rId29" Type="http://schemas.openxmlformats.org/officeDocument/2006/relationships/hyperlink" Target="https://www.itu.int/en/ITU-T/studygroups/2017-2020/05/sg5rglatam/Pages/default.aspx" TargetMode="External"/><Relationship Id="rId11" Type="http://schemas.openxmlformats.org/officeDocument/2006/relationships/endnotes" Target="endnotes.xml"/><Relationship Id="rId24" Type="http://schemas.openxmlformats.org/officeDocument/2006/relationships/hyperlink" Target="https://www.itu.int/en/ITU-T/studygroups/2017-2020/05/sg5rgafr/Pages/default.aspx" TargetMode="External"/><Relationship Id="rId32" Type="http://schemas.openxmlformats.org/officeDocument/2006/relationships/hyperlink" Target="https://www.itu.int/en/ITU-T/Workshops-and-Seminars/sg05rg/sdtd/20211019/Pages/default.aspx" TargetMode="External"/><Relationship Id="rId37" Type="http://schemas.openxmlformats.org/officeDocument/2006/relationships/hyperlink" Target="https://www.itu.int/en/ITU-T/focusgroups/ai4ee/Pages/WG2deliverables.aspx" TargetMode="External"/><Relationship Id="rId40" Type="http://schemas.openxmlformats.org/officeDocument/2006/relationships/hyperlink" Target="https://www.itu.int/en/ITU-T/climatechange/Pages/20201209.aspx" TargetMode="External"/><Relationship Id="rId45" Type="http://schemas.openxmlformats.org/officeDocument/2006/relationships/hyperlink" Target="https://www.itu.int/en/ITU-T/studygroups/2017-2020/05/Pages/ITU-T-SG5-side-event-on-Vienna-Energy-Forum.aspx" TargetMode="External"/><Relationship Id="rId53" Type="http://schemas.openxmlformats.org/officeDocument/2006/relationships/hyperlink" Target="http://emfguide.itu.int"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fryderyk.lewicki@orange.com" TargetMode="External"/><Relationship Id="rId31" Type="http://schemas.openxmlformats.org/officeDocument/2006/relationships/hyperlink" Target="https://www.itu.int/en/ITU-T/studygroups/2017-2020/05/sg5rgap/Pages/default.aspx" TargetMode="External"/><Relationship Id="rId44" Type="http://schemas.openxmlformats.org/officeDocument/2006/relationships/hyperlink" Target="https://www.itu.int/en/action/environment-and-climate-change/Pages/Side-event-International-Standards-and-Sustainable-Green-%26-Innovative-Power-Solutions.aspx" TargetMode="External"/><Relationship Id="rId52" Type="http://schemas.openxmlformats.org/officeDocument/2006/relationships/hyperlink" Target="https://www.ucc.co.ug/safety-and-environmental-concerns-around-telecommunications-installations-in-ugand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ishuguang@caict.ac.cn" TargetMode="External"/><Relationship Id="rId22" Type="http://schemas.openxmlformats.org/officeDocument/2006/relationships/hyperlink" Target="https://www.un.org/sites/un2.un.org/files/2021-twg_4-062121.pdf" TargetMode="External"/><Relationship Id="rId27" Type="http://schemas.openxmlformats.org/officeDocument/2006/relationships/hyperlink" Target="https://www.itu.int/en/ITU-T/studygroups/2017-2020/05/sg5rgarb/Pages/default.aspx" TargetMode="External"/><Relationship Id="rId30" Type="http://schemas.openxmlformats.org/officeDocument/2006/relationships/hyperlink" Target="https://www.itu.int/en/ITU-T/Workshops-and-Seminars/sg05rg/sdtd/Pages/default.aspx" TargetMode="External"/><Relationship Id="rId35" Type="http://schemas.openxmlformats.org/officeDocument/2006/relationships/hyperlink" Target="https://aiforgood.itu.int/event/ai-for-environmental-sustainability/" TargetMode="External"/><Relationship Id="rId43" Type="http://schemas.openxmlformats.org/officeDocument/2006/relationships/hyperlink" Target="https://www.itu.int/en/ITU-T/Workshops-and-Seminars/2021/0510/Pages/default.aspx" TargetMode="External"/><Relationship Id="rId48" Type="http://schemas.openxmlformats.org/officeDocument/2006/relationships/hyperlink" Target="https://www.itu.int/en/ITU-T/Workshops-and-Seminars/sg05rg/sdtd/20210928/Pages/default.aspx"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itu.int/en/ITU-D/Regional-Presence/Europe/Pages/Events/2020/Spectrum_EUR_CIS/Remote.aspx" TargetMode="Externa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yperlink" Target="http://handle.itu.int/11.1002/ls/sp16-sg5-oLS-00224.docx" TargetMode="External"/><Relationship Id="rId25" Type="http://schemas.openxmlformats.org/officeDocument/2006/relationships/hyperlink" Target="https://www.itu.int/en/ITU-T/climatechange/Pages/1st-Digital-African-Week.aspx" TargetMode="External"/><Relationship Id="rId33" Type="http://schemas.openxmlformats.org/officeDocument/2006/relationships/hyperlink" Target="https://aiforgood.itu.int/events/ai-for-sustainable-transformation-in-smart-cities-mobility-and-energy/" TargetMode="External"/><Relationship Id="rId38" Type="http://schemas.openxmlformats.org/officeDocument/2006/relationships/hyperlink" Target="https://www.itu.int/en/ITU-T/focusgroups/ai4ee/Pages/WG3deliverables.aspx" TargetMode="External"/><Relationship Id="rId46" Type="http://schemas.openxmlformats.org/officeDocument/2006/relationships/hyperlink" Target="https://www.itu.int/en/ITU-D/Conferences/ET/2021/Pages/Programme.aspx" TargetMode="External"/><Relationship Id="rId20" Type="http://schemas.openxmlformats.org/officeDocument/2006/relationships/hyperlink" Target="mailto:paolo.gemma@huawei.com" TargetMode="External"/><Relationship Id="rId41" Type="http://schemas.openxmlformats.org/officeDocument/2006/relationships/hyperlink" Target="https://extranet.itu.int/sites/itu-t/focusgroups/ai4ee/_layouts/15/WopiFrame2.aspx?sourcedoc=%7b111E60E9-0339-4D29-BC3D-157FA2F70ED1%7d&amp;file=AI4EE-O-001.docx&amp;action=default"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fryderyk.lewicki@orange.com" TargetMode="External"/><Relationship Id="rId23" Type="http://schemas.openxmlformats.org/officeDocument/2006/relationships/hyperlink" Target="https://www.un.org/sites/un2.un.org/files/2021-twg_4-exesummarie-061721.pdf" TargetMode="External"/><Relationship Id="rId28" Type="http://schemas.openxmlformats.org/officeDocument/2006/relationships/hyperlink" Target="https://www.itu.int/en/ITU-T/Workshops-and-Seminars/sg05rg/sdtd/Pages/default.aspx" TargetMode="External"/><Relationship Id="rId36" Type="http://schemas.openxmlformats.org/officeDocument/2006/relationships/hyperlink" Target="https://www.itu.int/en/ITU-T/focusgroups/ai4ee/Pages/WG1deliverables.aspx" TargetMode="External"/><Relationship Id="rId49" Type="http://schemas.openxmlformats.org/officeDocument/2006/relationships/hyperlink" Target="https://www.itu.int/en/ITU-T/Workshops-and-Seminars/sg05rg/sdtd/20210929/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DocumentSource xmlns="3f6fad35-1f81-480e-a4e5-6e5474dcfb96" xsi:nil="true"/>
    <Purpose xmlns="3f6fad35-1f81-480e-a4e5-6e5474dcfb96">Discussion</Purpose>
    <SgText xmlns="3f6fad35-1f81-480e-a4e5-6e5474dcfb96" xsi:nil="true"/>
    <StudyPeriod xmlns="3f6fad35-1f81-480e-a4e5-6e5474dcfb96">2017-2020</StudyPeriod>
    <Abstract xmlns="3f6fad35-1f81-480e-a4e5-6e5474dcfb96">This liaison statement informs TSAG on SG5 lead roles</Abstract>
    <SourceRGM xmlns="3f6fad35-1f81-480e-a4e5-6e5474dcfb96" xsi:nil="true"/>
    <StudyGroup xmlns="3f6fad35-1f81-480e-a4e5-6e5474dcfb96" xsi:nil="true"/>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 xsi:nil="true"/>
    <Observations xmlns="3f6fad35-1f81-480e-a4e5-6e5474dcfb9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EDFC0E0-F317-4B95-9175-D7A6B7F8815D}">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3f6fad35-1f81-480e-a4e5-6e5474dcfb96"/>
    <ds:schemaRef ds:uri="http://purl.org/dc/terms/"/>
    <ds:schemaRef ds:uri="http://schemas.microsoft.com/sharepoint.v3"/>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5E5EAD-0E6C-439A-922D-23DC3FA2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5211</Words>
  <Characters>29704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LS on ITU-T Study Group 5 Lead Study Group Report</vt:lpstr>
    </vt:vector>
  </TitlesOfParts>
  <Manager>ITU-T</Manager>
  <Company>International Telecommunication Union (ITU)</Company>
  <LinksUpToDate>false</LinksUpToDate>
  <CharactersWithSpaces>34846</CharactersWithSpaces>
  <SharedDoc>false</SharedDoc>
  <HLinks>
    <vt:vector size="90" baseType="variant">
      <vt:variant>
        <vt:i4>7143531</vt:i4>
      </vt:variant>
      <vt:variant>
        <vt:i4>42</vt:i4>
      </vt:variant>
      <vt:variant>
        <vt:i4>0</vt:i4>
      </vt:variant>
      <vt:variant>
        <vt:i4>5</vt:i4>
      </vt:variant>
      <vt:variant>
        <vt:lpwstr>http://www.brsmeas.org/Default.aspx?tabid=3574&amp;meetId=46965D8E-C675-EA11-BFFE-005056857856</vt:lpwstr>
      </vt:variant>
      <vt:variant>
        <vt:lpwstr/>
      </vt:variant>
      <vt:variant>
        <vt:i4>3407915</vt:i4>
      </vt:variant>
      <vt:variant>
        <vt:i4>39</vt:i4>
      </vt:variant>
      <vt:variant>
        <vt:i4>0</vt:i4>
      </vt:variant>
      <vt:variant>
        <vt:i4>5</vt:i4>
      </vt:variant>
      <vt:variant>
        <vt:lpwstr>http://www.brsmeas.org/Default.aspx?tabid=3574&amp;meetId=DD2CA984-A16E-EA11-BFF8-005056857856&amp;lang=en</vt:lpwstr>
      </vt:variant>
      <vt:variant>
        <vt:lpwstr/>
      </vt:variant>
      <vt:variant>
        <vt:i4>1114125</vt:i4>
      </vt:variant>
      <vt:variant>
        <vt:i4>36</vt:i4>
      </vt:variant>
      <vt:variant>
        <vt:i4>0</vt:i4>
      </vt:variant>
      <vt:variant>
        <vt:i4>5</vt:i4>
      </vt:variant>
      <vt:variant>
        <vt:lpwstr>https://www.itu.int/en/ITU-T/focusgroups/ai4ee/Pages/default.aspx</vt:lpwstr>
      </vt:variant>
      <vt:variant>
        <vt:lpwstr/>
      </vt:variant>
      <vt:variant>
        <vt:i4>2621555</vt:i4>
      </vt:variant>
      <vt:variant>
        <vt:i4>33</vt:i4>
      </vt:variant>
      <vt:variant>
        <vt:i4>0</vt:i4>
      </vt:variant>
      <vt:variant>
        <vt:i4>5</vt:i4>
      </vt:variant>
      <vt:variant>
        <vt:lpwstr>https://www.itu.int/en/ITU-T/climatechange/Pages/20191014-meeting.aspx</vt:lpwstr>
      </vt:variant>
      <vt:variant>
        <vt:lpwstr/>
      </vt:variant>
      <vt:variant>
        <vt:i4>5046284</vt:i4>
      </vt:variant>
      <vt:variant>
        <vt:i4>30</vt:i4>
      </vt:variant>
      <vt:variant>
        <vt:i4>0</vt:i4>
      </vt:variant>
      <vt:variant>
        <vt:i4>5</vt:i4>
      </vt:variant>
      <vt:variant>
        <vt:lpwstr>https://www.itu.int/en/ITU-T/climatechange/Pages/20191014-forum.aspx</vt:lpwstr>
      </vt:variant>
      <vt:variant>
        <vt:lpwstr/>
      </vt:variant>
      <vt:variant>
        <vt:i4>5373952</vt:i4>
      </vt:variant>
      <vt:variant>
        <vt:i4>27</vt:i4>
      </vt:variant>
      <vt:variant>
        <vt:i4>0</vt:i4>
      </vt:variant>
      <vt:variant>
        <vt:i4>5</vt:i4>
      </vt:variant>
      <vt:variant>
        <vt:lpwstr>https://www.itu.int/en/ITU-T/studygroups/2017-2020/05/sg5rgap/Pages/default.aspx</vt:lpwstr>
      </vt:variant>
      <vt:variant>
        <vt:lpwstr/>
      </vt:variant>
      <vt:variant>
        <vt:i4>7929911</vt:i4>
      </vt:variant>
      <vt:variant>
        <vt:i4>24</vt:i4>
      </vt:variant>
      <vt:variant>
        <vt:i4>0</vt:i4>
      </vt:variant>
      <vt:variant>
        <vt:i4>5</vt:i4>
      </vt:variant>
      <vt:variant>
        <vt:lpwstr>https://www.itu.int/en/ITU-T/studygroups/2017-2020/05/sg5rglatam/Pages/default.aspx</vt:lpwstr>
      </vt:variant>
      <vt:variant>
        <vt:lpwstr/>
      </vt:variant>
      <vt:variant>
        <vt:i4>983109</vt:i4>
      </vt:variant>
      <vt:variant>
        <vt:i4>21</vt:i4>
      </vt:variant>
      <vt:variant>
        <vt:i4>0</vt:i4>
      </vt:variant>
      <vt:variant>
        <vt:i4>5</vt:i4>
      </vt:variant>
      <vt:variant>
        <vt:lpwstr>https://www.itu.int/en/ITU-T/studygroups/2017-2020/05/sg5rgarb/Pages/default.aspx</vt:lpwstr>
      </vt:variant>
      <vt:variant>
        <vt:lpwstr/>
      </vt:variant>
      <vt:variant>
        <vt:i4>2818087</vt:i4>
      </vt:variant>
      <vt:variant>
        <vt:i4>18</vt:i4>
      </vt:variant>
      <vt:variant>
        <vt:i4>0</vt:i4>
      </vt:variant>
      <vt:variant>
        <vt:i4>5</vt:i4>
      </vt:variant>
      <vt:variant>
        <vt:lpwstr>https://www.itu.int/en/ITU-T/climatechange/Pages/1st-Digital-African-Week.aspx</vt:lpwstr>
      </vt:variant>
      <vt:variant>
        <vt:lpwstr/>
      </vt:variant>
      <vt:variant>
        <vt:i4>2031697</vt:i4>
      </vt:variant>
      <vt:variant>
        <vt:i4>15</vt:i4>
      </vt:variant>
      <vt:variant>
        <vt:i4>0</vt:i4>
      </vt:variant>
      <vt:variant>
        <vt:i4>5</vt:i4>
      </vt:variant>
      <vt:variant>
        <vt:lpwstr>https://www.itu.int/en/ITU-T/studygroups/2017-2020/05/sg5rgafr/Pages/default.aspx</vt:lpwstr>
      </vt:variant>
      <vt:variant>
        <vt:lpwstr/>
      </vt:variant>
      <vt:variant>
        <vt:i4>3211307</vt:i4>
      </vt:variant>
      <vt:variant>
        <vt:i4>12</vt:i4>
      </vt:variant>
      <vt:variant>
        <vt:i4>0</vt:i4>
      </vt:variant>
      <vt:variant>
        <vt:i4>5</vt:i4>
      </vt:variant>
      <vt:variant>
        <vt:lpwstr>https://learning.climate-kic.org/en/programmes-and-courses/e-waste</vt:lpwstr>
      </vt:variant>
      <vt:variant>
        <vt:lpwstr/>
      </vt:variant>
      <vt:variant>
        <vt:i4>917584</vt:i4>
      </vt:variant>
      <vt:variant>
        <vt:i4>9</vt:i4>
      </vt:variant>
      <vt:variant>
        <vt:i4>0</vt:i4>
      </vt:variant>
      <vt:variant>
        <vt:i4>5</vt:i4>
      </vt:variant>
      <vt:variant>
        <vt:lpwstr>https://www.itu.int/ITU-T/workprog/wp_search.aspx?isn_sp=3925&amp;isn_sg=3928&amp;isn_status=-1,1,3,7&amp;details=0&amp;field=acdefghijo</vt:lpwstr>
      </vt:variant>
      <vt:variant>
        <vt:lpwstr/>
      </vt:variant>
      <vt:variant>
        <vt:i4>5505065</vt:i4>
      </vt:variant>
      <vt:variant>
        <vt:i4>6</vt:i4>
      </vt:variant>
      <vt:variant>
        <vt:i4>0</vt:i4>
      </vt:variant>
      <vt:variant>
        <vt:i4>5</vt:i4>
      </vt:variant>
      <vt:variant>
        <vt:lpwstr>mailto:paolo.gemma@huawei.com</vt:lpwstr>
      </vt:variant>
      <vt:variant>
        <vt:lpwstr/>
      </vt:variant>
      <vt:variant>
        <vt:i4>2031740</vt:i4>
      </vt:variant>
      <vt:variant>
        <vt:i4>3</vt:i4>
      </vt:variant>
      <vt:variant>
        <vt:i4>0</vt:i4>
      </vt:variant>
      <vt:variant>
        <vt:i4>5</vt:i4>
      </vt:variant>
      <vt:variant>
        <vt:lpwstr>mailto:fryderyk.lewicki@orange.com</vt:lpwstr>
      </vt:variant>
      <vt:variant>
        <vt:lpwstr/>
      </vt:variant>
      <vt:variant>
        <vt:i4>6422555</vt:i4>
      </vt:variant>
      <vt:variant>
        <vt:i4>0</vt:i4>
      </vt:variant>
      <vt:variant>
        <vt:i4>0</vt:i4>
      </vt:variant>
      <vt:variant>
        <vt:i4>5</vt:i4>
      </vt:variant>
      <vt:variant>
        <vt:lpwstr>mailto:qishuguang@caict.ac.cn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ITU-T Study Group 5 Lead Study Group Report</dc:title>
  <dc:subject/>
  <dc:creator>ITU-T Study Group 5</dc:creator>
  <cp:keywords>SG5; lead roles; electromagnetic compatibility; lightning protection; electromagnetic effects; ICTs ; environment; climate change; energy efficiency; circular economy; e‑waste</cp:keywords>
  <dc:description>SG5-LSxxx  For: _x000d_Document date: _x000d_Saved by ITU51014379 at 15:20:53 on 21/01/2020</dc:description>
  <cp:lastModifiedBy>Al-Mnini, Lara</cp:lastModifiedBy>
  <cp:revision>4</cp:revision>
  <cp:lastPrinted>2020-01-21T13:16:00Z</cp:lastPrinted>
  <dcterms:created xsi:type="dcterms:W3CDTF">2021-10-18T08:30:00Z</dcterms:created>
  <dcterms:modified xsi:type="dcterms:W3CDTF">2021-10-18T08:35:00Z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SG5-LSxxx</vt:lpwstr>
  </property>
  <property fmtid="{D5CDD505-2E9C-101B-9397-08002B2CF9AE}" pid="3" name="Docdate">
    <vt:lpwstr/>
  </property>
  <property fmtid="{D5CDD505-2E9C-101B-9397-08002B2CF9AE}" pid="4" name="Docorlang">
    <vt:lpwstr/>
  </property>
  <property fmtid="{D5CDD505-2E9C-101B-9397-08002B2CF9AE}" pid="5" name="Docbluepink">
    <vt:lpwstr>All/5</vt:lpwstr>
  </property>
  <property fmtid="{D5CDD505-2E9C-101B-9397-08002B2CF9AE}" pid="6" name="Docdest">
    <vt:lpwstr/>
  </property>
  <property fmtid="{D5CDD505-2E9C-101B-9397-08002B2CF9AE}" pid="7" name="Docauthor">
    <vt:lpwstr>ITU-T Study Group 5</vt:lpwstr>
  </property>
  <property fmtid="{D5CDD505-2E9C-101B-9397-08002B2CF9AE}" pid="8" name="_NewReviewCycle">
    <vt:lpwstr/>
  </property>
  <property fmtid="{D5CDD505-2E9C-101B-9397-08002B2CF9AE}" pid="9" name="KSOProductBuildVer">
    <vt:lpwstr>2052-10.1.0.7668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1607502497</vt:lpwstr>
  </property>
</Properties>
</file>