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ayout w:type="fixed"/>
        <w:tblCellMar>
          <w:left w:w="57" w:type="dxa"/>
          <w:right w:w="57" w:type="dxa"/>
        </w:tblCellMar>
        <w:tblLook w:val="0000" w:firstRow="0" w:lastRow="0" w:firstColumn="0" w:lastColumn="0" w:noHBand="0" w:noVBand="0"/>
      </w:tblPr>
      <w:tblGrid>
        <w:gridCol w:w="1191"/>
        <w:gridCol w:w="417"/>
        <w:gridCol w:w="9"/>
        <w:gridCol w:w="3625"/>
        <w:gridCol w:w="145"/>
        <w:gridCol w:w="4536"/>
      </w:tblGrid>
      <w:tr w:rsidR="00D53A59" w:rsidRPr="00D53A59" w14:paraId="0834F44D" w14:textId="77777777" w:rsidTr="003F6975">
        <w:trPr>
          <w:cantSplit/>
        </w:trPr>
        <w:tc>
          <w:tcPr>
            <w:tcW w:w="1191" w:type="dxa"/>
            <w:vMerge w:val="restart"/>
          </w:tcPr>
          <w:p w14:paraId="42EF0916" w14:textId="77777777" w:rsidR="00D53A59" w:rsidRPr="00D53A59" w:rsidRDefault="00D53A59" w:rsidP="00D53A59">
            <w:pPr>
              <w:rPr>
                <w:sz w:val="20"/>
                <w:szCs w:val="20"/>
              </w:rPr>
            </w:pPr>
            <w:bookmarkStart w:id="0" w:name="dnum" w:colFirst="2" w:colLast="2"/>
            <w:bookmarkStart w:id="1" w:name="dtableau"/>
            <w:r w:rsidRPr="00D53A59">
              <w:rPr>
                <w:noProof/>
                <w:sz w:val="20"/>
                <w:szCs w:val="20"/>
                <w:lang w:eastAsia="zh-CN"/>
              </w:rPr>
              <w:drawing>
                <wp:inline distT="0" distB="0" distL="0" distR="0" wp14:anchorId="79D61D56" wp14:editId="26305764">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vMerge w:val="restart"/>
          </w:tcPr>
          <w:p w14:paraId="673C66B5" w14:textId="77777777" w:rsidR="00D53A59" w:rsidRPr="00D53A59" w:rsidRDefault="00D53A59" w:rsidP="00D53A59">
            <w:pPr>
              <w:rPr>
                <w:sz w:val="16"/>
                <w:szCs w:val="16"/>
              </w:rPr>
            </w:pPr>
            <w:r w:rsidRPr="00D53A59">
              <w:rPr>
                <w:sz w:val="16"/>
                <w:szCs w:val="16"/>
              </w:rPr>
              <w:t>INTERNATIONAL TELECOMMUNICATION UNION</w:t>
            </w:r>
          </w:p>
          <w:p w14:paraId="133D262B" w14:textId="77777777" w:rsidR="00D53A59" w:rsidRPr="00D53A59" w:rsidRDefault="00D53A59" w:rsidP="00D53A59">
            <w:pPr>
              <w:rPr>
                <w:b/>
                <w:bCs/>
                <w:sz w:val="26"/>
                <w:szCs w:val="26"/>
              </w:rPr>
            </w:pPr>
            <w:r w:rsidRPr="00D53A59">
              <w:rPr>
                <w:b/>
                <w:bCs/>
                <w:sz w:val="26"/>
                <w:szCs w:val="26"/>
              </w:rPr>
              <w:t>TELECOMMUNICATION</w:t>
            </w:r>
            <w:r w:rsidRPr="00D53A59">
              <w:rPr>
                <w:b/>
                <w:bCs/>
                <w:sz w:val="26"/>
                <w:szCs w:val="26"/>
              </w:rPr>
              <w:br/>
              <w:t>STANDARDIZATION SECTOR</w:t>
            </w:r>
          </w:p>
          <w:p w14:paraId="2BEDEF21" w14:textId="77777777" w:rsidR="00D53A59" w:rsidRPr="00D53A59" w:rsidRDefault="00D53A59" w:rsidP="00D53A59">
            <w:pPr>
              <w:rPr>
                <w:sz w:val="20"/>
                <w:szCs w:val="20"/>
              </w:rPr>
            </w:pPr>
            <w:r w:rsidRPr="00D53A59">
              <w:rPr>
                <w:sz w:val="20"/>
                <w:szCs w:val="20"/>
              </w:rPr>
              <w:t xml:space="preserve">STUDY PERIOD </w:t>
            </w:r>
            <w:bookmarkStart w:id="2" w:name="dstudyperiod"/>
            <w:r w:rsidRPr="00D53A59">
              <w:rPr>
                <w:sz w:val="20"/>
                <w:szCs w:val="20"/>
              </w:rPr>
              <w:t>2017-2020</w:t>
            </w:r>
            <w:bookmarkEnd w:id="2"/>
          </w:p>
        </w:tc>
        <w:tc>
          <w:tcPr>
            <w:tcW w:w="4681" w:type="dxa"/>
            <w:gridSpan w:val="2"/>
            <w:vAlign w:val="center"/>
          </w:tcPr>
          <w:p w14:paraId="61FB7E9B" w14:textId="61D9403E" w:rsidR="00D53A59" w:rsidRPr="00D53A59" w:rsidRDefault="00D53A59" w:rsidP="00D53A59">
            <w:pPr>
              <w:pStyle w:val="Docnumber"/>
            </w:pPr>
            <w:r>
              <w:t>TSAG-TD1042</w:t>
            </w:r>
          </w:p>
        </w:tc>
      </w:tr>
      <w:tr w:rsidR="00D53A59" w:rsidRPr="00D53A59" w14:paraId="084B0D3F" w14:textId="77777777" w:rsidTr="003F6975">
        <w:trPr>
          <w:cantSplit/>
        </w:trPr>
        <w:tc>
          <w:tcPr>
            <w:tcW w:w="1191" w:type="dxa"/>
            <w:vMerge/>
          </w:tcPr>
          <w:p w14:paraId="728CE857" w14:textId="77777777" w:rsidR="00D53A59" w:rsidRPr="00D53A59" w:rsidRDefault="00D53A59" w:rsidP="00D53A59">
            <w:pPr>
              <w:rPr>
                <w:smallCaps/>
                <w:sz w:val="20"/>
              </w:rPr>
            </w:pPr>
            <w:bookmarkStart w:id="3" w:name="dsg" w:colFirst="2" w:colLast="2"/>
            <w:bookmarkEnd w:id="0"/>
          </w:p>
        </w:tc>
        <w:tc>
          <w:tcPr>
            <w:tcW w:w="4051" w:type="dxa"/>
            <w:gridSpan w:val="3"/>
            <w:vMerge/>
          </w:tcPr>
          <w:p w14:paraId="22BA3E8E" w14:textId="77777777" w:rsidR="00D53A59" w:rsidRPr="00D53A59" w:rsidRDefault="00D53A59" w:rsidP="00D53A59">
            <w:pPr>
              <w:rPr>
                <w:smallCaps/>
                <w:sz w:val="20"/>
              </w:rPr>
            </w:pPr>
          </w:p>
        </w:tc>
        <w:tc>
          <w:tcPr>
            <w:tcW w:w="4681" w:type="dxa"/>
            <w:gridSpan w:val="2"/>
          </w:tcPr>
          <w:p w14:paraId="5DFE8542" w14:textId="6BC217FE" w:rsidR="00D53A59" w:rsidRPr="00D53A59" w:rsidRDefault="00D53A59" w:rsidP="00D53A59">
            <w:pPr>
              <w:jc w:val="right"/>
              <w:rPr>
                <w:b/>
                <w:bCs/>
                <w:smallCaps/>
                <w:sz w:val="28"/>
                <w:szCs w:val="28"/>
              </w:rPr>
            </w:pPr>
            <w:r>
              <w:rPr>
                <w:b/>
                <w:bCs/>
                <w:smallCaps/>
                <w:sz w:val="28"/>
                <w:szCs w:val="28"/>
              </w:rPr>
              <w:t>TSAG</w:t>
            </w:r>
          </w:p>
        </w:tc>
      </w:tr>
      <w:bookmarkEnd w:id="3"/>
      <w:tr w:rsidR="00D53A59" w:rsidRPr="00D53A59" w14:paraId="67FFD393" w14:textId="77777777" w:rsidTr="003F6975">
        <w:trPr>
          <w:cantSplit/>
        </w:trPr>
        <w:tc>
          <w:tcPr>
            <w:tcW w:w="1191" w:type="dxa"/>
            <w:vMerge/>
            <w:tcBorders>
              <w:bottom w:val="single" w:sz="12" w:space="0" w:color="auto"/>
            </w:tcBorders>
          </w:tcPr>
          <w:p w14:paraId="4247DC50" w14:textId="77777777" w:rsidR="00D53A59" w:rsidRPr="00D53A59" w:rsidRDefault="00D53A59" w:rsidP="00D53A59">
            <w:pPr>
              <w:rPr>
                <w:b/>
                <w:bCs/>
                <w:sz w:val="26"/>
              </w:rPr>
            </w:pPr>
          </w:p>
        </w:tc>
        <w:tc>
          <w:tcPr>
            <w:tcW w:w="4051" w:type="dxa"/>
            <w:gridSpan w:val="3"/>
            <w:vMerge/>
            <w:tcBorders>
              <w:bottom w:val="single" w:sz="12" w:space="0" w:color="auto"/>
            </w:tcBorders>
          </w:tcPr>
          <w:p w14:paraId="59DBCC44" w14:textId="77777777" w:rsidR="00D53A59" w:rsidRPr="00D53A59" w:rsidRDefault="00D53A59" w:rsidP="00D53A59">
            <w:pPr>
              <w:rPr>
                <w:b/>
                <w:bCs/>
                <w:sz w:val="26"/>
              </w:rPr>
            </w:pPr>
          </w:p>
        </w:tc>
        <w:tc>
          <w:tcPr>
            <w:tcW w:w="4681" w:type="dxa"/>
            <w:gridSpan w:val="2"/>
            <w:tcBorders>
              <w:bottom w:val="single" w:sz="12" w:space="0" w:color="auto"/>
            </w:tcBorders>
            <w:vAlign w:val="center"/>
          </w:tcPr>
          <w:p w14:paraId="6038396C" w14:textId="77777777" w:rsidR="00D53A59" w:rsidRPr="00D53A59" w:rsidRDefault="00D53A59" w:rsidP="00D53A59">
            <w:pPr>
              <w:jc w:val="right"/>
              <w:rPr>
                <w:b/>
                <w:bCs/>
                <w:sz w:val="28"/>
                <w:szCs w:val="28"/>
              </w:rPr>
            </w:pPr>
            <w:r w:rsidRPr="00D53A59">
              <w:rPr>
                <w:b/>
                <w:bCs/>
                <w:sz w:val="28"/>
                <w:szCs w:val="28"/>
              </w:rPr>
              <w:t>Original: English</w:t>
            </w:r>
          </w:p>
        </w:tc>
      </w:tr>
      <w:tr w:rsidR="00D53A59" w:rsidRPr="00D53A59" w14:paraId="6FC9941C" w14:textId="77777777" w:rsidTr="003F6975">
        <w:trPr>
          <w:cantSplit/>
        </w:trPr>
        <w:tc>
          <w:tcPr>
            <w:tcW w:w="1617" w:type="dxa"/>
            <w:gridSpan w:val="3"/>
          </w:tcPr>
          <w:p w14:paraId="5C64AB75" w14:textId="77777777" w:rsidR="00D53A59" w:rsidRPr="00D53A59" w:rsidRDefault="00D53A59" w:rsidP="00D53A59">
            <w:pPr>
              <w:rPr>
                <w:b/>
                <w:bCs/>
              </w:rPr>
            </w:pPr>
            <w:bookmarkStart w:id="4" w:name="dbluepink" w:colFirst="1" w:colLast="1"/>
            <w:bookmarkStart w:id="5" w:name="dmeeting" w:colFirst="2" w:colLast="2"/>
            <w:r w:rsidRPr="00D53A59">
              <w:rPr>
                <w:b/>
                <w:bCs/>
              </w:rPr>
              <w:t>Question(s):</w:t>
            </w:r>
          </w:p>
        </w:tc>
        <w:tc>
          <w:tcPr>
            <w:tcW w:w="3625" w:type="dxa"/>
          </w:tcPr>
          <w:p w14:paraId="1D12876A" w14:textId="2053FA1B" w:rsidR="00D53A59" w:rsidRPr="00D53A59" w:rsidRDefault="00D53A59" w:rsidP="00D53A59">
            <w:r w:rsidRPr="00D53A59">
              <w:t>N/A</w:t>
            </w:r>
          </w:p>
        </w:tc>
        <w:tc>
          <w:tcPr>
            <w:tcW w:w="4681" w:type="dxa"/>
            <w:gridSpan w:val="2"/>
          </w:tcPr>
          <w:p w14:paraId="6AE1B42A" w14:textId="50AE9268" w:rsidR="00D53A59" w:rsidRPr="00D53A59" w:rsidRDefault="00D53A59" w:rsidP="00D53A59">
            <w:pPr>
              <w:jc w:val="right"/>
            </w:pPr>
            <w:r w:rsidRPr="00D53A59">
              <w:t>E-meeting, 25-29 October 2021</w:t>
            </w:r>
          </w:p>
        </w:tc>
      </w:tr>
      <w:tr w:rsidR="00D53A59" w:rsidRPr="00D53A59" w14:paraId="7E64343E" w14:textId="77777777" w:rsidTr="003F6975">
        <w:trPr>
          <w:cantSplit/>
        </w:trPr>
        <w:tc>
          <w:tcPr>
            <w:tcW w:w="9923" w:type="dxa"/>
            <w:gridSpan w:val="6"/>
          </w:tcPr>
          <w:p w14:paraId="2343E2E5" w14:textId="4459E8D5" w:rsidR="00D53A59" w:rsidRPr="00D53A59" w:rsidRDefault="00D53A59" w:rsidP="00D53A59">
            <w:pPr>
              <w:jc w:val="center"/>
              <w:rPr>
                <w:b/>
                <w:bCs/>
              </w:rPr>
            </w:pPr>
            <w:bookmarkStart w:id="6" w:name="ddoctype" w:colFirst="0" w:colLast="0"/>
            <w:bookmarkEnd w:id="4"/>
            <w:bookmarkEnd w:id="5"/>
            <w:r w:rsidRPr="00D53A59">
              <w:rPr>
                <w:b/>
                <w:bCs/>
              </w:rPr>
              <w:t>TD</w:t>
            </w:r>
          </w:p>
        </w:tc>
      </w:tr>
      <w:tr w:rsidR="00D53A59" w:rsidRPr="00D53A59" w14:paraId="06E86715" w14:textId="77777777" w:rsidTr="003F6975">
        <w:trPr>
          <w:cantSplit/>
        </w:trPr>
        <w:tc>
          <w:tcPr>
            <w:tcW w:w="1617" w:type="dxa"/>
            <w:gridSpan w:val="3"/>
          </w:tcPr>
          <w:p w14:paraId="6535328C" w14:textId="77777777" w:rsidR="00D53A59" w:rsidRPr="00D53A59" w:rsidRDefault="00D53A59" w:rsidP="00D53A59">
            <w:pPr>
              <w:rPr>
                <w:b/>
                <w:bCs/>
              </w:rPr>
            </w:pPr>
            <w:bookmarkStart w:id="7" w:name="dsource" w:colFirst="1" w:colLast="1"/>
            <w:bookmarkEnd w:id="6"/>
            <w:r w:rsidRPr="00D53A59">
              <w:rPr>
                <w:b/>
                <w:bCs/>
              </w:rPr>
              <w:t>Source:</w:t>
            </w:r>
          </w:p>
        </w:tc>
        <w:tc>
          <w:tcPr>
            <w:tcW w:w="8306" w:type="dxa"/>
            <w:gridSpan w:val="3"/>
          </w:tcPr>
          <w:p w14:paraId="44E100CC" w14:textId="54338D40" w:rsidR="00D53A59" w:rsidRPr="00D53A59" w:rsidRDefault="00D53A59" w:rsidP="00D53A59">
            <w:r w:rsidRPr="00D53A59">
              <w:t>Chairman, ITU-T SG9</w:t>
            </w:r>
          </w:p>
        </w:tc>
      </w:tr>
      <w:tr w:rsidR="00D53A59" w:rsidRPr="00D53A59" w14:paraId="13F5D22B" w14:textId="77777777" w:rsidTr="003F6975">
        <w:trPr>
          <w:cantSplit/>
        </w:trPr>
        <w:tc>
          <w:tcPr>
            <w:tcW w:w="1617" w:type="dxa"/>
            <w:gridSpan w:val="3"/>
          </w:tcPr>
          <w:p w14:paraId="1CC7435C" w14:textId="77777777" w:rsidR="00D53A59" w:rsidRPr="00D53A59" w:rsidRDefault="00D53A59" w:rsidP="00D53A59">
            <w:bookmarkStart w:id="8" w:name="dtitle1" w:colFirst="1" w:colLast="1"/>
            <w:bookmarkEnd w:id="7"/>
            <w:r w:rsidRPr="00D53A59">
              <w:rPr>
                <w:b/>
                <w:bCs/>
              </w:rPr>
              <w:t>Title:</w:t>
            </w:r>
          </w:p>
        </w:tc>
        <w:tc>
          <w:tcPr>
            <w:tcW w:w="8306" w:type="dxa"/>
            <w:gridSpan w:val="3"/>
          </w:tcPr>
          <w:p w14:paraId="236FD2C7" w14:textId="58BEB88D" w:rsidR="00D53A59" w:rsidRPr="00D53A59" w:rsidRDefault="00D53A59" w:rsidP="00D53A59">
            <w:r w:rsidRPr="00D53A59">
              <w:t>ITU-T SG9 Lead Study Group Report</w:t>
            </w:r>
          </w:p>
        </w:tc>
      </w:tr>
      <w:tr w:rsidR="00D53A59" w:rsidRPr="00D53A59" w14:paraId="293538F0" w14:textId="77777777" w:rsidTr="003F6975">
        <w:trPr>
          <w:cantSplit/>
        </w:trPr>
        <w:tc>
          <w:tcPr>
            <w:tcW w:w="1617" w:type="dxa"/>
            <w:gridSpan w:val="3"/>
            <w:tcBorders>
              <w:bottom w:val="single" w:sz="8" w:space="0" w:color="auto"/>
            </w:tcBorders>
          </w:tcPr>
          <w:p w14:paraId="588C8619" w14:textId="77777777" w:rsidR="00D53A59" w:rsidRPr="00D53A59" w:rsidRDefault="00D53A59" w:rsidP="00D53A59">
            <w:pPr>
              <w:rPr>
                <w:b/>
                <w:bCs/>
              </w:rPr>
            </w:pPr>
            <w:bookmarkStart w:id="9" w:name="dpurpose" w:colFirst="1" w:colLast="1"/>
            <w:bookmarkEnd w:id="8"/>
            <w:r w:rsidRPr="00D53A59">
              <w:rPr>
                <w:b/>
                <w:bCs/>
              </w:rPr>
              <w:t>Purpose:</w:t>
            </w:r>
          </w:p>
        </w:tc>
        <w:tc>
          <w:tcPr>
            <w:tcW w:w="8306" w:type="dxa"/>
            <w:gridSpan w:val="3"/>
            <w:tcBorders>
              <w:bottom w:val="single" w:sz="8" w:space="0" w:color="auto"/>
            </w:tcBorders>
          </w:tcPr>
          <w:p w14:paraId="22015C0E" w14:textId="27BACD12" w:rsidR="00D53A59" w:rsidRPr="00D53A59" w:rsidRDefault="00D53A59" w:rsidP="00D53A59">
            <w:r w:rsidRPr="00D53A59">
              <w:t>Information</w:t>
            </w:r>
          </w:p>
        </w:tc>
      </w:tr>
      <w:bookmarkEnd w:id="1"/>
      <w:bookmarkEnd w:id="9"/>
      <w:tr w:rsidR="00856C7A" w:rsidRPr="00364979" w14:paraId="7F20B0E0" w14:textId="77777777" w:rsidTr="00856C7A">
        <w:trPr>
          <w:cantSplit/>
        </w:trPr>
        <w:tc>
          <w:tcPr>
            <w:tcW w:w="1608" w:type="dxa"/>
            <w:gridSpan w:val="2"/>
            <w:tcBorders>
              <w:top w:val="single" w:sz="8" w:space="0" w:color="auto"/>
              <w:bottom w:val="single" w:sz="8" w:space="0" w:color="auto"/>
            </w:tcBorders>
          </w:tcPr>
          <w:p w14:paraId="1FB7D143" w14:textId="77777777" w:rsidR="00856C7A" w:rsidRPr="00136DDD" w:rsidRDefault="00856C7A" w:rsidP="00856C7A">
            <w:pPr>
              <w:rPr>
                <w:b/>
                <w:bCs/>
              </w:rPr>
            </w:pPr>
            <w:r w:rsidRPr="00136DDD">
              <w:rPr>
                <w:b/>
                <w:bCs/>
              </w:rPr>
              <w:t>Contact:</w:t>
            </w:r>
          </w:p>
        </w:tc>
        <w:tc>
          <w:tcPr>
            <w:tcW w:w="3779" w:type="dxa"/>
            <w:gridSpan w:val="3"/>
            <w:tcBorders>
              <w:top w:val="single" w:sz="8" w:space="0" w:color="auto"/>
              <w:bottom w:val="single" w:sz="8" w:space="0" w:color="auto"/>
            </w:tcBorders>
          </w:tcPr>
          <w:p w14:paraId="69E3CC75" w14:textId="3C4F61B9" w:rsidR="00856C7A" w:rsidRPr="00136DDD" w:rsidRDefault="004E11E3" w:rsidP="005703C0">
            <w:sdt>
              <w:sdtPr>
                <w:alias w:val="ContactNameOrgCountry"/>
                <w:tag w:val="ContactNameOrgCountry"/>
                <w:id w:val="-130639986"/>
                <w:placeholder>
                  <w:docPart w:val="A91B5E6354D743CBB3191FC91212D428"/>
                </w:placeholder>
                <w:text w:multiLine="1"/>
              </w:sdtPr>
              <w:sdtEndPr/>
              <w:sdtContent>
                <w:r w:rsidR="005703C0" w:rsidRPr="005703C0">
                  <w:t>Satoshi Miyaji</w:t>
                </w:r>
                <w:r w:rsidR="005703C0">
                  <w:br/>
                </w:r>
                <w:r w:rsidR="005703C0" w:rsidRPr="005703C0">
                  <w:t>KDDI Corporation</w:t>
                </w:r>
                <w:r w:rsidR="005703C0">
                  <w:br/>
                </w:r>
                <w:r w:rsidR="005703C0" w:rsidRPr="005703C0">
                  <w:t>Japan</w:t>
                </w:r>
              </w:sdtContent>
            </w:sdt>
          </w:p>
        </w:tc>
        <w:sdt>
          <w:sdtPr>
            <w:alias w:val="ContactTelFaxEmail"/>
            <w:tag w:val="ContactTelFaxEmail"/>
            <w:id w:val="-2140561428"/>
            <w:placeholder>
              <w:docPart w:val="437903216CDF42D8AFCFCB5DAA1ABCBD"/>
            </w:placeholder>
          </w:sdtPr>
          <w:sdtEndPr/>
          <w:sdtContent>
            <w:tc>
              <w:tcPr>
                <w:tcW w:w="4536" w:type="dxa"/>
                <w:tcBorders>
                  <w:top w:val="single" w:sz="8" w:space="0" w:color="auto"/>
                  <w:bottom w:val="single" w:sz="8" w:space="0" w:color="auto"/>
                </w:tcBorders>
              </w:tcPr>
              <w:p w14:paraId="63278B87" w14:textId="7B847BC2" w:rsidR="00856C7A" w:rsidRPr="00FF1151" w:rsidRDefault="005703C0" w:rsidP="00856C7A">
                <w:pPr>
                  <w:rPr>
                    <w:lang w:val="pt-BR"/>
                  </w:rPr>
                </w:pPr>
                <w:r w:rsidRPr="00FF1151">
                  <w:rPr>
                    <w:lang w:val="pt-BR"/>
                  </w:rPr>
                  <w:t>Tel: +</w:t>
                </w:r>
                <w:r>
                  <w:rPr>
                    <w:lang w:val="pt-BR"/>
                  </w:rPr>
                  <w:t>81 3 5931 0657</w:t>
                </w:r>
                <w:r w:rsidRPr="00FF1151">
                  <w:rPr>
                    <w:lang w:val="pt-BR"/>
                  </w:rPr>
                  <w:br/>
                  <w:t>Fax: +</w:t>
                </w:r>
                <w:r>
                  <w:rPr>
                    <w:lang w:val="pt-BR"/>
                  </w:rPr>
                  <w:t>81 3 4564 2352</w:t>
                </w:r>
                <w:r w:rsidRPr="00FF1151">
                  <w:rPr>
                    <w:lang w:val="pt-BR"/>
                  </w:rPr>
                  <w:br/>
                  <w:t xml:space="preserve">E-mail: </w:t>
                </w:r>
                <w:hyperlink r:id="rId11" w:history="1">
                  <w:r w:rsidRPr="00BE278C">
                    <w:rPr>
                      <w:rStyle w:val="Hyperlink"/>
                      <w:rFonts w:ascii="Times New Roman" w:hAnsi="Times New Roman"/>
                      <w:lang w:val="pt-BR"/>
                    </w:rPr>
                    <w:t>sa-miyaji@kddi.com</w:t>
                  </w:r>
                </w:hyperlink>
              </w:p>
            </w:tc>
          </w:sdtContent>
        </w:sdt>
      </w:tr>
    </w:tbl>
    <w:p w14:paraId="242E84BA" w14:textId="77777777" w:rsidR="00DB0706" w:rsidRPr="00FF1151" w:rsidRDefault="00DB0706" w:rsidP="0089088E">
      <w:pPr>
        <w:rPr>
          <w:lang w:val="pt-BR"/>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89088E" w:rsidRPr="00136DDD" w14:paraId="1618F5E7" w14:textId="77777777" w:rsidTr="00A1497A">
        <w:trPr>
          <w:cantSplit/>
        </w:trPr>
        <w:tc>
          <w:tcPr>
            <w:tcW w:w="1607" w:type="dxa"/>
          </w:tcPr>
          <w:p w14:paraId="27A69715" w14:textId="77777777" w:rsidR="0089088E" w:rsidRPr="00136DDD" w:rsidRDefault="0089088E" w:rsidP="005976A1">
            <w:pPr>
              <w:rPr>
                <w:b/>
                <w:bCs/>
              </w:rPr>
            </w:pPr>
            <w:r w:rsidRPr="00136DDD">
              <w:rPr>
                <w:b/>
                <w:bCs/>
              </w:rPr>
              <w:t>Keywords:</w:t>
            </w:r>
          </w:p>
        </w:tc>
        <w:tc>
          <w:tcPr>
            <w:tcW w:w="8316" w:type="dxa"/>
          </w:tcPr>
          <w:p w14:paraId="3CFECD5B" w14:textId="0389BB93" w:rsidR="0089088E" w:rsidRPr="00136DDD" w:rsidRDefault="004E11E3" w:rsidP="005976A1">
            <w:sdt>
              <w:sdtPr>
                <w:alias w:val="Keywords"/>
                <w:tag w:val="Keywords"/>
                <w:id w:val="-1329598096"/>
                <w:placeholder>
                  <w:docPart w:val="C259800AD439456F86001229E9F6B8CD"/>
                </w:placeholder>
                <w:dataBinding w:prefixMappings="xmlns:ns0='http://purl.org/dc/elements/1.1/' xmlns:ns1='http://schemas.openxmlformats.org/package/2006/metadata/core-properties' " w:xpath="/ns1:coreProperties[1]/ns1:keywords[1]" w:storeItemID="{6C3C8BC8-F283-45AE-878A-BAB7291924A1}"/>
                <w:text/>
              </w:sdtPr>
              <w:sdtEndPr/>
              <w:sdtContent>
                <w:r w:rsidR="007B7AC8">
                  <w:t>Study Group 9; report;</w:t>
                </w:r>
              </w:sdtContent>
            </w:sdt>
          </w:p>
        </w:tc>
      </w:tr>
      <w:tr w:rsidR="0089088E" w:rsidRPr="00136DDD" w14:paraId="3957B918" w14:textId="77777777" w:rsidTr="00A1497A">
        <w:trPr>
          <w:cantSplit/>
        </w:trPr>
        <w:tc>
          <w:tcPr>
            <w:tcW w:w="1607" w:type="dxa"/>
          </w:tcPr>
          <w:p w14:paraId="569E4A3A" w14:textId="77777777" w:rsidR="0089088E" w:rsidRPr="00136DDD" w:rsidRDefault="0089088E" w:rsidP="005976A1">
            <w:pPr>
              <w:rPr>
                <w:b/>
                <w:bCs/>
              </w:rPr>
            </w:pPr>
            <w:r w:rsidRPr="00136DDD">
              <w:rPr>
                <w:b/>
                <w:bCs/>
              </w:rPr>
              <w:t>Abstract:</w:t>
            </w:r>
          </w:p>
        </w:tc>
        <w:sdt>
          <w:sdtPr>
            <w:alias w:val="Abstract"/>
            <w:tag w:val="Abstract"/>
            <w:id w:val="-939903723"/>
            <w:placeholder>
              <w:docPart w:val="492BE26494BC4227B909FEB578E10484"/>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316" w:type="dxa"/>
              </w:tcPr>
              <w:p w14:paraId="11926C77" w14:textId="13C8118C" w:rsidR="0089088E" w:rsidRPr="00136DDD" w:rsidRDefault="002A3E0A" w:rsidP="008B5123">
                <w:r>
                  <w:t>This TD provides the SG9 report for lead study group activities on integrated broadband cable and television networks.</w:t>
                </w:r>
              </w:p>
            </w:tc>
          </w:sdtContent>
        </w:sdt>
      </w:tr>
    </w:tbl>
    <w:p w14:paraId="0058D8E3" w14:textId="77777777" w:rsidR="00A1497A" w:rsidRPr="00636A80" w:rsidRDefault="00A1497A" w:rsidP="00A1497A">
      <w:pPr>
        <w:pStyle w:val="Heading1"/>
        <w:rPr>
          <w:rFonts w:eastAsia="MS Mincho"/>
        </w:rPr>
      </w:pPr>
      <w:r w:rsidRPr="00636A80">
        <w:rPr>
          <w:rFonts w:eastAsia="MS Mincho"/>
        </w:rPr>
        <w:t>Lead study group activities on i</w:t>
      </w:r>
      <w:r w:rsidRPr="00636A80">
        <w:t>ntegrated broadband cable and television networks</w:t>
      </w:r>
    </w:p>
    <w:p w14:paraId="36D277EE" w14:textId="4070FC62" w:rsidR="00D35904" w:rsidRPr="00D35904" w:rsidRDefault="00A1497A" w:rsidP="00D35904">
      <w:pPr>
        <w:rPr>
          <w:rFonts w:eastAsia="MS Mincho"/>
        </w:rPr>
      </w:pPr>
      <w:r>
        <w:rPr>
          <w:rFonts w:eastAsia="MS Mincho"/>
        </w:rPr>
        <w:t xml:space="preserve">Since the last TSAG meeting in </w:t>
      </w:r>
      <w:r w:rsidR="00E1764B">
        <w:rPr>
          <w:rFonts w:eastAsia="MS Mincho"/>
        </w:rPr>
        <w:t xml:space="preserve">January 2021, SG9 organized </w:t>
      </w:r>
      <w:r w:rsidR="00666FA4">
        <w:rPr>
          <w:rFonts w:eastAsia="MS Mincho"/>
        </w:rPr>
        <w:t>its sixth</w:t>
      </w:r>
      <w:r w:rsidR="00E1764B">
        <w:rPr>
          <w:rFonts w:eastAsia="MS Mincho"/>
        </w:rPr>
        <w:t xml:space="preserve"> Study Group meeting </w:t>
      </w:r>
      <w:r w:rsidR="00666FA4">
        <w:rPr>
          <w:rFonts w:eastAsia="MS Mincho"/>
        </w:rPr>
        <w:t>on 19</w:t>
      </w:r>
      <w:r w:rsidR="002A3E0A">
        <w:rPr>
          <w:rFonts w:eastAsia="MS Mincho"/>
        </w:rPr>
        <w:noBreakHyphen/>
      </w:r>
      <w:r w:rsidR="00666FA4">
        <w:rPr>
          <w:rFonts w:eastAsia="MS Mincho"/>
        </w:rPr>
        <w:t>28</w:t>
      </w:r>
      <w:r w:rsidR="00E1764B">
        <w:rPr>
          <w:rFonts w:eastAsia="MS Mincho"/>
        </w:rPr>
        <w:t xml:space="preserve"> April 2021 fully virtual.</w:t>
      </w:r>
      <w:r w:rsidR="00D35904" w:rsidRPr="00D35904">
        <w:t xml:space="preserve"> </w:t>
      </w:r>
      <w:r w:rsidR="00D35904" w:rsidRPr="00D35904">
        <w:rPr>
          <w:rFonts w:eastAsia="MS Mincho"/>
        </w:rPr>
        <w:t>The SG9 meeting was attended by 65 participants from 18 countries. All sessions were held using MyMeetings remote participation tool.</w:t>
      </w:r>
    </w:p>
    <w:p w14:paraId="434FB7A8" w14:textId="6AF4D226" w:rsidR="00D35904" w:rsidRPr="00D35904" w:rsidRDefault="00D35904" w:rsidP="00D35904">
      <w:pPr>
        <w:rPr>
          <w:rFonts w:eastAsia="MS Mincho"/>
        </w:rPr>
      </w:pPr>
      <w:r w:rsidRPr="00D35904">
        <w:rPr>
          <w:rFonts w:eastAsia="MS Mincho"/>
        </w:rPr>
        <w:t>Co-located with the SG9 meeting, the ITU organized a workshop on “</w:t>
      </w:r>
      <w:hyperlink r:id="rId12" w:history="1">
        <w:r w:rsidRPr="002A3E0A">
          <w:rPr>
            <w:rStyle w:val="Hyperlink"/>
            <w:rFonts w:ascii="Times New Roman" w:eastAsia="MS Mincho" w:hAnsi="Times New Roman"/>
          </w:rPr>
          <w:t xml:space="preserve">The Future of </w:t>
        </w:r>
        <w:r w:rsidR="002A3E0A">
          <w:rPr>
            <w:rStyle w:val="Hyperlink"/>
            <w:rFonts w:ascii="Times New Roman" w:eastAsia="MS Mincho" w:hAnsi="Times New Roman"/>
          </w:rPr>
          <w:t>Television</w:t>
        </w:r>
        <w:r w:rsidRPr="002A3E0A">
          <w:rPr>
            <w:rStyle w:val="Hyperlink"/>
            <w:rFonts w:ascii="Times New Roman" w:eastAsia="MS Mincho" w:hAnsi="Times New Roman"/>
          </w:rPr>
          <w:t xml:space="preserve"> for Asia &amp; Pacific</w:t>
        </w:r>
      </w:hyperlink>
      <w:r w:rsidRPr="00D35904">
        <w:rPr>
          <w:rFonts w:eastAsia="MS Mincho"/>
        </w:rPr>
        <w:t>” on 23 April 2021, which was earlier planned in October 2020 in Tokyo and further postponed due to the e</w:t>
      </w:r>
      <w:r>
        <w:rPr>
          <w:rFonts w:eastAsia="MS Mincho"/>
        </w:rPr>
        <w:t>pidemic</w:t>
      </w:r>
      <w:r w:rsidRPr="00D35904">
        <w:rPr>
          <w:rFonts w:eastAsia="MS Mincho"/>
        </w:rPr>
        <w:t xml:space="preserve"> situation of COVID-19. This event, which was jointly organized by the ITU Standardization Sector (ITU-T), the ITU-Radiocommunication Sector (ITU-R), the ITU Development Sector (ITU-D) and the ITU Regional office for Asia &amp; Pacific, focused on the diverse emerging broadband and broadcast technologies, including cable TV, with the aim to assist countries in the region of Asia &amp; Pacific to assess challenges, dynamics and opportunities. The workshop was attended by 320 participants and discussed the future of television in the region with relevant stakeholders including the Asia Pacific Broadcasting Union (ABU) and the Asia-Pacific Institute for Broadcasting Development (AIBD)</w:t>
      </w:r>
      <w:r w:rsidR="002C743C">
        <w:rPr>
          <w:rFonts w:eastAsia="MS Mincho"/>
        </w:rPr>
        <w:t>.</w:t>
      </w:r>
      <w:r w:rsidRPr="00D35904">
        <w:rPr>
          <w:rFonts w:eastAsia="MS Mincho"/>
        </w:rPr>
        <w:t xml:space="preserve"> </w:t>
      </w:r>
      <w:r w:rsidR="009120E8" w:rsidRPr="009120E8">
        <w:rPr>
          <w:rFonts w:eastAsia="MS Mincho"/>
        </w:rPr>
        <w:t>It also provided an opportunity to discuss TV-related regional and international standardization</w:t>
      </w:r>
      <w:r w:rsidR="009120E8">
        <w:rPr>
          <w:rFonts w:eastAsia="MS Mincho"/>
        </w:rPr>
        <w:t xml:space="preserve">. </w:t>
      </w:r>
      <w:r w:rsidRPr="00D35904">
        <w:rPr>
          <w:rFonts w:eastAsia="MS Mincho"/>
        </w:rPr>
        <w:t>Full recorded presentations on related standardization activities from ITU-T SG9, ITU-R SG6, ITU-T SG16 and ITU-D Q2/1 were</w:t>
      </w:r>
      <w:r w:rsidR="00190A29">
        <w:rPr>
          <w:rFonts w:eastAsia="MS Mincho"/>
        </w:rPr>
        <w:t xml:space="preserve"> </w:t>
      </w:r>
      <w:r w:rsidRPr="00D35904">
        <w:rPr>
          <w:rFonts w:eastAsia="MS Mincho"/>
        </w:rPr>
        <w:t xml:space="preserve">made available on the event webpage for offline access. The full event </w:t>
      </w:r>
      <w:r w:rsidR="002A3E0A">
        <w:rPr>
          <w:rFonts w:eastAsia="MS Mincho"/>
        </w:rPr>
        <w:t xml:space="preserve">was recorded and it </w:t>
      </w:r>
      <w:r w:rsidRPr="00D35904">
        <w:rPr>
          <w:rFonts w:eastAsia="MS Mincho"/>
        </w:rPr>
        <w:t>can be watched offline</w:t>
      </w:r>
      <w:r w:rsidR="002A3E0A">
        <w:rPr>
          <w:rFonts w:eastAsia="MS Mincho"/>
        </w:rPr>
        <w:t xml:space="preserve"> (</w:t>
      </w:r>
      <w:hyperlink r:id="rId13" w:history="1">
        <w:r w:rsidR="002A3E0A" w:rsidRPr="002A3E0A">
          <w:rPr>
            <w:rStyle w:val="Hyperlink"/>
            <w:rFonts w:ascii="Times New Roman" w:eastAsia="MS Mincho" w:hAnsi="Times New Roman"/>
          </w:rPr>
          <w:t>Watch Recording here</w:t>
        </w:r>
      </w:hyperlink>
      <w:r w:rsidR="002A3E0A">
        <w:rPr>
          <w:rFonts w:eastAsia="MS Mincho"/>
        </w:rPr>
        <w:t>)</w:t>
      </w:r>
      <w:r w:rsidRPr="00D35904">
        <w:rPr>
          <w:rFonts w:eastAsia="MS Mincho"/>
        </w:rPr>
        <w:t>.</w:t>
      </w:r>
    </w:p>
    <w:p w14:paraId="75649978" w14:textId="492CFEDE" w:rsidR="0089088E" w:rsidRDefault="00D35904" w:rsidP="002A3E0A">
      <w:pPr>
        <w:rPr>
          <w:rFonts w:eastAsia="MS Mincho"/>
        </w:rPr>
      </w:pPr>
      <w:r w:rsidRPr="00D35904">
        <w:rPr>
          <w:rFonts w:eastAsia="MS Mincho"/>
        </w:rPr>
        <w:t>In addition, an IRG-IBB meeting "Intersector Rapporteur Group on Integrated Broadcast-Broadband (IBB)" was held under the auspices of ITU-T SG9. IRG-IBB meeting took place on 21 April 2021 (13:15-14:45)</w:t>
      </w:r>
      <w:r w:rsidR="002A3E0A">
        <w:rPr>
          <w:rFonts w:eastAsia="MS Mincho"/>
        </w:rPr>
        <w:t xml:space="preserve"> and discussed</w:t>
      </w:r>
      <w:r w:rsidR="002A3E0A" w:rsidRPr="002A3E0A">
        <w:rPr>
          <w:rFonts w:eastAsia="MS Mincho"/>
        </w:rPr>
        <w:t xml:space="preserve"> smart TV Operating System</w:t>
      </w:r>
      <w:r w:rsidR="004E0FCD">
        <w:rPr>
          <w:rFonts w:eastAsia="MS Mincho"/>
        </w:rPr>
        <w:t xml:space="preserve"> Recommendations under development by Q5/9. It was agreed to </w:t>
      </w:r>
      <w:r w:rsidR="002A3E0A" w:rsidRPr="002A3E0A">
        <w:rPr>
          <w:rFonts w:eastAsia="MS Mincho"/>
        </w:rPr>
        <w:t xml:space="preserve">organize an interim meeting </w:t>
      </w:r>
      <w:r w:rsidR="004E0FCD">
        <w:rPr>
          <w:rFonts w:eastAsia="MS Mincho"/>
        </w:rPr>
        <w:t xml:space="preserve">of Q5/9, under the auspices of IRG-IBB, </w:t>
      </w:r>
      <w:r w:rsidR="002A3E0A" w:rsidRPr="002A3E0A">
        <w:rPr>
          <w:rFonts w:eastAsia="MS Mincho"/>
        </w:rPr>
        <w:t xml:space="preserve">to discuss with </w:t>
      </w:r>
      <w:r w:rsidR="004E0FCD">
        <w:rPr>
          <w:rFonts w:eastAsia="MS Mincho"/>
        </w:rPr>
        <w:t xml:space="preserve">various </w:t>
      </w:r>
      <w:r w:rsidR="002A3E0A" w:rsidRPr="002A3E0A">
        <w:rPr>
          <w:rFonts w:eastAsia="MS Mincho"/>
        </w:rPr>
        <w:t>parties the revision of the TVOS-related</w:t>
      </w:r>
      <w:r w:rsidR="004E0FCD">
        <w:rPr>
          <w:rFonts w:eastAsia="MS Mincho"/>
        </w:rPr>
        <w:t xml:space="preserve"> </w:t>
      </w:r>
      <w:r w:rsidR="002A3E0A" w:rsidRPr="002A3E0A">
        <w:rPr>
          <w:rFonts w:eastAsia="MS Mincho"/>
        </w:rPr>
        <w:t>Recommendations</w:t>
      </w:r>
      <w:r w:rsidR="004E0FCD">
        <w:rPr>
          <w:rFonts w:eastAsia="MS Mincho"/>
        </w:rPr>
        <w:t>, especially in view to clarify its scope</w:t>
      </w:r>
      <w:r w:rsidR="002A3E0A" w:rsidRPr="002A3E0A">
        <w:rPr>
          <w:rFonts w:eastAsia="MS Mincho"/>
        </w:rPr>
        <w:t xml:space="preserve">. The meeting </w:t>
      </w:r>
      <w:r w:rsidR="004E0FCD">
        <w:rPr>
          <w:rFonts w:eastAsia="MS Mincho"/>
        </w:rPr>
        <w:t>took place in</w:t>
      </w:r>
      <w:r w:rsidR="002A3E0A" w:rsidRPr="002A3E0A">
        <w:rPr>
          <w:rFonts w:eastAsia="MS Mincho"/>
        </w:rPr>
        <w:t xml:space="preserve"> July 2021 and </w:t>
      </w:r>
      <w:r w:rsidR="004E0FCD">
        <w:rPr>
          <w:rFonts w:eastAsia="MS Mincho"/>
        </w:rPr>
        <w:t>an agreement was reached to revise TVOS-related Recommendations</w:t>
      </w:r>
      <w:r w:rsidRPr="00D35904">
        <w:rPr>
          <w:rFonts w:eastAsia="MS Mincho"/>
        </w:rPr>
        <w:t>.</w:t>
      </w:r>
    </w:p>
    <w:p w14:paraId="40648C12" w14:textId="2357DCF8" w:rsidR="000F3876" w:rsidRDefault="00E6524E" w:rsidP="00D53A59">
      <w:pPr>
        <w:spacing w:after="120"/>
        <w:rPr>
          <w:sz w:val="23"/>
          <w:szCs w:val="23"/>
        </w:rPr>
      </w:pPr>
      <w:r w:rsidRPr="00E6524E">
        <w:lastRenderedPageBreak/>
        <w:t>During the SG9 meeting in April 2021 a total of three draft Recommendations were finalized and agreed for AAP Consent</w:t>
      </w:r>
      <w:r w:rsidR="004E0FCD">
        <w:t>. Also</w:t>
      </w:r>
      <w:r w:rsidR="00180758">
        <w:t xml:space="preserve">, one consented draft Recommendation in the </w:t>
      </w:r>
      <w:r w:rsidR="00A92EEE">
        <w:t xml:space="preserve">previous </w:t>
      </w:r>
      <w:r w:rsidR="00180758">
        <w:t>WP2/9 meeting in November 2020 was AAP approved. In addition, the meeting agreed</w:t>
      </w:r>
      <w:r w:rsidR="00180758">
        <w:rPr>
          <w:sz w:val="23"/>
          <w:szCs w:val="23"/>
        </w:rPr>
        <w:t xml:space="preserve"> three draft Supplements </w:t>
      </w:r>
      <w:r w:rsidR="003B2AE9">
        <w:rPr>
          <w:sz w:val="23"/>
          <w:szCs w:val="23"/>
        </w:rPr>
        <w:t xml:space="preserve">and one draft Implementor’s Guide </w:t>
      </w:r>
      <w:r w:rsidR="00180758">
        <w:rPr>
          <w:sz w:val="23"/>
          <w:szCs w:val="23"/>
        </w:rPr>
        <w:t xml:space="preserve">for publication. The following reproduces </w:t>
      </w:r>
      <w:r w:rsidR="00A92EEE">
        <w:rPr>
          <w:sz w:val="23"/>
          <w:szCs w:val="23"/>
        </w:rPr>
        <w:t xml:space="preserve">these </w:t>
      </w:r>
      <w:r w:rsidR="00DA5281">
        <w:rPr>
          <w:sz w:val="23"/>
          <w:szCs w:val="23"/>
        </w:rPr>
        <w:t xml:space="preserve">eight (8) </w:t>
      </w:r>
      <w:r w:rsidR="00180758">
        <w:rPr>
          <w:sz w:val="23"/>
          <w:szCs w:val="23"/>
        </w:rPr>
        <w:t>deliverables agreed or approved at the SG9 meeting in April 2021.</w:t>
      </w:r>
    </w:p>
    <w:tbl>
      <w:tblPr>
        <w:tblW w:w="1017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75"/>
        <w:gridCol w:w="709"/>
        <w:gridCol w:w="1276"/>
        <w:gridCol w:w="992"/>
        <w:gridCol w:w="3827"/>
        <w:gridCol w:w="1418"/>
        <w:gridCol w:w="1276"/>
      </w:tblGrid>
      <w:tr w:rsidR="00026169" w:rsidRPr="000F3876" w14:paraId="4FE41606" w14:textId="77777777" w:rsidTr="00B8700E">
        <w:trPr>
          <w:trHeight w:val="228"/>
        </w:trPr>
        <w:tc>
          <w:tcPr>
            <w:tcW w:w="675" w:type="dxa"/>
          </w:tcPr>
          <w:p w14:paraId="6C5E6DD8" w14:textId="384EDA24" w:rsidR="00026169" w:rsidRPr="000F3876" w:rsidRDefault="00D53A59" w:rsidP="000F3876">
            <w:pPr>
              <w:widowControl w:val="0"/>
              <w:autoSpaceDE w:val="0"/>
              <w:autoSpaceDN w:val="0"/>
              <w:adjustRightInd w:val="0"/>
              <w:spacing w:before="0"/>
              <w:rPr>
                <w:color w:val="000000"/>
                <w:sz w:val="20"/>
                <w:szCs w:val="20"/>
                <w:lang w:val="en-US" w:eastAsia="zh-CN"/>
              </w:rPr>
            </w:pPr>
            <w:r>
              <w:rPr>
                <w:b/>
                <w:bCs/>
                <w:color w:val="000000"/>
                <w:sz w:val="20"/>
                <w:szCs w:val="20"/>
                <w:lang w:val="en-US" w:eastAsia="zh-CN"/>
              </w:rPr>
              <w:t>Q</w:t>
            </w:r>
          </w:p>
        </w:tc>
        <w:tc>
          <w:tcPr>
            <w:tcW w:w="709" w:type="dxa"/>
          </w:tcPr>
          <w:p w14:paraId="7DA8F977" w14:textId="77777777" w:rsidR="00026169" w:rsidRPr="000F3876" w:rsidRDefault="00026169" w:rsidP="000F3876">
            <w:pPr>
              <w:widowControl w:val="0"/>
              <w:autoSpaceDE w:val="0"/>
              <w:autoSpaceDN w:val="0"/>
              <w:adjustRightInd w:val="0"/>
              <w:spacing w:before="0"/>
              <w:rPr>
                <w:color w:val="000000"/>
                <w:sz w:val="20"/>
                <w:szCs w:val="20"/>
                <w:lang w:val="en-US" w:eastAsia="zh-CN"/>
              </w:rPr>
            </w:pPr>
            <w:r w:rsidRPr="000F3876">
              <w:rPr>
                <w:b/>
                <w:bCs/>
                <w:color w:val="000000"/>
                <w:sz w:val="20"/>
                <w:szCs w:val="20"/>
                <w:lang w:val="en-US" w:eastAsia="zh-CN"/>
              </w:rPr>
              <w:t xml:space="preserve">AAP/TAP </w:t>
            </w:r>
          </w:p>
        </w:tc>
        <w:tc>
          <w:tcPr>
            <w:tcW w:w="1276" w:type="dxa"/>
          </w:tcPr>
          <w:p w14:paraId="56775020" w14:textId="77777777" w:rsidR="00026169" w:rsidRPr="00D53A59" w:rsidRDefault="00026169" w:rsidP="000F3876">
            <w:pPr>
              <w:widowControl w:val="0"/>
              <w:autoSpaceDE w:val="0"/>
              <w:autoSpaceDN w:val="0"/>
              <w:adjustRightInd w:val="0"/>
              <w:spacing w:before="0"/>
              <w:rPr>
                <w:color w:val="000000"/>
                <w:spacing w:val="-4"/>
                <w:sz w:val="20"/>
                <w:szCs w:val="20"/>
                <w:lang w:val="en-US" w:eastAsia="zh-CN"/>
              </w:rPr>
            </w:pPr>
            <w:r w:rsidRPr="00D53A59">
              <w:rPr>
                <w:b/>
                <w:bCs/>
                <w:color w:val="000000"/>
                <w:spacing w:val="-4"/>
                <w:sz w:val="20"/>
                <w:szCs w:val="20"/>
                <w:lang w:val="en-US" w:eastAsia="zh-CN"/>
              </w:rPr>
              <w:t xml:space="preserve">Rec </w:t>
            </w:r>
          </w:p>
        </w:tc>
        <w:tc>
          <w:tcPr>
            <w:tcW w:w="992" w:type="dxa"/>
          </w:tcPr>
          <w:p w14:paraId="3A49CC3E" w14:textId="77777777" w:rsidR="00026169" w:rsidRPr="000F3876" w:rsidRDefault="00026169" w:rsidP="000F3876">
            <w:pPr>
              <w:widowControl w:val="0"/>
              <w:autoSpaceDE w:val="0"/>
              <w:autoSpaceDN w:val="0"/>
              <w:adjustRightInd w:val="0"/>
              <w:spacing w:before="0"/>
              <w:rPr>
                <w:color w:val="000000"/>
                <w:sz w:val="20"/>
                <w:szCs w:val="20"/>
                <w:lang w:val="en-US" w:eastAsia="zh-CN"/>
              </w:rPr>
            </w:pPr>
            <w:r w:rsidRPr="000F3876">
              <w:rPr>
                <w:b/>
                <w:bCs/>
                <w:color w:val="000000"/>
                <w:sz w:val="20"/>
                <w:szCs w:val="20"/>
                <w:lang w:val="en-US" w:eastAsia="zh-CN"/>
              </w:rPr>
              <w:t xml:space="preserve">Status </w:t>
            </w:r>
          </w:p>
        </w:tc>
        <w:tc>
          <w:tcPr>
            <w:tcW w:w="3827" w:type="dxa"/>
          </w:tcPr>
          <w:p w14:paraId="3C2D4096" w14:textId="77777777" w:rsidR="00026169" w:rsidRPr="000F3876" w:rsidRDefault="00026169" w:rsidP="000F3876">
            <w:pPr>
              <w:widowControl w:val="0"/>
              <w:autoSpaceDE w:val="0"/>
              <w:autoSpaceDN w:val="0"/>
              <w:adjustRightInd w:val="0"/>
              <w:spacing w:before="0"/>
              <w:rPr>
                <w:color w:val="000000"/>
                <w:sz w:val="20"/>
                <w:szCs w:val="20"/>
                <w:lang w:val="en-US" w:eastAsia="zh-CN"/>
              </w:rPr>
            </w:pPr>
            <w:r w:rsidRPr="000F3876">
              <w:rPr>
                <w:b/>
                <w:bCs/>
                <w:color w:val="000000"/>
                <w:sz w:val="20"/>
                <w:szCs w:val="20"/>
                <w:lang w:val="en-US" w:eastAsia="zh-CN"/>
              </w:rPr>
              <w:t xml:space="preserve">Title </w:t>
            </w:r>
          </w:p>
        </w:tc>
        <w:tc>
          <w:tcPr>
            <w:tcW w:w="1418" w:type="dxa"/>
          </w:tcPr>
          <w:p w14:paraId="2F13A112" w14:textId="77777777" w:rsidR="00026169" w:rsidRPr="000F3876" w:rsidRDefault="00026169" w:rsidP="000F3876">
            <w:pPr>
              <w:widowControl w:val="0"/>
              <w:autoSpaceDE w:val="0"/>
              <w:autoSpaceDN w:val="0"/>
              <w:adjustRightInd w:val="0"/>
              <w:spacing w:before="0"/>
              <w:rPr>
                <w:color w:val="000000"/>
                <w:sz w:val="20"/>
                <w:szCs w:val="20"/>
                <w:lang w:val="en-US" w:eastAsia="zh-CN"/>
              </w:rPr>
            </w:pPr>
            <w:r w:rsidRPr="000F3876">
              <w:rPr>
                <w:b/>
                <w:bCs/>
                <w:color w:val="000000"/>
                <w:sz w:val="20"/>
                <w:szCs w:val="20"/>
                <w:lang w:val="en-US" w:eastAsia="zh-CN"/>
              </w:rPr>
              <w:t xml:space="preserve">Final TD </w:t>
            </w:r>
          </w:p>
        </w:tc>
        <w:tc>
          <w:tcPr>
            <w:tcW w:w="1276" w:type="dxa"/>
          </w:tcPr>
          <w:p w14:paraId="3B84C108" w14:textId="03083C71" w:rsidR="00026169" w:rsidRPr="000F3876" w:rsidRDefault="00026169" w:rsidP="000F3876">
            <w:pPr>
              <w:widowControl w:val="0"/>
              <w:autoSpaceDE w:val="0"/>
              <w:autoSpaceDN w:val="0"/>
              <w:adjustRightInd w:val="0"/>
              <w:spacing w:before="0"/>
              <w:rPr>
                <w:b/>
                <w:bCs/>
                <w:color w:val="000000"/>
                <w:sz w:val="20"/>
                <w:szCs w:val="20"/>
                <w:lang w:val="en-US" w:eastAsia="zh-CN"/>
              </w:rPr>
            </w:pPr>
            <w:r w:rsidRPr="000F3876">
              <w:rPr>
                <w:b/>
                <w:bCs/>
                <w:color w:val="000000"/>
                <w:sz w:val="20"/>
                <w:szCs w:val="20"/>
                <w:lang w:val="en-US" w:eastAsia="zh-CN"/>
              </w:rPr>
              <w:t>A.5 justification</w:t>
            </w:r>
          </w:p>
        </w:tc>
      </w:tr>
      <w:tr w:rsidR="00026169" w:rsidRPr="000F3876" w14:paraId="676F2EA6" w14:textId="77777777" w:rsidTr="00B8700E">
        <w:trPr>
          <w:trHeight w:val="227"/>
        </w:trPr>
        <w:tc>
          <w:tcPr>
            <w:tcW w:w="675" w:type="dxa"/>
          </w:tcPr>
          <w:p w14:paraId="7C2DCBBA" w14:textId="77777777" w:rsidR="00026169" w:rsidRPr="000F3876" w:rsidRDefault="00026169" w:rsidP="00026169">
            <w:pPr>
              <w:widowControl w:val="0"/>
              <w:autoSpaceDE w:val="0"/>
              <w:autoSpaceDN w:val="0"/>
              <w:adjustRightInd w:val="0"/>
              <w:spacing w:before="0"/>
              <w:rPr>
                <w:color w:val="000000"/>
                <w:sz w:val="20"/>
                <w:szCs w:val="20"/>
                <w:lang w:val="en-US" w:eastAsia="zh-CN"/>
              </w:rPr>
            </w:pPr>
            <w:r w:rsidRPr="000F3876">
              <w:rPr>
                <w:color w:val="000000"/>
                <w:sz w:val="20"/>
                <w:szCs w:val="20"/>
                <w:lang w:val="en-US" w:eastAsia="zh-CN"/>
              </w:rPr>
              <w:t xml:space="preserve">Q7 </w:t>
            </w:r>
          </w:p>
        </w:tc>
        <w:tc>
          <w:tcPr>
            <w:tcW w:w="709" w:type="dxa"/>
          </w:tcPr>
          <w:p w14:paraId="03ED9FD3" w14:textId="77777777" w:rsidR="00026169" w:rsidRPr="000F3876" w:rsidRDefault="00026169" w:rsidP="00026169">
            <w:pPr>
              <w:widowControl w:val="0"/>
              <w:autoSpaceDE w:val="0"/>
              <w:autoSpaceDN w:val="0"/>
              <w:adjustRightInd w:val="0"/>
              <w:spacing w:before="0"/>
              <w:rPr>
                <w:color w:val="000000"/>
                <w:sz w:val="20"/>
                <w:szCs w:val="20"/>
                <w:lang w:val="en-US" w:eastAsia="zh-CN"/>
              </w:rPr>
            </w:pPr>
            <w:r w:rsidRPr="000F3876">
              <w:rPr>
                <w:color w:val="000000"/>
                <w:sz w:val="20"/>
                <w:szCs w:val="20"/>
                <w:lang w:val="en-US" w:eastAsia="zh-CN"/>
              </w:rPr>
              <w:t xml:space="preserve">AAP </w:t>
            </w:r>
          </w:p>
        </w:tc>
        <w:tc>
          <w:tcPr>
            <w:tcW w:w="1276" w:type="dxa"/>
          </w:tcPr>
          <w:p w14:paraId="4E1921DE" w14:textId="77B2451C" w:rsidR="00026169" w:rsidRPr="00D53A59" w:rsidRDefault="00026169" w:rsidP="00026169">
            <w:pPr>
              <w:widowControl w:val="0"/>
              <w:autoSpaceDE w:val="0"/>
              <w:autoSpaceDN w:val="0"/>
              <w:adjustRightInd w:val="0"/>
              <w:spacing w:before="0"/>
              <w:rPr>
                <w:color w:val="000000"/>
                <w:spacing w:val="-4"/>
                <w:sz w:val="20"/>
                <w:szCs w:val="20"/>
                <w:lang w:val="fr-FR" w:eastAsia="zh-CN"/>
              </w:rPr>
            </w:pPr>
            <w:r w:rsidRPr="00D53A59">
              <w:rPr>
                <w:b/>
                <w:bCs/>
                <w:color w:val="000000"/>
                <w:spacing w:val="-4"/>
                <w:sz w:val="20"/>
                <w:szCs w:val="20"/>
                <w:lang w:val="fr-FR" w:eastAsia="zh-CN"/>
              </w:rPr>
              <w:t>J.1110</w:t>
            </w:r>
            <w:r w:rsidRPr="00D53A59">
              <w:rPr>
                <w:b/>
                <w:bCs/>
                <w:color w:val="000000"/>
                <w:spacing w:val="-4"/>
                <w:sz w:val="20"/>
                <w:szCs w:val="20"/>
                <w:lang w:val="fr-FR" w:eastAsia="zh-CN"/>
              </w:rPr>
              <w:br/>
              <w:t xml:space="preserve"> </w:t>
            </w:r>
            <w:r w:rsidRPr="00D53A59">
              <w:rPr>
                <w:color w:val="000000"/>
                <w:spacing w:val="-4"/>
                <w:sz w:val="20"/>
                <w:szCs w:val="20"/>
                <w:lang w:val="fr-FR" w:eastAsia="zh-CN"/>
              </w:rPr>
              <w:t>(ex.</w:t>
            </w:r>
            <w:r w:rsidRPr="00D53A59">
              <w:rPr>
                <w:b/>
                <w:bCs/>
                <w:color w:val="000000"/>
                <w:spacing w:val="-4"/>
                <w:sz w:val="20"/>
                <w:szCs w:val="20"/>
                <w:lang w:val="fr-FR" w:eastAsia="zh-CN"/>
              </w:rPr>
              <w:t xml:space="preserve"> </w:t>
            </w:r>
            <w:r w:rsidRPr="00D53A59">
              <w:rPr>
                <w:color w:val="000000"/>
                <w:spacing w:val="-4"/>
                <w:sz w:val="20"/>
                <w:szCs w:val="20"/>
                <w:lang w:val="fr-FR" w:eastAsia="zh-CN"/>
              </w:rPr>
              <w:t xml:space="preserve">J.fdx-fspec) </w:t>
            </w:r>
          </w:p>
        </w:tc>
        <w:tc>
          <w:tcPr>
            <w:tcW w:w="992" w:type="dxa"/>
          </w:tcPr>
          <w:p w14:paraId="35350EAD" w14:textId="77777777" w:rsidR="00026169" w:rsidRPr="000F3876" w:rsidRDefault="00026169" w:rsidP="00026169">
            <w:pPr>
              <w:widowControl w:val="0"/>
              <w:autoSpaceDE w:val="0"/>
              <w:autoSpaceDN w:val="0"/>
              <w:adjustRightInd w:val="0"/>
              <w:spacing w:before="0"/>
              <w:rPr>
                <w:color w:val="000000"/>
                <w:sz w:val="20"/>
                <w:szCs w:val="20"/>
                <w:lang w:val="en-US" w:eastAsia="zh-CN"/>
              </w:rPr>
            </w:pPr>
            <w:r w:rsidRPr="000F3876">
              <w:rPr>
                <w:color w:val="000000"/>
                <w:sz w:val="20"/>
                <w:szCs w:val="20"/>
                <w:lang w:val="en-US" w:eastAsia="zh-CN"/>
              </w:rPr>
              <w:t xml:space="preserve">New </w:t>
            </w:r>
          </w:p>
        </w:tc>
        <w:tc>
          <w:tcPr>
            <w:tcW w:w="3827" w:type="dxa"/>
          </w:tcPr>
          <w:p w14:paraId="4F80D232" w14:textId="77777777" w:rsidR="00026169" w:rsidRPr="000F3876" w:rsidRDefault="00026169" w:rsidP="00026169">
            <w:pPr>
              <w:widowControl w:val="0"/>
              <w:autoSpaceDE w:val="0"/>
              <w:autoSpaceDN w:val="0"/>
              <w:adjustRightInd w:val="0"/>
              <w:spacing w:before="0"/>
              <w:rPr>
                <w:color w:val="000000"/>
                <w:sz w:val="20"/>
                <w:szCs w:val="20"/>
                <w:lang w:val="en-US" w:eastAsia="zh-CN"/>
              </w:rPr>
            </w:pPr>
            <w:r w:rsidRPr="000F3876">
              <w:rPr>
                <w:color w:val="000000"/>
                <w:sz w:val="20"/>
                <w:szCs w:val="20"/>
                <w:lang w:val="en-US" w:eastAsia="zh-CN"/>
              </w:rPr>
              <w:t xml:space="preserve">Functional specification for in-band full-duplex in HFC based network </w:t>
            </w:r>
          </w:p>
        </w:tc>
        <w:tc>
          <w:tcPr>
            <w:tcW w:w="1418" w:type="dxa"/>
          </w:tcPr>
          <w:p w14:paraId="1C0CAFB8" w14:textId="3D9CF896" w:rsidR="00026169" w:rsidRPr="000F3876" w:rsidRDefault="004E11E3" w:rsidP="00026169">
            <w:pPr>
              <w:widowControl w:val="0"/>
              <w:autoSpaceDE w:val="0"/>
              <w:autoSpaceDN w:val="0"/>
              <w:adjustRightInd w:val="0"/>
              <w:spacing w:before="0"/>
              <w:rPr>
                <w:color w:val="000000"/>
                <w:sz w:val="20"/>
                <w:szCs w:val="20"/>
                <w:lang w:val="en-US" w:eastAsia="zh-CN"/>
              </w:rPr>
            </w:pPr>
            <w:hyperlink r:id="rId14" w:history="1">
              <w:r w:rsidR="00026169" w:rsidRPr="00D53A59">
                <w:rPr>
                  <w:rStyle w:val="Hyperlink"/>
                  <w:rFonts w:ascii="Times New Roman" w:hAnsi="Times New Roman"/>
                  <w:sz w:val="20"/>
                  <w:szCs w:val="20"/>
                  <w:lang w:val="en-US" w:eastAsia="zh-CN"/>
                </w:rPr>
                <w:t>SG9-TD1110</w:t>
              </w:r>
            </w:hyperlink>
          </w:p>
        </w:tc>
        <w:tc>
          <w:tcPr>
            <w:tcW w:w="1276" w:type="dxa"/>
          </w:tcPr>
          <w:p w14:paraId="4179996C" w14:textId="0A0C2D04" w:rsidR="00026169" w:rsidRPr="000F3876" w:rsidRDefault="00026169" w:rsidP="00026169">
            <w:pPr>
              <w:widowControl w:val="0"/>
              <w:autoSpaceDE w:val="0"/>
              <w:autoSpaceDN w:val="0"/>
              <w:adjustRightInd w:val="0"/>
              <w:spacing w:before="0"/>
              <w:rPr>
                <w:color w:val="000000"/>
                <w:sz w:val="20"/>
                <w:szCs w:val="20"/>
                <w:lang w:val="en-US" w:eastAsia="zh-CN"/>
              </w:rPr>
            </w:pPr>
            <w:r w:rsidRPr="000F3876">
              <w:rPr>
                <w:color w:val="000000"/>
                <w:sz w:val="20"/>
                <w:szCs w:val="20"/>
                <w:lang w:val="en-US" w:eastAsia="zh-CN"/>
              </w:rPr>
              <w:t xml:space="preserve">N/A </w:t>
            </w:r>
          </w:p>
        </w:tc>
      </w:tr>
      <w:tr w:rsidR="00026169" w:rsidRPr="000F3876" w14:paraId="48E5505F" w14:textId="77777777" w:rsidTr="00B8700E">
        <w:trPr>
          <w:trHeight w:val="352"/>
        </w:trPr>
        <w:tc>
          <w:tcPr>
            <w:tcW w:w="675" w:type="dxa"/>
          </w:tcPr>
          <w:p w14:paraId="2F5D82BA" w14:textId="77777777" w:rsidR="00026169" w:rsidRPr="000F3876" w:rsidRDefault="00026169" w:rsidP="00026169">
            <w:pPr>
              <w:widowControl w:val="0"/>
              <w:autoSpaceDE w:val="0"/>
              <w:autoSpaceDN w:val="0"/>
              <w:adjustRightInd w:val="0"/>
              <w:spacing w:before="0"/>
              <w:rPr>
                <w:color w:val="000000"/>
                <w:sz w:val="20"/>
                <w:szCs w:val="20"/>
                <w:lang w:val="en-US" w:eastAsia="zh-CN"/>
              </w:rPr>
            </w:pPr>
            <w:r w:rsidRPr="000F3876">
              <w:rPr>
                <w:color w:val="000000"/>
                <w:sz w:val="20"/>
                <w:szCs w:val="20"/>
                <w:lang w:val="en-US" w:eastAsia="zh-CN"/>
              </w:rPr>
              <w:t xml:space="preserve">Q8 </w:t>
            </w:r>
          </w:p>
        </w:tc>
        <w:tc>
          <w:tcPr>
            <w:tcW w:w="709" w:type="dxa"/>
          </w:tcPr>
          <w:p w14:paraId="316CED0B" w14:textId="77777777" w:rsidR="00026169" w:rsidRPr="000F3876" w:rsidRDefault="00026169" w:rsidP="00026169">
            <w:pPr>
              <w:widowControl w:val="0"/>
              <w:autoSpaceDE w:val="0"/>
              <w:autoSpaceDN w:val="0"/>
              <w:adjustRightInd w:val="0"/>
              <w:spacing w:before="0"/>
              <w:rPr>
                <w:color w:val="000000"/>
                <w:sz w:val="20"/>
                <w:szCs w:val="20"/>
                <w:lang w:val="en-US" w:eastAsia="zh-CN"/>
              </w:rPr>
            </w:pPr>
            <w:r w:rsidRPr="000F3876">
              <w:rPr>
                <w:color w:val="000000"/>
                <w:sz w:val="20"/>
                <w:szCs w:val="20"/>
                <w:lang w:val="en-US" w:eastAsia="zh-CN"/>
              </w:rPr>
              <w:t xml:space="preserve">AAP </w:t>
            </w:r>
          </w:p>
        </w:tc>
        <w:tc>
          <w:tcPr>
            <w:tcW w:w="1276" w:type="dxa"/>
          </w:tcPr>
          <w:p w14:paraId="3ACE7FCF" w14:textId="0D1244CD" w:rsidR="00026169" w:rsidRPr="00D53A59" w:rsidRDefault="00026169" w:rsidP="00026169">
            <w:pPr>
              <w:widowControl w:val="0"/>
              <w:autoSpaceDE w:val="0"/>
              <w:autoSpaceDN w:val="0"/>
              <w:adjustRightInd w:val="0"/>
              <w:spacing w:before="0"/>
              <w:rPr>
                <w:color w:val="000000"/>
                <w:spacing w:val="-4"/>
                <w:sz w:val="20"/>
                <w:szCs w:val="20"/>
                <w:lang w:val="fr-FR" w:eastAsia="zh-CN"/>
              </w:rPr>
            </w:pPr>
            <w:r w:rsidRPr="00D53A59">
              <w:rPr>
                <w:b/>
                <w:bCs/>
                <w:color w:val="000000"/>
                <w:spacing w:val="-4"/>
                <w:sz w:val="20"/>
                <w:szCs w:val="20"/>
                <w:lang w:val="fr-FR" w:eastAsia="zh-CN"/>
              </w:rPr>
              <w:t>J.1032</w:t>
            </w:r>
            <w:r w:rsidRPr="00D53A59">
              <w:rPr>
                <w:b/>
                <w:bCs/>
                <w:color w:val="000000"/>
                <w:spacing w:val="-4"/>
                <w:sz w:val="20"/>
                <w:szCs w:val="20"/>
                <w:lang w:val="fr-FR" w:eastAsia="zh-CN"/>
              </w:rPr>
              <w:br/>
              <w:t xml:space="preserve"> </w:t>
            </w:r>
            <w:r w:rsidRPr="00D53A59">
              <w:rPr>
                <w:color w:val="000000"/>
                <w:spacing w:val="-4"/>
                <w:sz w:val="20"/>
                <w:szCs w:val="20"/>
                <w:lang w:val="fr-FR" w:eastAsia="zh-CN"/>
              </w:rPr>
              <w:t xml:space="preserve">(ex. J.CBCMS-part2) </w:t>
            </w:r>
          </w:p>
        </w:tc>
        <w:tc>
          <w:tcPr>
            <w:tcW w:w="992" w:type="dxa"/>
          </w:tcPr>
          <w:p w14:paraId="1F0A069C" w14:textId="77777777" w:rsidR="00026169" w:rsidRPr="000F3876" w:rsidRDefault="00026169" w:rsidP="00026169">
            <w:pPr>
              <w:widowControl w:val="0"/>
              <w:autoSpaceDE w:val="0"/>
              <w:autoSpaceDN w:val="0"/>
              <w:adjustRightInd w:val="0"/>
              <w:spacing w:before="0"/>
              <w:rPr>
                <w:color w:val="000000"/>
                <w:sz w:val="20"/>
                <w:szCs w:val="20"/>
                <w:lang w:val="en-US" w:eastAsia="zh-CN"/>
              </w:rPr>
            </w:pPr>
            <w:r w:rsidRPr="000F3876">
              <w:rPr>
                <w:color w:val="000000"/>
                <w:sz w:val="20"/>
                <w:szCs w:val="20"/>
                <w:lang w:val="en-US" w:eastAsia="zh-CN"/>
              </w:rPr>
              <w:t xml:space="preserve">New </w:t>
            </w:r>
          </w:p>
        </w:tc>
        <w:tc>
          <w:tcPr>
            <w:tcW w:w="3827" w:type="dxa"/>
          </w:tcPr>
          <w:p w14:paraId="5EAC636A" w14:textId="77777777" w:rsidR="00026169" w:rsidRPr="000F3876" w:rsidRDefault="00026169" w:rsidP="00026169">
            <w:pPr>
              <w:widowControl w:val="0"/>
              <w:autoSpaceDE w:val="0"/>
              <w:autoSpaceDN w:val="0"/>
              <w:adjustRightInd w:val="0"/>
              <w:spacing w:before="0"/>
              <w:rPr>
                <w:color w:val="000000"/>
                <w:sz w:val="20"/>
                <w:szCs w:val="20"/>
                <w:lang w:val="en-US" w:eastAsia="zh-CN"/>
              </w:rPr>
            </w:pPr>
            <w:r w:rsidRPr="000F3876">
              <w:rPr>
                <w:color w:val="000000"/>
                <w:sz w:val="20"/>
                <w:szCs w:val="20"/>
                <w:lang w:val="en-US" w:eastAsia="zh-CN"/>
              </w:rPr>
              <w:t xml:space="preserve">The specification of cloud-based converged media service to support IP and Broadcast Cable TV - System Architecture </w:t>
            </w:r>
          </w:p>
        </w:tc>
        <w:tc>
          <w:tcPr>
            <w:tcW w:w="1418" w:type="dxa"/>
          </w:tcPr>
          <w:p w14:paraId="166EC40F" w14:textId="054DC49A" w:rsidR="00026169" w:rsidRPr="000F3876" w:rsidRDefault="004E11E3" w:rsidP="00026169">
            <w:pPr>
              <w:widowControl w:val="0"/>
              <w:autoSpaceDE w:val="0"/>
              <w:autoSpaceDN w:val="0"/>
              <w:adjustRightInd w:val="0"/>
              <w:spacing w:before="0"/>
              <w:rPr>
                <w:color w:val="000000"/>
                <w:sz w:val="20"/>
                <w:szCs w:val="20"/>
                <w:lang w:val="en-US" w:eastAsia="zh-CN"/>
              </w:rPr>
            </w:pPr>
            <w:hyperlink r:id="rId15" w:history="1">
              <w:r w:rsidR="00026169" w:rsidRPr="00D53A59">
                <w:rPr>
                  <w:rStyle w:val="Hyperlink"/>
                  <w:rFonts w:ascii="Times New Roman" w:hAnsi="Times New Roman"/>
                  <w:sz w:val="20"/>
                  <w:szCs w:val="20"/>
                  <w:lang w:val="en-US" w:eastAsia="zh-CN"/>
                </w:rPr>
                <w:t>SG9-TD1103-R2</w:t>
              </w:r>
            </w:hyperlink>
          </w:p>
        </w:tc>
        <w:tc>
          <w:tcPr>
            <w:tcW w:w="1276" w:type="dxa"/>
          </w:tcPr>
          <w:p w14:paraId="181E1F10" w14:textId="10279B38" w:rsidR="00026169" w:rsidRPr="000F3876" w:rsidRDefault="00026169" w:rsidP="00026169">
            <w:pPr>
              <w:widowControl w:val="0"/>
              <w:autoSpaceDE w:val="0"/>
              <w:autoSpaceDN w:val="0"/>
              <w:adjustRightInd w:val="0"/>
              <w:spacing w:before="0"/>
              <w:rPr>
                <w:color w:val="000000"/>
                <w:sz w:val="20"/>
                <w:szCs w:val="20"/>
                <w:lang w:val="en-US" w:eastAsia="zh-CN"/>
              </w:rPr>
            </w:pPr>
            <w:r w:rsidRPr="000F3876">
              <w:rPr>
                <w:color w:val="000000"/>
                <w:sz w:val="20"/>
                <w:szCs w:val="20"/>
                <w:lang w:val="en-US" w:eastAsia="zh-CN"/>
              </w:rPr>
              <w:t xml:space="preserve">N/A </w:t>
            </w:r>
          </w:p>
        </w:tc>
      </w:tr>
      <w:tr w:rsidR="00026169" w:rsidRPr="000F3876" w14:paraId="65DADDB5" w14:textId="77777777" w:rsidTr="00B8700E">
        <w:trPr>
          <w:trHeight w:val="227"/>
        </w:trPr>
        <w:tc>
          <w:tcPr>
            <w:tcW w:w="675" w:type="dxa"/>
          </w:tcPr>
          <w:p w14:paraId="2049218F" w14:textId="77777777" w:rsidR="00026169" w:rsidRPr="000F3876" w:rsidRDefault="00026169" w:rsidP="00026169">
            <w:pPr>
              <w:widowControl w:val="0"/>
              <w:autoSpaceDE w:val="0"/>
              <w:autoSpaceDN w:val="0"/>
              <w:adjustRightInd w:val="0"/>
              <w:spacing w:before="0"/>
              <w:rPr>
                <w:color w:val="000000"/>
                <w:sz w:val="20"/>
                <w:szCs w:val="20"/>
                <w:lang w:val="en-US" w:eastAsia="zh-CN"/>
              </w:rPr>
            </w:pPr>
            <w:r w:rsidRPr="000F3876">
              <w:rPr>
                <w:color w:val="000000"/>
                <w:sz w:val="20"/>
                <w:szCs w:val="20"/>
                <w:lang w:val="en-US" w:eastAsia="zh-CN"/>
              </w:rPr>
              <w:t xml:space="preserve">Q9 </w:t>
            </w:r>
          </w:p>
        </w:tc>
        <w:tc>
          <w:tcPr>
            <w:tcW w:w="709" w:type="dxa"/>
          </w:tcPr>
          <w:p w14:paraId="309924A5" w14:textId="77777777" w:rsidR="00026169" w:rsidRPr="000F3876" w:rsidRDefault="00026169" w:rsidP="00026169">
            <w:pPr>
              <w:widowControl w:val="0"/>
              <w:autoSpaceDE w:val="0"/>
              <w:autoSpaceDN w:val="0"/>
              <w:adjustRightInd w:val="0"/>
              <w:spacing w:before="0"/>
              <w:rPr>
                <w:color w:val="000000"/>
                <w:sz w:val="20"/>
                <w:szCs w:val="20"/>
                <w:lang w:val="en-US" w:eastAsia="zh-CN"/>
              </w:rPr>
            </w:pPr>
            <w:r w:rsidRPr="000F3876">
              <w:rPr>
                <w:color w:val="000000"/>
                <w:sz w:val="20"/>
                <w:szCs w:val="20"/>
                <w:lang w:val="en-US" w:eastAsia="zh-CN"/>
              </w:rPr>
              <w:t xml:space="preserve">AAP </w:t>
            </w:r>
          </w:p>
        </w:tc>
        <w:tc>
          <w:tcPr>
            <w:tcW w:w="1276" w:type="dxa"/>
          </w:tcPr>
          <w:p w14:paraId="7E1FA288" w14:textId="10E6293E" w:rsidR="00026169" w:rsidRPr="00D53A59" w:rsidRDefault="00026169" w:rsidP="00026169">
            <w:pPr>
              <w:widowControl w:val="0"/>
              <w:autoSpaceDE w:val="0"/>
              <w:autoSpaceDN w:val="0"/>
              <w:adjustRightInd w:val="0"/>
              <w:spacing w:before="0"/>
              <w:rPr>
                <w:color w:val="000000"/>
                <w:spacing w:val="-4"/>
                <w:sz w:val="20"/>
                <w:szCs w:val="20"/>
                <w:lang w:val="fr-FR" w:eastAsia="zh-CN"/>
              </w:rPr>
            </w:pPr>
            <w:r w:rsidRPr="00D53A59">
              <w:rPr>
                <w:b/>
                <w:bCs/>
                <w:color w:val="000000"/>
                <w:spacing w:val="-4"/>
                <w:sz w:val="20"/>
                <w:szCs w:val="20"/>
                <w:lang w:val="fr-FR" w:eastAsia="zh-CN"/>
              </w:rPr>
              <w:t>J.1631</w:t>
            </w:r>
            <w:r w:rsidRPr="00D53A59">
              <w:rPr>
                <w:b/>
                <w:bCs/>
                <w:color w:val="000000"/>
                <w:spacing w:val="-4"/>
                <w:sz w:val="20"/>
                <w:szCs w:val="20"/>
                <w:lang w:val="fr-FR" w:eastAsia="zh-CN"/>
              </w:rPr>
              <w:br/>
              <w:t xml:space="preserve"> </w:t>
            </w:r>
            <w:r w:rsidRPr="00D53A59">
              <w:rPr>
                <w:color w:val="000000"/>
                <w:spacing w:val="-4"/>
                <w:sz w:val="20"/>
                <w:szCs w:val="20"/>
                <w:lang w:val="fr-FR" w:eastAsia="zh-CN"/>
              </w:rPr>
              <w:t xml:space="preserve">(ex J.cloud-vr-req) </w:t>
            </w:r>
          </w:p>
        </w:tc>
        <w:tc>
          <w:tcPr>
            <w:tcW w:w="992" w:type="dxa"/>
          </w:tcPr>
          <w:p w14:paraId="1EAB3E62" w14:textId="77777777" w:rsidR="00026169" w:rsidRPr="000F3876" w:rsidRDefault="00026169" w:rsidP="00026169">
            <w:pPr>
              <w:widowControl w:val="0"/>
              <w:autoSpaceDE w:val="0"/>
              <w:autoSpaceDN w:val="0"/>
              <w:adjustRightInd w:val="0"/>
              <w:spacing w:before="0"/>
              <w:rPr>
                <w:color w:val="000000"/>
                <w:sz w:val="20"/>
                <w:szCs w:val="20"/>
                <w:lang w:val="en-US" w:eastAsia="zh-CN"/>
              </w:rPr>
            </w:pPr>
            <w:r w:rsidRPr="000F3876">
              <w:rPr>
                <w:color w:val="000000"/>
                <w:sz w:val="20"/>
                <w:szCs w:val="20"/>
                <w:lang w:val="en-US" w:eastAsia="zh-CN"/>
              </w:rPr>
              <w:t xml:space="preserve">New </w:t>
            </w:r>
          </w:p>
        </w:tc>
        <w:tc>
          <w:tcPr>
            <w:tcW w:w="3827" w:type="dxa"/>
          </w:tcPr>
          <w:p w14:paraId="2A84FC8F" w14:textId="77777777" w:rsidR="00026169" w:rsidRPr="000F3876" w:rsidRDefault="00026169" w:rsidP="00026169">
            <w:pPr>
              <w:widowControl w:val="0"/>
              <w:autoSpaceDE w:val="0"/>
              <w:autoSpaceDN w:val="0"/>
              <w:adjustRightInd w:val="0"/>
              <w:spacing w:before="0"/>
              <w:rPr>
                <w:color w:val="000000"/>
                <w:sz w:val="20"/>
                <w:szCs w:val="20"/>
                <w:lang w:val="en-US" w:eastAsia="zh-CN"/>
              </w:rPr>
            </w:pPr>
            <w:r w:rsidRPr="000F3876">
              <w:rPr>
                <w:color w:val="000000"/>
                <w:sz w:val="20"/>
                <w:szCs w:val="20"/>
                <w:lang w:val="en-US" w:eastAsia="zh-CN"/>
              </w:rPr>
              <w:t xml:space="preserve">Requirements of E2E Network Platform for Cloud-VR Services </w:t>
            </w:r>
          </w:p>
        </w:tc>
        <w:tc>
          <w:tcPr>
            <w:tcW w:w="1418" w:type="dxa"/>
          </w:tcPr>
          <w:p w14:paraId="4AD9D450" w14:textId="788F9B8A" w:rsidR="00026169" w:rsidRPr="000F3876" w:rsidRDefault="004E11E3" w:rsidP="00026169">
            <w:pPr>
              <w:widowControl w:val="0"/>
              <w:autoSpaceDE w:val="0"/>
              <w:autoSpaceDN w:val="0"/>
              <w:adjustRightInd w:val="0"/>
              <w:spacing w:before="0"/>
              <w:rPr>
                <w:color w:val="000000"/>
                <w:sz w:val="20"/>
                <w:szCs w:val="20"/>
                <w:lang w:val="en-US" w:eastAsia="zh-CN"/>
              </w:rPr>
            </w:pPr>
            <w:hyperlink r:id="rId16" w:history="1">
              <w:r w:rsidR="00026169" w:rsidRPr="00D53A59">
                <w:rPr>
                  <w:rStyle w:val="Hyperlink"/>
                  <w:rFonts w:ascii="Times New Roman" w:hAnsi="Times New Roman"/>
                  <w:sz w:val="20"/>
                  <w:szCs w:val="20"/>
                  <w:lang w:val="en-US" w:eastAsia="zh-CN"/>
                </w:rPr>
                <w:t>SG9-TD1127</w:t>
              </w:r>
            </w:hyperlink>
          </w:p>
        </w:tc>
        <w:tc>
          <w:tcPr>
            <w:tcW w:w="1276" w:type="dxa"/>
          </w:tcPr>
          <w:p w14:paraId="7AF5D300" w14:textId="5A7A5FA0" w:rsidR="00026169" w:rsidRPr="000F3876" w:rsidRDefault="00026169" w:rsidP="00026169">
            <w:pPr>
              <w:widowControl w:val="0"/>
              <w:autoSpaceDE w:val="0"/>
              <w:autoSpaceDN w:val="0"/>
              <w:adjustRightInd w:val="0"/>
              <w:spacing w:before="0"/>
              <w:rPr>
                <w:color w:val="000000"/>
                <w:sz w:val="20"/>
                <w:szCs w:val="20"/>
                <w:lang w:val="en-US" w:eastAsia="zh-CN"/>
              </w:rPr>
            </w:pPr>
            <w:r w:rsidRPr="000F3876">
              <w:rPr>
                <w:color w:val="000000"/>
                <w:sz w:val="20"/>
                <w:szCs w:val="20"/>
                <w:lang w:val="en-US" w:eastAsia="zh-CN"/>
              </w:rPr>
              <w:t xml:space="preserve">N/A </w:t>
            </w:r>
          </w:p>
        </w:tc>
      </w:tr>
      <w:tr w:rsidR="00026169" w:rsidRPr="00026169" w14:paraId="7A556F39" w14:textId="43AC9BAA" w:rsidTr="00B8700E">
        <w:trPr>
          <w:trHeight w:val="226"/>
        </w:trPr>
        <w:tc>
          <w:tcPr>
            <w:tcW w:w="675" w:type="dxa"/>
          </w:tcPr>
          <w:p w14:paraId="0C5B6CBD" w14:textId="77777777" w:rsidR="00026169" w:rsidRPr="000F3876" w:rsidRDefault="00026169" w:rsidP="00026169">
            <w:pPr>
              <w:widowControl w:val="0"/>
              <w:autoSpaceDE w:val="0"/>
              <w:autoSpaceDN w:val="0"/>
              <w:adjustRightInd w:val="0"/>
              <w:spacing w:before="0"/>
              <w:rPr>
                <w:color w:val="000000"/>
                <w:sz w:val="20"/>
                <w:szCs w:val="20"/>
                <w:lang w:val="en-US" w:eastAsia="zh-CN"/>
              </w:rPr>
            </w:pPr>
            <w:r w:rsidRPr="000F3876">
              <w:rPr>
                <w:color w:val="000000"/>
                <w:sz w:val="20"/>
                <w:szCs w:val="20"/>
                <w:lang w:val="en-US" w:eastAsia="zh-CN"/>
              </w:rPr>
              <w:t xml:space="preserve">Q1 </w:t>
            </w:r>
          </w:p>
        </w:tc>
        <w:tc>
          <w:tcPr>
            <w:tcW w:w="709" w:type="dxa"/>
          </w:tcPr>
          <w:p w14:paraId="2A673F24" w14:textId="77777777" w:rsidR="00026169" w:rsidRPr="000F3876" w:rsidRDefault="00026169" w:rsidP="00026169">
            <w:pPr>
              <w:widowControl w:val="0"/>
              <w:autoSpaceDE w:val="0"/>
              <w:autoSpaceDN w:val="0"/>
              <w:adjustRightInd w:val="0"/>
              <w:spacing w:before="0"/>
              <w:rPr>
                <w:color w:val="000000"/>
                <w:sz w:val="20"/>
                <w:szCs w:val="20"/>
                <w:lang w:val="en-US" w:eastAsia="zh-CN"/>
              </w:rPr>
            </w:pPr>
            <w:r w:rsidRPr="000F3876">
              <w:rPr>
                <w:color w:val="000000"/>
                <w:sz w:val="20"/>
                <w:szCs w:val="20"/>
                <w:lang w:val="en-US" w:eastAsia="zh-CN"/>
              </w:rPr>
              <w:t xml:space="preserve">AAP </w:t>
            </w:r>
          </w:p>
        </w:tc>
        <w:tc>
          <w:tcPr>
            <w:tcW w:w="1276" w:type="dxa"/>
          </w:tcPr>
          <w:p w14:paraId="55EE0F8F" w14:textId="37B2611D" w:rsidR="00026169" w:rsidRPr="00D53A59" w:rsidRDefault="00026169" w:rsidP="00026169">
            <w:pPr>
              <w:widowControl w:val="0"/>
              <w:autoSpaceDE w:val="0"/>
              <w:autoSpaceDN w:val="0"/>
              <w:adjustRightInd w:val="0"/>
              <w:spacing w:before="0"/>
              <w:rPr>
                <w:color w:val="000000"/>
                <w:spacing w:val="-4"/>
                <w:sz w:val="20"/>
                <w:szCs w:val="20"/>
                <w:lang w:val="fr-FR" w:eastAsia="zh-CN"/>
              </w:rPr>
            </w:pPr>
            <w:r w:rsidRPr="00D53A59">
              <w:rPr>
                <w:b/>
                <w:bCs/>
                <w:color w:val="000000"/>
                <w:spacing w:val="-4"/>
                <w:sz w:val="20"/>
                <w:szCs w:val="20"/>
                <w:lang w:val="fr-FR" w:eastAsia="zh-CN"/>
              </w:rPr>
              <w:t>J.481</w:t>
            </w:r>
            <w:r w:rsidRPr="00D53A59">
              <w:rPr>
                <w:b/>
                <w:bCs/>
                <w:color w:val="000000"/>
                <w:spacing w:val="-4"/>
                <w:sz w:val="20"/>
                <w:szCs w:val="20"/>
                <w:lang w:val="fr-FR" w:eastAsia="zh-CN"/>
              </w:rPr>
              <w:br/>
            </w:r>
            <w:r w:rsidRPr="00D53A59">
              <w:rPr>
                <w:color w:val="000000"/>
                <w:spacing w:val="-4"/>
                <w:sz w:val="20"/>
                <w:szCs w:val="20"/>
                <w:lang w:val="fr-FR" w:eastAsia="zh-CN"/>
              </w:rPr>
              <w:t xml:space="preserve">(ex J.cable-rf-ip) </w:t>
            </w:r>
          </w:p>
        </w:tc>
        <w:tc>
          <w:tcPr>
            <w:tcW w:w="992" w:type="dxa"/>
          </w:tcPr>
          <w:p w14:paraId="28D7C5BB" w14:textId="77777777" w:rsidR="00026169" w:rsidRPr="000F3876" w:rsidRDefault="00026169" w:rsidP="00026169">
            <w:pPr>
              <w:widowControl w:val="0"/>
              <w:autoSpaceDE w:val="0"/>
              <w:autoSpaceDN w:val="0"/>
              <w:adjustRightInd w:val="0"/>
              <w:spacing w:before="0"/>
              <w:rPr>
                <w:color w:val="000000"/>
                <w:sz w:val="20"/>
                <w:szCs w:val="20"/>
                <w:lang w:val="en-US" w:eastAsia="zh-CN"/>
              </w:rPr>
            </w:pPr>
            <w:r w:rsidRPr="000F3876">
              <w:rPr>
                <w:color w:val="000000"/>
                <w:sz w:val="20"/>
                <w:szCs w:val="20"/>
                <w:lang w:val="en-US" w:eastAsia="zh-CN"/>
              </w:rPr>
              <w:t xml:space="preserve">Consented 2021-01-26 </w:t>
            </w:r>
          </w:p>
        </w:tc>
        <w:tc>
          <w:tcPr>
            <w:tcW w:w="3827" w:type="dxa"/>
          </w:tcPr>
          <w:p w14:paraId="78C9562C" w14:textId="77777777" w:rsidR="00026169" w:rsidRPr="000F3876" w:rsidRDefault="00026169" w:rsidP="00026169">
            <w:pPr>
              <w:widowControl w:val="0"/>
              <w:autoSpaceDE w:val="0"/>
              <w:autoSpaceDN w:val="0"/>
              <w:adjustRightInd w:val="0"/>
              <w:spacing w:before="0"/>
              <w:rPr>
                <w:color w:val="000000"/>
                <w:sz w:val="20"/>
                <w:szCs w:val="20"/>
                <w:lang w:val="en-US" w:eastAsia="zh-CN"/>
              </w:rPr>
            </w:pPr>
            <w:r w:rsidRPr="000F3876">
              <w:rPr>
                <w:color w:val="000000"/>
                <w:sz w:val="20"/>
                <w:szCs w:val="20"/>
                <w:lang w:val="en-US" w:eastAsia="zh-CN"/>
              </w:rPr>
              <w:t xml:space="preserve">Requirements of cable network for RF and IP secondary distribution of television programmes </w:t>
            </w:r>
          </w:p>
        </w:tc>
        <w:tc>
          <w:tcPr>
            <w:tcW w:w="1418" w:type="dxa"/>
          </w:tcPr>
          <w:p w14:paraId="5EFBBB83" w14:textId="1A3C2695" w:rsidR="00026169" w:rsidRPr="000F3876" w:rsidRDefault="004E11E3" w:rsidP="00026169">
            <w:pPr>
              <w:widowControl w:val="0"/>
              <w:autoSpaceDE w:val="0"/>
              <w:autoSpaceDN w:val="0"/>
              <w:adjustRightInd w:val="0"/>
              <w:spacing w:before="0"/>
              <w:rPr>
                <w:color w:val="000000"/>
                <w:sz w:val="20"/>
                <w:szCs w:val="20"/>
                <w:lang w:val="en-US" w:eastAsia="zh-CN"/>
              </w:rPr>
            </w:pPr>
            <w:hyperlink r:id="rId17" w:history="1">
              <w:r w:rsidR="00026169" w:rsidRPr="00D53A59">
                <w:rPr>
                  <w:rStyle w:val="Hyperlink"/>
                  <w:rFonts w:ascii="Times New Roman" w:hAnsi="Times New Roman"/>
                  <w:sz w:val="20"/>
                  <w:szCs w:val="20"/>
                  <w:lang w:val="en-US" w:eastAsia="zh-CN"/>
                </w:rPr>
                <w:t>SG9-TD1118</w:t>
              </w:r>
            </w:hyperlink>
          </w:p>
        </w:tc>
        <w:tc>
          <w:tcPr>
            <w:tcW w:w="1276" w:type="dxa"/>
          </w:tcPr>
          <w:p w14:paraId="4FDC9B8E" w14:textId="70D49203" w:rsidR="00026169" w:rsidRPr="000F3876" w:rsidRDefault="00026169" w:rsidP="00026169">
            <w:pPr>
              <w:widowControl w:val="0"/>
              <w:autoSpaceDE w:val="0"/>
              <w:autoSpaceDN w:val="0"/>
              <w:adjustRightInd w:val="0"/>
              <w:spacing w:before="0"/>
              <w:rPr>
                <w:color w:val="000000"/>
                <w:sz w:val="20"/>
                <w:szCs w:val="20"/>
                <w:lang w:val="en-US" w:eastAsia="zh-CN"/>
              </w:rPr>
            </w:pPr>
            <w:r>
              <w:rPr>
                <w:rFonts w:hint="eastAsia"/>
                <w:color w:val="000000"/>
                <w:sz w:val="20"/>
                <w:szCs w:val="20"/>
                <w:lang w:val="en-US" w:eastAsia="zh-CN"/>
              </w:rPr>
              <w:t>N</w:t>
            </w:r>
            <w:r>
              <w:rPr>
                <w:color w:val="000000"/>
                <w:sz w:val="20"/>
                <w:szCs w:val="20"/>
                <w:lang w:val="en-US" w:eastAsia="zh-CN"/>
              </w:rPr>
              <w:t>/A</w:t>
            </w:r>
          </w:p>
        </w:tc>
      </w:tr>
      <w:tr w:rsidR="00026169" w:rsidRPr="00026169" w14:paraId="265488A6" w14:textId="5D486569" w:rsidTr="00B8700E">
        <w:trPr>
          <w:trHeight w:val="226"/>
        </w:trPr>
        <w:tc>
          <w:tcPr>
            <w:tcW w:w="675" w:type="dxa"/>
          </w:tcPr>
          <w:p w14:paraId="53C3C01A" w14:textId="77777777" w:rsidR="00026169" w:rsidRPr="000F3876" w:rsidRDefault="00026169" w:rsidP="00026169">
            <w:pPr>
              <w:widowControl w:val="0"/>
              <w:autoSpaceDE w:val="0"/>
              <w:autoSpaceDN w:val="0"/>
              <w:adjustRightInd w:val="0"/>
              <w:spacing w:before="0"/>
              <w:rPr>
                <w:color w:val="000000"/>
                <w:sz w:val="20"/>
                <w:szCs w:val="20"/>
                <w:lang w:val="en-US" w:eastAsia="zh-CN"/>
              </w:rPr>
            </w:pPr>
            <w:r w:rsidRPr="000F3876">
              <w:rPr>
                <w:color w:val="000000"/>
                <w:sz w:val="20"/>
                <w:szCs w:val="20"/>
                <w:lang w:val="en-US" w:eastAsia="zh-CN"/>
              </w:rPr>
              <w:t xml:space="preserve">Q2 </w:t>
            </w:r>
          </w:p>
        </w:tc>
        <w:tc>
          <w:tcPr>
            <w:tcW w:w="709" w:type="dxa"/>
          </w:tcPr>
          <w:p w14:paraId="316D6278" w14:textId="5A16312C" w:rsidR="00026169" w:rsidRPr="00026169" w:rsidRDefault="00026169" w:rsidP="00026169">
            <w:pPr>
              <w:widowControl w:val="0"/>
              <w:autoSpaceDE w:val="0"/>
              <w:autoSpaceDN w:val="0"/>
              <w:adjustRightInd w:val="0"/>
              <w:spacing w:before="0"/>
              <w:rPr>
                <w:color w:val="000000"/>
                <w:sz w:val="20"/>
                <w:szCs w:val="20"/>
                <w:lang w:val="en-US" w:eastAsia="zh-CN"/>
              </w:rPr>
            </w:pPr>
            <w:r>
              <w:rPr>
                <w:rFonts w:hint="eastAsia"/>
                <w:color w:val="000000"/>
                <w:sz w:val="20"/>
                <w:szCs w:val="20"/>
                <w:lang w:val="en-US" w:eastAsia="zh-CN"/>
              </w:rPr>
              <w:t>N</w:t>
            </w:r>
            <w:r>
              <w:rPr>
                <w:color w:val="000000"/>
                <w:sz w:val="20"/>
                <w:szCs w:val="20"/>
                <w:lang w:val="en-US" w:eastAsia="zh-CN"/>
              </w:rPr>
              <w:t>/A</w:t>
            </w:r>
          </w:p>
        </w:tc>
        <w:tc>
          <w:tcPr>
            <w:tcW w:w="1276" w:type="dxa"/>
          </w:tcPr>
          <w:p w14:paraId="17AD7C5D" w14:textId="68664BBB" w:rsidR="00026169" w:rsidRPr="00D53A59" w:rsidRDefault="00026169" w:rsidP="00D53A59">
            <w:pPr>
              <w:widowControl w:val="0"/>
              <w:autoSpaceDE w:val="0"/>
              <w:autoSpaceDN w:val="0"/>
              <w:adjustRightInd w:val="0"/>
              <w:spacing w:before="0"/>
              <w:rPr>
                <w:color w:val="000000"/>
                <w:spacing w:val="-4"/>
                <w:sz w:val="20"/>
                <w:szCs w:val="20"/>
                <w:lang w:val="en-US" w:eastAsia="zh-CN"/>
              </w:rPr>
            </w:pPr>
            <w:r w:rsidRPr="00D53A59">
              <w:rPr>
                <w:color w:val="000000"/>
                <w:spacing w:val="-4"/>
                <w:sz w:val="20"/>
                <w:szCs w:val="20"/>
                <w:lang w:val="en-US" w:eastAsia="zh-CN"/>
              </w:rPr>
              <w:t xml:space="preserve">J.Sup7-rev (Supplement) </w:t>
            </w:r>
          </w:p>
        </w:tc>
        <w:tc>
          <w:tcPr>
            <w:tcW w:w="992" w:type="dxa"/>
          </w:tcPr>
          <w:p w14:paraId="7588CA3B" w14:textId="77777777" w:rsidR="00026169" w:rsidRPr="000F3876" w:rsidRDefault="00026169" w:rsidP="00026169">
            <w:pPr>
              <w:widowControl w:val="0"/>
              <w:autoSpaceDE w:val="0"/>
              <w:autoSpaceDN w:val="0"/>
              <w:adjustRightInd w:val="0"/>
              <w:spacing w:before="0"/>
              <w:rPr>
                <w:color w:val="000000"/>
                <w:sz w:val="20"/>
                <w:szCs w:val="20"/>
                <w:lang w:val="en-US" w:eastAsia="zh-CN"/>
              </w:rPr>
            </w:pPr>
            <w:r w:rsidRPr="000F3876">
              <w:rPr>
                <w:color w:val="000000"/>
                <w:sz w:val="20"/>
                <w:szCs w:val="20"/>
                <w:lang w:val="en-US" w:eastAsia="zh-CN"/>
              </w:rPr>
              <w:t xml:space="preserve">Revised </w:t>
            </w:r>
          </w:p>
        </w:tc>
        <w:tc>
          <w:tcPr>
            <w:tcW w:w="3827" w:type="dxa"/>
          </w:tcPr>
          <w:p w14:paraId="1BC34075" w14:textId="77777777" w:rsidR="00026169" w:rsidRPr="000F3876" w:rsidRDefault="00026169" w:rsidP="00026169">
            <w:pPr>
              <w:widowControl w:val="0"/>
              <w:autoSpaceDE w:val="0"/>
              <w:autoSpaceDN w:val="0"/>
              <w:adjustRightInd w:val="0"/>
              <w:spacing w:before="0"/>
              <w:rPr>
                <w:color w:val="000000"/>
                <w:sz w:val="20"/>
                <w:szCs w:val="20"/>
                <w:lang w:val="en-US" w:eastAsia="zh-CN"/>
              </w:rPr>
            </w:pPr>
            <w:r w:rsidRPr="000F3876">
              <w:rPr>
                <w:color w:val="000000"/>
                <w:sz w:val="20"/>
                <w:szCs w:val="20"/>
                <w:lang w:val="en-US" w:eastAsia="zh-CN"/>
              </w:rPr>
              <w:t xml:space="preserve">Embedded common interface (ECI) for exchangeable CA/DRM solutions; Guidelines for the implementation of ECI </w:t>
            </w:r>
          </w:p>
        </w:tc>
        <w:tc>
          <w:tcPr>
            <w:tcW w:w="1418" w:type="dxa"/>
          </w:tcPr>
          <w:p w14:paraId="2C8C8845" w14:textId="4C5AABD1" w:rsidR="00026169" w:rsidRPr="000F3876" w:rsidRDefault="004E11E3" w:rsidP="00026169">
            <w:pPr>
              <w:widowControl w:val="0"/>
              <w:autoSpaceDE w:val="0"/>
              <w:autoSpaceDN w:val="0"/>
              <w:adjustRightInd w:val="0"/>
              <w:spacing w:before="0"/>
              <w:rPr>
                <w:color w:val="000000"/>
                <w:sz w:val="20"/>
                <w:szCs w:val="20"/>
                <w:lang w:val="en-US" w:eastAsia="zh-CN"/>
              </w:rPr>
            </w:pPr>
            <w:hyperlink r:id="rId18" w:history="1">
              <w:r w:rsidR="00026169" w:rsidRPr="00D53A59">
                <w:rPr>
                  <w:rStyle w:val="Hyperlink"/>
                  <w:rFonts w:ascii="Times New Roman" w:hAnsi="Times New Roman"/>
                  <w:sz w:val="20"/>
                  <w:szCs w:val="20"/>
                  <w:lang w:val="en-US" w:eastAsia="zh-CN"/>
                </w:rPr>
                <w:t>SG9-TD1101</w:t>
              </w:r>
            </w:hyperlink>
          </w:p>
        </w:tc>
        <w:tc>
          <w:tcPr>
            <w:tcW w:w="1276" w:type="dxa"/>
          </w:tcPr>
          <w:p w14:paraId="3D674A48" w14:textId="1FE24C41" w:rsidR="00026169" w:rsidRPr="000F3876" w:rsidRDefault="00026169" w:rsidP="00026169">
            <w:pPr>
              <w:widowControl w:val="0"/>
              <w:autoSpaceDE w:val="0"/>
              <w:autoSpaceDN w:val="0"/>
              <w:adjustRightInd w:val="0"/>
              <w:spacing w:before="0"/>
              <w:rPr>
                <w:color w:val="000000"/>
                <w:sz w:val="20"/>
                <w:szCs w:val="20"/>
                <w:lang w:val="en-US" w:eastAsia="zh-CN"/>
              </w:rPr>
            </w:pPr>
            <w:r>
              <w:rPr>
                <w:rFonts w:hint="eastAsia"/>
                <w:color w:val="000000"/>
                <w:sz w:val="20"/>
                <w:szCs w:val="20"/>
                <w:lang w:val="en-US" w:eastAsia="zh-CN"/>
              </w:rPr>
              <w:t>N</w:t>
            </w:r>
            <w:r>
              <w:rPr>
                <w:color w:val="000000"/>
                <w:sz w:val="20"/>
                <w:szCs w:val="20"/>
                <w:lang w:val="en-US" w:eastAsia="zh-CN"/>
              </w:rPr>
              <w:t>/A</w:t>
            </w:r>
          </w:p>
        </w:tc>
      </w:tr>
      <w:tr w:rsidR="00026169" w:rsidRPr="00026169" w14:paraId="22439563" w14:textId="3E997D87" w:rsidTr="00B8700E">
        <w:trPr>
          <w:trHeight w:val="227"/>
        </w:trPr>
        <w:tc>
          <w:tcPr>
            <w:tcW w:w="675" w:type="dxa"/>
          </w:tcPr>
          <w:p w14:paraId="140B0A05" w14:textId="77777777" w:rsidR="00026169" w:rsidRPr="000F3876" w:rsidRDefault="00026169" w:rsidP="00026169">
            <w:pPr>
              <w:widowControl w:val="0"/>
              <w:autoSpaceDE w:val="0"/>
              <w:autoSpaceDN w:val="0"/>
              <w:adjustRightInd w:val="0"/>
              <w:spacing w:before="0"/>
              <w:rPr>
                <w:color w:val="000000"/>
                <w:sz w:val="20"/>
                <w:szCs w:val="20"/>
                <w:lang w:val="en-US" w:eastAsia="zh-CN"/>
              </w:rPr>
            </w:pPr>
            <w:r w:rsidRPr="000F3876">
              <w:rPr>
                <w:color w:val="000000"/>
                <w:sz w:val="20"/>
                <w:szCs w:val="20"/>
                <w:lang w:val="en-US" w:eastAsia="zh-CN"/>
              </w:rPr>
              <w:t xml:space="preserve">Q2 </w:t>
            </w:r>
          </w:p>
        </w:tc>
        <w:tc>
          <w:tcPr>
            <w:tcW w:w="709" w:type="dxa"/>
          </w:tcPr>
          <w:p w14:paraId="4E065621" w14:textId="69D763F6" w:rsidR="00026169" w:rsidRPr="00026169" w:rsidRDefault="00026169" w:rsidP="00026169">
            <w:pPr>
              <w:widowControl w:val="0"/>
              <w:autoSpaceDE w:val="0"/>
              <w:autoSpaceDN w:val="0"/>
              <w:adjustRightInd w:val="0"/>
              <w:spacing w:before="0"/>
              <w:rPr>
                <w:color w:val="000000"/>
                <w:sz w:val="20"/>
                <w:szCs w:val="20"/>
                <w:lang w:val="en-US" w:eastAsia="zh-CN"/>
              </w:rPr>
            </w:pPr>
            <w:r>
              <w:rPr>
                <w:rFonts w:hint="eastAsia"/>
                <w:color w:val="000000"/>
                <w:sz w:val="20"/>
                <w:szCs w:val="20"/>
                <w:lang w:val="en-US" w:eastAsia="zh-CN"/>
              </w:rPr>
              <w:t>N</w:t>
            </w:r>
            <w:r>
              <w:rPr>
                <w:color w:val="000000"/>
                <w:sz w:val="20"/>
                <w:szCs w:val="20"/>
                <w:lang w:val="en-US" w:eastAsia="zh-CN"/>
              </w:rPr>
              <w:t>/A</w:t>
            </w:r>
          </w:p>
        </w:tc>
        <w:tc>
          <w:tcPr>
            <w:tcW w:w="1276" w:type="dxa"/>
          </w:tcPr>
          <w:p w14:paraId="068C20C3" w14:textId="1DD5DD55" w:rsidR="00026169" w:rsidRPr="00D53A59" w:rsidRDefault="00026169" w:rsidP="00026169">
            <w:pPr>
              <w:widowControl w:val="0"/>
              <w:autoSpaceDE w:val="0"/>
              <w:autoSpaceDN w:val="0"/>
              <w:adjustRightInd w:val="0"/>
              <w:spacing w:before="0"/>
              <w:rPr>
                <w:color w:val="000000"/>
                <w:spacing w:val="-4"/>
                <w:sz w:val="20"/>
                <w:szCs w:val="20"/>
                <w:lang w:val="en-US" w:eastAsia="zh-CN"/>
              </w:rPr>
            </w:pPr>
            <w:r w:rsidRPr="00D53A59">
              <w:rPr>
                <w:color w:val="000000"/>
                <w:spacing w:val="-4"/>
                <w:sz w:val="20"/>
                <w:szCs w:val="20"/>
                <w:lang w:val="en-US" w:eastAsia="zh-CN"/>
              </w:rPr>
              <w:t>J.Sup8-rev (Supplement)</w:t>
            </w:r>
          </w:p>
        </w:tc>
        <w:tc>
          <w:tcPr>
            <w:tcW w:w="992" w:type="dxa"/>
          </w:tcPr>
          <w:p w14:paraId="48D17C22" w14:textId="77777777" w:rsidR="00026169" w:rsidRPr="000F3876" w:rsidRDefault="00026169" w:rsidP="00026169">
            <w:pPr>
              <w:widowControl w:val="0"/>
              <w:autoSpaceDE w:val="0"/>
              <w:autoSpaceDN w:val="0"/>
              <w:adjustRightInd w:val="0"/>
              <w:spacing w:before="0"/>
              <w:rPr>
                <w:color w:val="000000"/>
                <w:sz w:val="20"/>
                <w:szCs w:val="20"/>
                <w:lang w:val="en-US" w:eastAsia="zh-CN"/>
              </w:rPr>
            </w:pPr>
            <w:r w:rsidRPr="000F3876">
              <w:rPr>
                <w:color w:val="000000"/>
                <w:sz w:val="20"/>
                <w:szCs w:val="20"/>
                <w:lang w:val="en-US" w:eastAsia="zh-CN"/>
              </w:rPr>
              <w:t xml:space="preserve">Revised </w:t>
            </w:r>
          </w:p>
        </w:tc>
        <w:tc>
          <w:tcPr>
            <w:tcW w:w="3827" w:type="dxa"/>
          </w:tcPr>
          <w:p w14:paraId="2793ED09" w14:textId="77777777" w:rsidR="00026169" w:rsidRPr="000F3876" w:rsidRDefault="00026169" w:rsidP="00026169">
            <w:pPr>
              <w:widowControl w:val="0"/>
              <w:autoSpaceDE w:val="0"/>
              <w:autoSpaceDN w:val="0"/>
              <w:adjustRightInd w:val="0"/>
              <w:spacing w:before="0"/>
              <w:rPr>
                <w:color w:val="000000"/>
                <w:sz w:val="20"/>
                <w:szCs w:val="20"/>
                <w:lang w:val="en-US" w:eastAsia="zh-CN"/>
              </w:rPr>
            </w:pPr>
            <w:r w:rsidRPr="000F3876">
              <w:rPr>
                <w:color w:val="000000"/>
                <w:sz w:val="20"/>
                <w:szCs w:val="20"/>
                <w:lang w:val="en-US" w:eastAsia="zh-CN"/>
              </w:rPr>
              <w:t xml:space="preserve">Embedded common interface for exchangeable CA/DRM solutions; Trust environment </w:t>
            </w:r>
          </w:p>
        </w:tc>
        <w:tc>
          <w:tcPr>
            <w:tcW w:w="1418" w:type="dxa"/>
          </w:tcPr>
          <w:p w14:paraId="70F92D16" w14:textId="5559F214" w:rsidR="00026169" w:rsidRPr="000F3876" w:rsidRDefault="004E11E3" w:rsidP="00026169">
            <w:pPr>
              <w:widowControl w:val="0"/>
              <w:autoSpaceDE w:val="0"/>
              <w:autoSpaceDN w:val="0"/>
              <w:adjustRightInd w:val="0"/>
              <w:spacing w:before="0"/>
              <w:rPr>
                <w:color w:val="000000"/>
                <w:sz w:val="20"/>
                <w:szCs w:val="20"/>
                <w:lang w:val="en-US" w:eastAsia="zh-CN"/>
              </w:rPr>
            </w:pPr>
            <w:hyperlink r:id="rId19" w:history="1">
              <w:r w:rsidR="00026169" w:rsidRPr="00D53A59">
                <w:rPr>
                  <w:rStyle w:val="Hyperlink"/>
                  <w:rFonts w:ascii="Times New Roman" w:hAnsi="Times New Roman"/>
                  <w:sz w:val="20"/>
                  <w:szCs w:val="20"/>
                  <w:lang w:val="en-US" w:eastAsia="zh-CN"/>
                </w:rPr>
                <w:t>SG9-TD1102</w:t>
              </w:r>
            </w:hyperlink>
            <w:r w:rsidR="00026169" w:rsidRPr="000F3876">
              <w:rPr>
                <w:color w:val="000000"/>
                <w:sz w:val="20"/>
                <w:szCs w:val="20"/>
                <w:lang w:val="en-US" w:eastAsia="zh-CN"/>
              </w:rPr>
              <w:t xml:space="preserve"> </w:t>
            </w:r>
          </w:p>
        </w:tc>
        <w:tc>
          <w:tcPr>
            <w:tcW w:w="1276" w:type="dxa"/>
          </w:tcPr>
          <w:p w14:paraId="217187ED" w14:textId="50C02507" w:rsidR="00026169" w:rsidRPr="000F3876" w:rsidRDefault="00026169" w:rsidP="00026169">
            <w:pPr>
              <w:widowControl w:val="0"/>
              <w:autoSpaceDE w:val="0"/>
              <w:autoSpaceDN w:val="0"/>
              <w:adjustRightInd w:val="0"/>
              <w:spacing w:before="0"/>
              <w:rPr>
                <w:color w:val="000000"/>
                <w:sz w:val="20"/>
                <w:szCs w:val="20"/>
                <w:lang w:val="en-US" w:eastAsia="zh-CN"/>
              </w:rPr>
            </w:pPr>
            <w:r>
              <w:rPr>
                <w:rFonts w:hint="eastAsia"/>
                <w:color w:val="000000"/>
                <w:sz w:val="20"/>
                <w:szCs w:val="20"/>
                <w:lang w:val="en-US" w:eastAsia="zh-CN"/>
              </w:rPr>
              <w:t>N</w:t>
            </w:r>
            <w:r>
              <w:rPr>
                <w:color w:val="000000"/>
                <w:sz w:val="20"/>
                <w:szCs w:val="20"/>
                <w:lang w:val="en-US" w:eastAsia="zh-CN"/>
              </w:rPr>
              <w:t>/A</w:t>
            </w:r>
          </w:p>
        </w:tc>
      </w:tr>
      <w:tr w:rsidR="00026169" w:rsidRPr="00026169" w14:paraId="3386698A" w14:textId="1B784772" w:rsidTr="00B8700E">
        <w:trPr>
          <w:trHeight w:val="353"/>
        </w:trPr>
        <w:tc>
          <w:tcPr>
            <w:tcW w:w="675" w:type="dxa"/>
          </w:tcPr>
          <w:p w14:paraId="15C6BC20" w14:textId="77777777" w:rsidR="00026169" w:rsidRPr="000F3876" w:rsidRDefault="00026169" w:rsidP="00026169">
            <w:pPr>
              <w:widowControl w:val="0"/>
              <w:autoSpaceDE w:val="0"/>
              <w:autoSpaceDN w:val="0"/>
              <w:adjustRightInd w:val="0"/>
              <w:spacing w:before="0"/>
              <w:rPr>
                <w:color w:val="000000"/>
                <w:sz w:val="20"/>
                <w:szCs w:val="20"/>
                <w:lang w:val="en-US" w:eastAsia="zh-CN"/>
              </w:rPr>
            </w:pPr>
            <w:r w:rsidRPr="000F3876">
              <w:rPr>
                <w:color w:val="000000"/>
                <w:sz w:val="20"/>
                <w:szCs w:val="20"/>
                <w:lang w:val="en-US" w:eastAsia="zh-CN"/>
              </w:rPr>
              <w:t xml:space="preserve">Q4 </w:t>
            </w:r>
          </w:p>
        </w:tc>
        <w:tc>
          <w:tcPr>
            <w:tcW w:w="709" w:type="dxa"/>
          </w:tcPr>
          <w:p w14:paraId="04C57361" w14:textId="4FF2AE7A" w:rsidR="00026169" w:rsidRPr="00026169" w:rsidRDefault="00026169" w:rsidP="00026169">
            <w:pPr>
              <w:widowControl w:val="0"/>
              <w:autoSpaceDE w:val="0"/>
              <w:autoSpaceDN w:val="0"/>
              <w:adjustRightInd w:val="0"/>
              <w:spacing w:before="0"/>
              <w:rPr>
                <w:color w:val="000000"/>
                <w:sz w:val="20"/>
                <w:szCs w:val="20"/>
                <w:lang w:val="en-US" w:eastAsia="zh-CN"/>
              </w:rPr>
            </w:pPr>
            <w:r>
              <w:rPr>
                <w:rFonts w:hint="eastAsia"/>
                <w:color w:val="000000"/>
                <w:sz w:val="20"/>
                <w:szCs w:val="20"/>
                <w:lang w:val="en-US" w:eastAsia="zh-CN"/>
              </w:rPr>
              <w:t>N</w:t>
            </w:r>
            <w:r>
              <w:rPr>
                <w:color w:val="000000"/>
                <w:sz w:val="20"/>
                <w:szCs w:val="20"/>
                <w:lang w:val="en-US" w:eastAsia="zh-CN"/>
              </w:rPr>
              <w:t>/A</w:t>
            </w:r>
          </w:p>
        </w:tc>
        <w:tc>
          <w:tcPr>
            <w:tcW w:w="1276" w:type="dxa"/>
          </w:tcPr>
          <w:p w14:paraId="042BE435" w14:textId="1905A895" w:rsidR="00026169" w:rsidRPr="00D53A59" w:rsidRDefault="00026169" w:rsidP="00026169">
            <w:pPr>
              <w:widowControl w:val="0"/>
              <w:autoSpaceDE w:val="0"/>
              <w:autoSpaceDN w:val="0"/>
              <w:adjustRightInd w:val="0"/>
              <w:spacing w:before="0"/>
              <w:rPr>
                <w:color w:val="000000"/>
                <w:spacing w:val="-4"/>
                <w:sz w:val="20"/>
                <w:szCs w:val="20"/>
                <w:lang w:val="fr-FR" w:eastAsia="zh-CN"/>
              </w:rPr>
            </w:pPr>
            <w:r w:rsidRPr="00D53A59">
              <w:rPr>
                <w:color w:val="000000"/>
                <w:spacing w:val="-4"/>
                <w:sz w:val="20"/>
                <w:szCs w:val="20"/>
                <w:lang w:val="fr-FR" w:eastAsia="zh-CN"/>
              </w:rPr>
              <w:t>J Sup.11</w:t>
            </w:r>
            <w:r w:rsidRPr="00D53A59">
              <w:rPr>
                <w:color w:val="000000"/>
                <w:spacing w:val="-4"/>
                <w:sz w:val="20"/>
                <w:szCs w:val="20"/>
                <w:lang w:val="fr-FR" w:eastAsia="zh-CN"/>
              </w:rPr>
              <w:br/>
              <w:t>(ex. Sup-DigTV) (Supplement)</w:t>
            </w:r>
          </w:p>
        </w:tc>
        <w:tc>
          <w:tcPr>
            <w:tcW w:w="992" w:type="dxa"/>
          </w:tcPr>
          <w:p w14:paraId="22DE6ACC" w14:textId="77777777" w:rsidR="00026169" w:rsidRPr="000F3876" w:rsidRDefault="00026169" w:rsidP="00026169">
            <w:pPr>
              <w:widowControl w:val="0"/>
              <w:autoSpaceDE w:val="0"/>
              <w:autoSpaceDN w:val="0"/>
              <w:adjustRightInd w:val="0"/>
              <w:spacing w:before="0"/>
              <w:rPr>
                <w:color w:val="000000"/>
                <w:sz w:val="20"/>
                <w:szCs w:val="20"/>
                <w:lang w:val="en-US" w:eastAsia="zh-CN"/>
              </w:rPr>
            </w:pPr>
            <w:r w:rsidRPr="000F3876">
              <w:rPr>
                <w:color w:val="000000"/>
                <w:sz w:val="20"/>
                <w:szCs w:val="20"/>
                <w:lang w:val="en-US" w:eastAsia="zh-CN"/>
              </w:rPr>
              <w:t xml:space="preserve">New </w:t>
            </w:r>
          </w:p>
        </w:tc>
        <w:tc>
          <w:tcPr>
            <w:tcW w:w="3827" w:type="dxa"/>
          </w:tcPr>
          <w:p w14:paraId="49B3C7A9" w14:textId="77777777" w:rsidR="00026169" w:rsidRPr="000F3876" w:rsidRDefault="00026169" w:rsidP="00026169">
            <w:pPr>
              <w:widowControl w:val="0"/>
              <w:autoSpaceDE w:val="0"/>
              <w:autoSpaceDN w:val="0"/>
              <w:adjustRightInd w:val="0"/>
              <w:spacing w:before="0"/>
              <w:rPr>
                <w:color w:val="000000"/>
                <w:sz w:val="20"/>
                <w:szCs w:val="20"/>
                <w:lang w:val="en-US" w:eastAsia="zh-CN"/>
              </w:rPr>
            </w:pPr>
            <w:r w:rsidRPr="000F3876">
              <w:rPr>
                <w:color w:val="000000"/>
                <w:sz w:val="20"/>
                <w:szCs w:val="20"/>
                <w:lang w:val="en-US" w:eastAsia="zh-CN"/>
              </w:rPr>
              <w:t xml:space="preserve">Installing a digital TV service for cable networks and relating Recommendations </w:t>
            </w:r>
          </w:p>
        </w:tc>
        <w:tc>
          <w:tcPr>
            <w:tcW w:w="1418" w:type="dxa"/>
          </w:tcPr>
          <w:p w14:paraId="10FF770A" w14:textId="7C2D1A24" w:rsidR="00026169" w:rsidRPr="000F3876" w:rsidRDefault="004E11E3" w:rsidP="00026169">
            <w:pPr>
              <w:widowControl w:val="0"/>
              <w:autoSpaceDE w:val="0"/>
              <w:autoSpaceDN w:val="0"/>
              <w:adjustRightInd w:val="0"/>
              <w:spacing w:before="0"/>
              <w:rPr>
                <w:color w:val="000000"/>
                <w:sz w:val="20"/>
                <w:szCs w:val="20"/>
                <w:lang w:val="en-US" w:eastAsia="zh-CN"/>
              </w:rPr>
            </w:pPr>
            <w:hyperlink r:id="rId20" w:history="1">
              <w:r w:rsidR="00026169" w:rsidRPr="00D53A59">
                <w:rPr>
                  <w:rStyle w:val="Hyperlink"/>
                  <w:rFonts w:ascii="Times New Roman" w:hAnsi="Times New Roman"/>
                  <w:sz w:val="20"/>
                  <w:szCs w:val="20"/>
                  <w:lang w:val="en-US" w:eastAsia="zh-CN"/>
                </w:rPr>
                <w:t>SG9-TD1122-R1</w:t>
              </w:r>
            </w:hyperlink>
          </w:p>
        </w:tc>
        <w:tc>
          <w:tcPr>
            <w:tcW w:w="1276" w:type="dxa"/>
          </w:tcPr>
          <w:p w14:paraId="7059AAAA" w14:textId="5D3D1452" w:rsidR="00026169" w:rsidRPr="000F3876" w:rsidRDefault="00026169" w:rsidP="00026169">
            <w:pPr>
              <w:widowControl w:val="0"/>
              <w:autoSpaceDE w:val="0"/>
              <w:autoSpaceDN w:val="0"/>
              <w:adjustRightInd w:val="0"/>
              <w:spacing w:before="0"/>
              <w:rPr>
                <w:color w:val="000000"/>
                <w:sz w:val="20"/>
                <w:szCs w:val="20"/>
                <w:lang w:val="en-US" w:eastAsia="zh-CN"/>
              </w:rPr>
            </w:pPr>
            <w:r>
              <w:rPr>
                <w:rFonts w:hint="eastAsia"/>
                <w:color w:val="000000"/>
                <w:sz w:val="20"/>
                <w:szCs w:val="20"/>
                <w:lang w:val="en-US" w:eastAsia="zh-CN"/>
              </w:rPr>
              <w:t>N</w:t>
            </w:r>
            <w:r>
              <w:rPr>
                <w:color w:val="000000"/>
                <w:sz w:val="20"/>
                <w:szCs w:val="20"/>
                <w:lang w:val="en-US" w:eastAsia="zh-CN"/>
              </w:rPr>
              <w:t>/A</w:t>
            </w:r>
          </w:p>
        </w:tc>
      </w:tr>
      <w:tr w:rsidR="00B8700E" w:rsidRPr="00026169" w14:paraId="108F6752" w14:textId="77777777" w:rsidTr="00B8700E">
        <w:trPr>
          <w:trHeight w:val="353"/>
        </w:trPr>
        <w:tc>
          <w:tcPr>
            <w:tcW w:w="675" w:type="dxa"/>
          </w:tcPr>
          <w:p w14:paraId="39274B6F" w14:textId="5FCF1C38" w:rsidR="00B8700E" w:rsidRPr="000F3876" w:rsidRDefault="00B8700E" w:rsidP="00026169">
            <w:pPr>
              <w:widowControl w:val="0"/>
              <w:autoSpaceDE w:val="0"/>
              <w:autoSpaceDN w:val="0"/>
              <w:adjustRightInd w:val="0"/>
              <w:spacing w:before="0"/>
              <w:rPr>
                <w:color w:val="000000"/>
                <w:sz w:val="20"/>
                <w:szCs w:val="20"/>
                <w:lang w:val="en-US" w:eastAsia="zh-CN"/>
              </w:rPr>
            </w:pPr>
            <w:r>
              <w:rPr>
                <w:rFonts w:hint="eastAsia"/>
                <w:color w:val="000000"/>
                <w:sz w:val="20"/>
                <w:szCs w:val="20"/>
                <w:lang w:val="en-US" w:eastAsia="zh-CN"/>
              </w:rPr>
              <w:t>Q</w:t>
            </w:r>
            <w:r>
              <w:rPr>
                <w:color w:val="000000"/>
                <w:sz w:val="20"/>
                <w:szCs w:val="20"/>
                <w:lang w:val="en-US" w:eastAsia="zh-CN"/>
              </w:rPr>
              <w:t>2</w:t>
            </w:r>
          </w:p>
        </w:tc>
        <w:tc>
          <w:tcPr>
            <w:tcW w:w="709" w:type="dxa"/>
          </w:tcPr>
          <w:p w14:paraId="3385B745" w14:textId="0BD3B14C" w:rsidR="00B8700E" w:rsidRDefault="00B8700E" w:rsidP="00026169">
            <w:pPr>
              <w:widowControl w:val="0"/>
              <w:autoSpaceDE w:val="0"/>
              <w:autoSpaceDN w:val="0"/>
              <w:adjustRightInd w:val="0"/>
              <w:spacing w:before="0"/>
              <w:rPr>
                <w:color w:val="000000"/>
                <w:sz w:val="20"/>
                <w:szCs w:val="20"/>
                <w:lang w:val="en-US" w:eastAsia="zh-CN"/>
              </w:rPr>
            </w:pPr>
            <w:r>
              <w:rPr>
                <w:rFonts w:hint="eastAsia"/>
                <w:color w:val="000000"/>
                <w:sz w:val="20"/>
                <w:szCs w:val="20"/>
                <w:lang w:val="en-US" w:eastAsia="zh-CN"/>
              </w:rPr>
              <w:t>N</w:t>
            </w:r>
            <w:r>
              <w:rPr>
                <w:color w:val="000000"/>
                <w:sz w:val="20"/>
                <w:szCs w:val="20"/>
                <w:lang w:val="en-US" w:eastAsia="zh-CN"/>
              </w:rPr>
              <w:t>/A</w:t>
            </w:r>
          </w:p>
        </w:tc>
        <w:tc>
          <w:tcPr>
            <w:tcW w:w="1276" w:type="dxa"/>
          </w:tcPr>
          <w:p w14:paraId="2BD492A8" w14:textId="75495DEA" w:rsidR="00B8700E" w:rsidRPr="00D53A59" w:rsidRDefault="00B8700E" w:rsidP="00B8700E">
            <w:pPr>
              <w:widowControl w:val="0"/>
              <w:autoSpaceDE w:val="0"/>
              <w:autoSpaceDN w:val="0"/>
              <w:adjustRightInd w:val="0"/>
              <w:spacing w:before="0"/>
              <w:rPr>
                <w:color w:val="000000"/>
                <w:spacing w:val="-4"/>
                <w:sz w:val="20"/>
                <w:szCs w:val="20"/>
                <w:lang w:val="en-US" w:eastAsia="zh-CN"/>
              </w:rPr>
            </w:pPr>
            <w:r w:rsidRPr="00D53A59">
              <w:rPr>
                <w:color w:val="000000"/>
                <w:spacing w:val="-4"/>
                <w:sz w:val="20"/>
                <w:szCs w:val="20"/>
                <w:lang w:val="en-US" w:eastAsia="zh-CN"/>
              </w:rPr>
              <w:t>IG-J.1012 (Implementers’ Guide)</w:t>
            </w:r>
          </w:p>
        </w:tc>
        <w:tc>
          <w:tcPr>
            <w:tcW w:w="992" w:type="dxa"/>
          </w:tcPr>
          <w:p w14:paraId="150B008A" w14:textId="376BB4D8" w:rsidR="00B8700E" w:rsidRPr="000F3876" w:rsidRDefault="00B8700E" w:rsidP="00026169">
            <w:pPr>
              <w:widowControl w:val="0"/>
              <w:autoSpaceDE w:val="0"/>
              <w:autoSpaceDN w:val="0"/>
              <w:adjustRightInd w:val="0"/>
              <w:spacing w:before="0"/>
              <w:rPr>
                <w:color w:val="000000"/>
                <w:sz w:val="20"/>
                <w:szCs w:val="20"/>
                <w:lang w:val="en-US" w:eastAsia="zh-CN"/>
              </w:rPr>
            </w:pPr>
            <w:r>
              <w:rPr>
                <w:rFonts w:hint="eastAsia"/>
                <w:color w:val="000000"/>
                <w:sz w:val="20"/>
                <w:szCs w:val="20"/>
                <w:lang w:val="en-US" w:eastAsia="zh-CN"/>
              </w:rPr>
              <w:t>N</w:t>
            </w:r>
            <w:r>
              <w:rPr>
                <w:color w:val="000000"/>
                <w:sz w:val="20"/>
                <w:szCs w:val="20"/>
                <w:lang w:val="en-US" w:eastAsia="zh-CN"/>
              </w:rPr>
              <w:t>ew</w:t>
            </w:r>
          </w:p>
        </w:tc>
        <w:tc>
          <w:tcPr>
            <w:tcW w:w="3827" w:type="dxa"/>
          </w:tcPr>
          <w:p w14:paraId="622068E0" w14:textId="0B621355" w:rsidR="00B8700E" w:rsidRPr="000F3876" w:rsidRDefault="00B8700E" w:rsidP="00026169">
            <w:pPr>
              <w:widowControl w:val="0"/>
              <w:autoSpaceDE w:val="0"/>
              <w:autoSpaceDN w:val="0"/>
              <w:adjustRightInd w:val="0"/>
              <w:spacing w:before="0"/>
              <w:rPr>
                <w:color w:val="000000"/>
                <w:sz w:val="20"/>
                <w:szCs w:val="20"/>
                <w:lang w:val="en-US" w:eastAsia="zh-CN"/>
              </w:rPr>
            </w:pPr>
            <w:r w:rsidRPr="00B8700E">
              <w:rPr>
                <w:color w:val="000000"/>
                <w:sz w:val="20"/>
                <w:szCs w:val="20"/>
                <w:lang w:val="en-US" w:eastAsia="zh-CN"/>
              </w:rPr>
              <w:t>Embedded common interface for exchangeable CA/DRM solutions; CA/DRM container, loader, interfaces, revocation</w:t>
            </w:r>
          </w:p>
        </w:tc>
        <w:tc>
          <w:tcPr>
            <w:tcW w:w="1418" w:type="dxa"/>
          </w:tcPr>
          <w:p w14:paraId="106442CD" w14:textId="4ED4FA6D" w:rsidR="00B8700E" w:rsidRPr="00B8700E" w:rsidRDefault="004E11E3" w:rsidP="00026169">
            <w:pPr>
              <w:widowControl w:val="0"/>
              <w:autoSpaceDE w:val="0"/>
              <w:autoSpaceDN w:val="0"/>
              <w:adjustRightInd w:val="0"/>
              <w:spacing w:before="0"/>
              <w:rPr>
                <w:color w:val="000000"/>
                <w:sz w:val="20"/>
                <w:szCs w:val="20"/>
                <w:lang w:val="en-US" w:eastAsia="zh-CN"/>
              </w:rPr>
            </w:pPr>
            <w:hyperlink r:id="rId21" w:history="1">
              <w:r w:rsidR="00B8700E" w:rsidRPr="00D53A59">
                <w:rPr>
                  <w:rStyle w:val="Hyperlink"/>
                  <w:rFonts w:ascii="Times New Roman" w:hAnsi="Times New Roman"/>
                  <w:sz w:val="20"/>
                  <w:szCs w:val="20"/>
                  <w:lang w:val="en-US" w:eastAsia="zh-CN"/>
                </w:rPr>
                <w:t>SG9-TD1100</w:t>
              </w:r>
            </w:hyperlink>
          </w:p>
        </w:tc>
        <w:tc>
          <w:tcPr>
            <w:tcW w:w="1276" w:type="dxa"/>
          </w:tcPr>
          <w:p w14:paraId="71637BC0" w14:textId="2BD4661F" w:rsidR="00B8700E" w:rsidRDefault="00B8700E" w:rsidP="00026169">
            <w:pPr>
              <w:widowControl w:val="0"/>
              <w:autoSpaceDE w:val="0"/>
              <w:autoSpaceDN w:val="0"/>
              <w:adjustRightInd w:val="0"/>
              <w:spacing w:before="0"/>
              <w:rPr>
                <w:color w:val="000000"/>
                <w:sz w:val="20"/>
                <w:szCs w:val="20"/>
                <w:lang w:val="en-US" w:eastAsia="zh-CN"/>
              </w:rPr>
            </w:pPr>
            <w:r>
              <w:rPr>
                <w:rFonts w:hint="eastAsia"/>
                <w:color w:val="000000"/>
                <w:sz w:val="20"/>
                <w:szCs w:val="20"/>
                <w:lang w:val="en-US" w:eastAsia="zh-CN"/>
              </w:rPr>
              <w:t>N</w:t>
            </w:r>
            <w:r>
              <w:rPr>
                <w:color w:val="000000"/>
                <w:sz w:val="20"/>
                <w:szCs w:val="20"/>
                <w:lang w:val="en-US" w:eastAsia="zh-CN"/>
              </w:rPr>
              <w:t>/A</w:t>
            </w:r>
          </w:p>
        </w:tc>
      </w:tr>
    </w:tbl>
    <w:p w14:paraId="072FCB6C" w14:textId="498F2DBD" w:rsidR="00D12F90" w:rsidRDefault="00D12F90" w:rsidP="00D12F90">
      <w:pPr>
        <w:pStyle w:val="Heading1"/>
      </w:pPr>
      <w:r>
        <w:t>SG9 Structure for the</w:t>
      </w:r>
      <w:r w:rsidR="00AB577A">
        <w:t xml:space="preserve"> current </w:t>
      </w:r>
      <w:r>
        <w:t xml:space="preserve">Study Period </w:t>
      </w:r>
    </w:p>
    <w:p w14:paraId="24B26260" w14:textId="6706B759" w:rsidR="00535978" w:rsidRDefault="00D12F90" w:rsidP="003356A2">
      <w:r>
        <w:t xml:space="preserve">ITU-T SG9 </w:t>
      </w:r>
      <w:r w:rsidRPr="00D53A59">
        <w:t>Working Party</w:t>
      </w:r>
      <w:r>
        <w:t xml:space="preserve"> structure and leadership was reviewed in view of the recent TSAG deliberation on SG9 study Questions</w:t>
      </w:r>
      <w:r w:rsidR="00AB577A">
        <w:t xml:space="preserve">, which were endorsed </w:t>
      </w:r>
      <w:r w:rsidR="00C6643B">
        <w:t xml:space="preserve">by recent TSAG meeting (January 2021), see also clause </w:t>
      </w:r>
      <w:hyperlink w:anchor="SG9Questions" w:history="1">
        <w:r w:rsidR="00C6643B" w:rsidRPr="00C6643B">
          <w:rPr>
            <w:rStyle w:val="Hyperlink"/>
            <w:rFonts w:ascii="Times New Roman" w:hAnsi="Times New Roman"/>
          </w:rPr>
          <w:t>2.1</w:t>
        </w:r>
      </w:hyperlink>
      <w:r w:rsidR="00C6643B">
        <w:t xml:space="preserve"> below</w:t>
      </w:r>
      <w:r>
        <w:t xml:space="preserve">. The new ITU-T SG9 WP structure, as contained in </w:t>
      </w:r>
      <w:hyperlink r:id="rId22" w:history="1">
        <w:r w:rsidRPr="00535978">
          <w:rPr>
            <w:rStyle w:val="Hyperlink"/>
            <w:rFonts w:ascii="Times New Roman" w:hAnsi="Times New Roman"/>
          </w:rPr>
          <w:t>SG9-TD998</w:t>
        </w:r>
      </w:hyperlink>
      <w:r>
        <w:t xml:space="preserve">, was approved and reported below as follows: </w:t>
      </w:r>
    </w:p>
    <w:p w14:paraId="704C05A1" w14:textId="70BC2881" w:rsidR="00D12F90" w:rsidRPr="003356A2" w:rsidRDefault="00D12F90" w:rsidP="003356A2">
      <w:r w:rsidRPr="003356A2">
        <w:t>-</w:t>
      </w:r>
      <w:r w:rsidR="00535978">
        <w:tab/>
      </w:r>
      <w:r w:rsidRPr="003356A2">
        <w:t>WP1 “</w:t>
      </w:r>
      <w:r w:rsidRPr="003356A2">
        <w:rPr>
          <w:b/>
          <w:i/>
        </w:rPr>
        <w:t>Cable transport and terminals, including video and data</w:t>
      </w:r>
      <w:r w:rsidRPr="003356A2">
        <w:t>” (Q1, 2, 4, 6 &amp; 7), and</w:t>
      </w:r>
      <w:r w:rsidR="003356A2" w:rsidRPr="003356A2">
        <w:br/>
      </w:r>
      <w:r w:rsidRPr="003356A2">
        <w:t>-</w:t>
      </w:r>
      <w:r w:rsidR="00535978">
        <w:tab/>
      </w:r>
      <w:r w:rsidRPr="003356A2">
        <w:t>WP2 “</w:t>
      </w:r>
      <w:r w:rsidRPr="003356A2">
        <w:rPr>
          <w:b/>
          <w:i/>
        </w:rPr>
        <w:t>Cable-related platforms and applications</w:t>
      </w:r>
      <w:r w:rsidRPr="003356A2">
        <w:t xml:space="preserve">” (Q5, 8, 9, 11 &amp; 12). </w:t>
      </w:r>
    </w:p>
    <w:p w14:paraId="36007792" w14:textId="2EFEF110" w:rsidR="00D12F90" w:rsidRDefault="00D12F90" w:rsidP="00A92EEE">
      <w:pPr>
        <w:spacing w:after="120"/>
      </w:pPr>
      <w:r>
        <w:t>In addition, Q10 and the established Intersector Rapporteur Groups (IRGs) will report to the SG9 Plenary. See the table below for more details.</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35"/>
        <w:gridCol w:w="2225"/>
        <w:gridCol w:w="1061"/>
        <w:gridCol w:w="5308"/>
      </w:tblGrid>
      <w:tr w:rsidR="00A92EEE" w:rsidRPr="00A92EEE" w14:paraId="672DD907" w14:textId="77777777" w:rsidTr="00781DF9">
        <w:trPr>
          <w:cantSplit/>
        </w:trPr>
        <w:tc>
          <w:tcPr>
            <w:tcW w:w="1271" w:type="dxa"/>
            <w:tcBorders>
              <w:top w:val="single" w:sz="12" w:space="0" w:color="auto"/>
              <w:left w:val="single" w:sz="4" w:space="0" w:color="auto"/>
              <w:bottom w:val="single" w:sz="12" w:space="0" w:color="auto"/>
            </w:tcBorders>
            <w:shd w:val="clear" w:color="auto" w:fill="auto"/>
          </w:tcPr>
          <w:p w14:paraId="1D33B619" w14:textId="77777777" w:rsidR="00A92EEE" w:rsidRPr="00A92EEE" w:rsidRDefault="00A92EEE" w:rsidP="00781DF9">
            <w:pPr>
              <w:pStyle w:val="Tablehead"/>
              <w:keepNext w:val="0"/>
              <w:spacing w:before="40" w:after="20" w:line="280" w:lineRule="exact"/>
              <w:jc w:val="left"/>
              <w:rPr>
                <w:rFonts w:asciiTheme="majorBidi" w:hAnsiTheme="majorBidi" w:cstheme="majorBidi"/>
                <w:sz w:val="20"/>
              </w:rPr>
            </w:pPr>
          </w:p>
        </w:tc>
        <w:tc>
          <w:tcPr>
            <w:tcW w:w="2977" w:type="dxa"/>
            <w:tcBorders>
              <w:top w:val="single" w:sz="12" w:space="0" w:color="auto"/>
              <w:bottom w:val="single" w:sz="12" w:space="0" w:color="auto"/>
            </w:tcBorders>
            <w:shd w:val="clear" w:color="auto" w:fill="auto"/>
          </w:tcPr>
          <w:p w14:paraId="63DD9188" w14:textId="77777777" w:rsidR="00A92EEE" w:rsidRPr="00A92EEE" w:rsidRDefault="00A92EEE" w:rsidP="00781DF9">
            <w:pPr>
              <w:pStyle w:val="Tablehead"/>
              <w:keepNext w:val="0"/>
              <w:spacing w:before="40" w:after="20" w:line="280" w:lineRule="exact"/>
              <w:jc w:val="left"/>
              <w:rPr>
                <w:rFonts w:asciiTheme="majorBidi" w:hAnsiTheme="majorBidi" w:cstheme="majorBidi"/>
                <w:sz w:val="20"/>
              </w:rPr>
            </w:pPr>
            <w:r w:rsidRPr="00A92EEE">
              <w:rPr>
                <w:rFonts w:asciiTheme="majorBidi" w:hAnsiTheme="majorBidi" w:cstheme="majorBidi"/>
                <w:sz w:val="20"/>
              </w:rPr>
              <w:t>WP titles and MGT</w:t>
            </w:r>
          </w:p>
        </w:tc>
        <w:tc>
          <w:tcPr>
            <w:tcW w:w="1276" w:type="dxa"/>
            <w:tcBorders>
              <w:top w:val="single" w:sz="12" w:space="0" w:color="auto"/>
              <w:bottom w:val="single" w:sz="12" w:space="0" w:color="auto"/>
            </w:tcBorders>
            <w:shd w:val="clear" w:color="auto" w:fill="auto"/>
          </w:tcPr>
          <w:p w14:paraId="4624EDF1" w14:textId="77777777" w:rsidR="00A92EEE" w:rsidRPr="00A92EEE" w:rsidRDefault="00A92EEE" w:rsidP="00781DF9">
            <w:pPr>
              <w:pStyle w:val="Tablehead"/>
              <w:keepNext w:val="0"/>
              <w:spacing w:before="40" w:after="20" w:line="280" w:lineRule="exact"/>
              <w:jc w:val="left"/>
              <w:rPr>
                <w:rFonts w:asciiTheme="majorBidi" w:hAnsiTheme="majorBidi" w:cstheme="majorBidi"/>
                <w:sz w:val="20"/>
              </w:rPr>
            </w:pPr>
            <w:r w:rsidRPr="00A92EEE">
              <w:rPr>
                <w:rFonts w:asciiTheme="majorBidi" w:hAnsiTheme="majorBidi" w:cstheme="majorBidi"/>
                <w:sz w:val="20"/>
              </w:rPr>
              <w:t>Q/IRG</w:t>
            </w:r>
          </w:p>
        </w:tc>
        <w:tc>
          <w:tcPr>
            <w:tcW w:w="8452" w:type="dxa"/>
            <w:tcBorders>
              <w:top w:val="single" w:sz="12" w:space="0" w:color="auto"/>
              <w:bottom w:val="single" w:sz="12" w:space="0" w:color="auto"/>
              <w:right w:val="single" w:sz="4" w:space="0" w:color="auto"/>
            </w:tcBorders>
            <w:shd w:val="clear" w:color="auto" w:fill="auto"/>
          </w:tcPr>
          <w:p w14:paraId="11C900BC" w14:textId="77777777" w:rsidR="00A92EEE" w:rsidRPr="00A92EEE" w:rsidRDefault="00A92EEE" w:rsidP="00781DF9">
            <w:pPr>
              <w:pStyle w:val="Tablehead"/>
              <w:keepNext w:val="0"/>
              <w:spacing w:before="40" w:after="20" w:line="280" w:lineRule="exact"/>
              <w:jc w:val="left"/>
              <w:rPr>
                <w:rFonts w:asciiTheme="majorBidi" w:hAnsiTheme="majorBidi" w:cstheme="majorBidi"/>
                <w:sz w:val="20"/>
              </w:rPr>
            </w:pPr>
            <w:r w:rsidRPr="00A92EEE">
              <w:rPr>
                <w:rFonts w:asciiTheme="majorBidi" w:hAnsiTheme="majorBidi" w:cstheme="majorBidi"/>
                <w:sz w:val="20"/>
              </w:rPr>
              <w:t>Titles</w:t>
            </w:r>
          </w:p>
        </w:tc>
      </w:tr>
      <w:tr w:rsidR="00A92EEE" w:rsidRPr="00A92EEE" w14:paraId="160609CF" w14:textId="77777777" w:rsidTr="00781DF9">
        <w:trPr>
          <w:cantSplit/>
        </w:trPr>
        <w:tc>
          <w:tcPr>
            <w:tcW w:w="1271" w:type="dxa"/>
            <w:vMerge w:val="restart"/>
            <w:tcBorders>
              <w:top w:val="single" w:sz="12" w:space="0" w:color="auto"/>
              <w:left w:val="single" w:sz="4" w:space="0" w:color="auto"/>
            </w:tcBorders>
            <w:shd w:val="clear" w:color="auto" w:fill="auto"/>
          </w:tcPr>
          <w:p w14:paraId="64EBCC3D" w14:textId="77777777" w:rsidR="00A92EEE" w:rsidRPr="00A92EEE" w:rsidRDefault="00A92EEE" w:rsidP="00781DF9">
            <w:pPr>
              <w:pStyle w:val="Tabletext"/>
              <w:spacing w:after="20" w:line="280" w:lineRule="exact"/>
              <w:rPr>
                <w:rFonts w:asciiTheme="majorBidi" w:hAnsiTheme="majorBidi" w:cstheme="majorBidi"/>
                <w:b/>
                <w:bCs/>
                <w:sz w:val="20"/>
              </w:rPr>
            </w:pPr>
            <w:r w:rsidRPr="00A92EEE">
              <w:rPr>
                <w:rFonts w:asciiTheme="majorBidi" w:hAnsiTheme="majorBidi" w:cstheme="majorBidi"/>
                <w:b/>
                <w:bCs/>
                <w:sz w:val="20"/>
              </w:rPr>
              <w:t>WP1</w:t>
            </w:r>
          </w:p>
        </w:tc>
        <w:tc>
          <w:tcPr>
            <w:tcW w:w="2977" w:type="dxa"/>
            <w:vMerge w:val="restart"/>
            <w:tcBorders>
              <w:top w:val="single" w:sz="12" w:space="0" w:color="auto"/>
            </w:tcBorders>
            <w:shd w:val="clear" w:color="auto" w:fill="auto"/>
          </w:tcPr>
          <w:p w14:paraId="4507332D" w14:textId="77777777" w:rsidR="00A92EEE" w:rsidRPr="00A92EEE" w:rsidRDefault="00A92EEE" w:rsidP="00781DF9">
            <w:pPr>
              <w:pStyle w:val="Tabletext"/>
              <w:spacing w:after="20" w:line="280" w:lineRule="exact"/>
              <w:rPr>
                <w:rFonts w:asciiTheme="majorBidi" w:hAnsiTheme="majorBidi" w:cstheme="majorBidi"/>
                <w:sz w:val="20"/>
              </w:rPr>
            </w:pPr>
            <w:r w:rsidRPr="00A92EEE">
              <w:rPr>
                <w:rFonts w:asciiTheme="majorBidi" w:hAnsiTheme="majorBidi" w:cstheme="majorBidi"/>
                <w:b/>
                <w:bCs/>
                <w:sz w:val="20"/>
              </w:rPr>
              <w:t>Cable transport and terminals, including video and data</w:t>
            </w:r>
          </w:p>
          <w:p w14:paraId="40431838" w14:textId="77777777" w:rsidR="00A92EEE" w:rsidRPr="00A92EEE" w:rsidRDefault="00A92EEE" w:rsidP="00781DF9">
            <w:pPr>
              <w:pStyle w:val="Tabletext"/>
              <w:spacing w:after="20" w:line="280" w:lineRule="exact"/>
              <w:rPr>
                <w:rFonts w:asciiTheme="majorBidi" w:hAnsiTheme="majorBidi" w:cstheme="majorBidi"/>
                <w:b/>
                <w:bCs/>
                <w:sz w:val="20"/>
              </w:rPr>
            </w:pPr>
          </w:p>
          <w:p w14:paraId="6904F222" w14:textId="77777777" w:rsidR="00A92EEE" w:rsidRPr="00A92EEE" w:rsidRDefault="00A92EEE" w:rsidP="00781DF9">
            <w:pPr>
              <w:pStyle w:val="Tabletext"/>
              <w:spacing w:after="20" w:line="280" w:lineRule="exact"/>
              <w:rPr>
                <w:rFonts w:asciiTheme="majorBidi" w:hAnsiTheme="majorBidi" w:cstheme="majorBidi"/>
                <w:b/>
                <w:bCs/>
                <w:sz w:val="20"/>
              </w:rPr>
            </w:pPr>
            <w:r w:rsidRPr="00A92EEE">
              <w:rPr>
                <w:rFonts w:asciiTheme="majorBidi" w:hAnsiTheme="majorBidi" w:cstheme="majorBidi"/>
                <w:b/>
                <w:bCs/>
                <w:sz w:val="20"/>
              </w:rPr>
              <w:lastRenderedPageBreak/>
              <w:t>Zhifan SHENG</w:t>
            </w:r>
          </w:p>
          <w:p w14:paraId="7DCA01BA" w14:textId="77777777" w:rsidR="00A92EEE" w:rsidRPr="00A92EEE" w:rsidRDefault="00A92EEE" w:rsidP="00781DF9">
            <w:pPr>
              <w:pStyle w:val="Tabletext"/>
              <w:spacing w:after="20" w:line="280" w:lineRule="exact"/>
              <w:rPr>
                <w:rFonts w:asciiTheme="majorBidi" w:hAnsiTheme="majorBidi" w:cstheme="majorBidi"/>
                <w:i/>
                <w:iCs/>
                <w:sz w:val="20"/>
              </w:rPr>
            </w:pPr>
            <w:r w:rsidRPr="00A92EEE">
              <w:rPr>
                <w:rFonts w:asciiTheme="majorBidi" w:hAnsiTheme="majorBidi" w:cstheme="majorBidi"/>
                <w:i/>
                <w:iCs/>
                <w:sz w:val="20"/>
              </w:rPr>
              <w:t>(</w:t>
            </w:r>
            <w:r w:rsidRPr="00A92EEE">
              <w:rPr>
                <w:rFonts w:asciiTheme="majorBidi" w:hAnsiTheme="majorBidi" w:cstheme="majorBidi"/>
                <w:i/>
                <w:iCs/>
                <w:color w:val="FF0000"/>
                <w:sz w:val="20"/>
              </w:rPr>
              <w:t>WP1/9 Chairman</w:t>
            </w:r>
            <w:r w:rsidRPr="00A92EEE">
              <w:rPr>
                <w:rFonts w:asciiTheme="majorBidi" w:hAnsiTheme="majorBidi" w:cstheme="majorBidi"/>
                <w:i/>
                <w:iCs/>
                <w:sz w:val="20"/>
              </w:rPr>
              <w:t>)</w:t>
            </w:r>
          </w:p>
          <w:p w14:paraId="49B134AE" w14:textId="77777777" w:rsidR="00A92EEE" w:rsidRPr="00A92EEE" w:rsidRDefault="00A92EEE" w:rsidP="00781DF9">
            <w:pPr>
              <w:pStyle w:val="Tabletext"/>
              <w:spacing w:after="20" w:line="280" w:lineRule="exact"/>
              <w:rPr>
                <w:rFonts w:asciiTheme="majorBidi" w:hAnsiTheme="majorBidi" w:cstheme="majorBidi"/>
                <w:i/>
                <w:iCs/>
                <w:sz w:val="20"/>
              </w:rPr>
            </w:pPr>
            <w:r w:rsidRPr="00A92EEE">
              <w:rPr>
                <w:rFonts w:asciiTheme="majorBidi" w:hAnsiTheme="majorBidi" w:cstheme="majorBidi"/>
                <w:i/>
                <w:iCs/>
                <w:sz w:val="20"/>
              </w:rPr>
              <w:t>ABS, China</w:t>
            </w:r>
          </w:p>
          <w:p w14:paraId="2E3ED7A5" w14:textId="77777777" w:rsidR="00A92EEE" w:rsidRPr="00A92EEE" w:rsidRDefault="00A92EEE" w:rsidP="00781DF9">
            <w:pPr>
              <w:pStyle w:val="Tabletext"/>
              <w:spacing w:after="20" w:line="280" w:lineRule="exact"/>
              <w:rPr>
                <w:rFonts w:asciiTheme="majorBidi" w:hAnsiTheme="majorBidi" w:cstheme="majorBidi"/>
                <w:i/>
                <w:iCs/>
                <w:sz w:val="20"/>
              </w:rPr>
            </w:pPr>
          </w:p>
          <w:p w14:paraId="3BE3A604" w14:textId="77777777" w:rsidR="00A92EEE" w:rsidRPr="00A92EEE" w:rsidRDefault="00A92EEE" w:rsidP="00781DF9">
            <w:pPr>
              <w:pStyle w:val="Tabletext"/>
              <w:spacing w:after="20" w:line="280" w:lineRule="exact"/>
              <w:rPr>
                <w:rFonts w:asciiTheme="majorBidi" w:hAnsiTheme="majorBidi" w:cstheme="majorBidi"/>
                <w:i/>
                <w:iCs/>
                <w:sz w:val="20"/>
                <w:lang w:val="fr-FR"/>
              </w:rPr>
            </w:pPr>
            <w:r w:rsidRPr="00A92EEE">
              <w:rPr>
                <w:rFonts w:asciiTheme="majorBidi" w:hAnsiTheme="majorBidi" w:cstheme="majorBidi"/>
                <w:b/>
                <w:bCs/>
                <w:sz w:val="20"/>
                <w:lang w:val="fr-FR"/>
              </w:rPr>
              <w:t xml:space="preserve">Blaise MAMADOU </w:t>
            </w:r>
            <w:r w:rsidRPr="00A92EEE">
              <w:rPr>
                <w:rFonts w:asciiTheme="majorBidi" w:hAnsiTheme="majorBidi" w:cstheme="majorBidi"/>
                <w:i/>
                <w:iCs/>
                <w:sz w:val="20"/>
                <w:lang w:val="fr-FR"/>
              </w:rPr>
              <w:t>(</w:t>
            </w:r>
            <w:r w:rsidRPr="00A92EEE">
              <w:rPr>
                <w:rFonts w:asciiTheme="majorBidi" w:hAnsiTheme="majorBidi" w:cstheme="majorBidi"/>
                <w:i/>
                <w:iCs/>
                <w:color w:val="FF0000"/>
                <w:sz w:val="20"/>
                <w:lang w:val="fr-FR"/>
              </w:rPr>
              <w:t>WP1/9 Vice-chair</w:t>
            </w:r>
            <w:r w:rsidRPr="00A92EEE">
              <w:rPr>
                <w:rFonts w:asciiTheme="majorBidi" w:hAnsiTheme="majorBidi" w:cstheme="majorBidi"/>
                <w:i/>
                <w:iCs/>
                <w:sz w:val="20"/>
                <w:lang w:val="fr-FR"/>
              </w:rPr>
              <w:t>)</w:t>
            </w:r>
          </w:p>
          <w:p w14:paraId="2764AF76" w14:textId="77777777" w:rsidR="00A92EEE" w:rsidRPr="00A92EEE" w:rsidRDefault="00A92EEE" w:rsidP="00781DF9">
            <w:pPr>
              <w:pStyle w:val="Tabletext"/>
              <w:spacing w:after="20" w:line="280" w:lineRule="exact"/>
              <w:rPr>
                <w:rFonts w:asciiTheme="majorBidi" w:hAnsiTheme="majorBidi" w:cstheme="majorBidi"/>
                <w:sz w:val="20"/>
              </w:rPr>
            </w:pPr>
            <w:r w:rsidRPr="00A92EEE">
              <w:rPr>
                <w:rFonts w:asciiTheme="majorBidi" w:hAnsiTheme="majorBidi" w:cstheme="majorBidi"/>
                <w:i/>
                <w:iCs/>
                <w:sz w:val="20"/>
                <w:lang w:val="en-US"/>
              </w:rPr>
              <w:t>Central African Republic</w:t>
            </w:r>
          </w:p>
        </w:tc>
        <w:tc>
          <w:tcPr>
            <w:tcW w:w="1276" w:type="dxa"/>
            <w:tcBorders>
              <w:top w:val="single" w:sz="12" w:space="0" w:color="auto"/>
            </w:tcBorders>
            <w:shd w:val="clear" w:color="auto" w:fill="auto"/>
          </w:tcPr>
          <w:p w14:paraId="5CAC0AB2" w14:textId="77777777" w:rsidR="00A92EEE" w:rsidRPr="00A92EEE" w:rsidRDefault="00A92EEE" w:rsidP="00781DF9">
            <w:pPr>
              <w:pStyle w:val="Tabletext"/>
              <w:spacing w:after="20" w:line="280" w:lineRule="exact"/>
              <w:rPr>
                <w:rFonts w:asciiTheme="majorBidi" w:hAnsiTheme="majorBidi" w:cstheme="majorBidi"/>
                <w:sz w:val="20"/>
              </w:rPr>
            </w:pPr>
            <w:r w:rsidRPr="00A92EEE">
              <w:rPr>
                <w:rFonts w:asciiTheme="majorBidi" w:hAnsiTheme="majorBidi" w:cstheme="majorBidi"/>
                <w:sz w:val="20"/>
              </w:rPr>
              <w:lastRenderedPageBreak/>
              <w:t>Q1</w:t>
            </w:r>
          </w:p>
        </w:tc>
        <w:tc>
          <w:tcPr>
            <w:tcW w:w="8452" w:type="dxa"/>
            <w:tcBorders>
              <w:top w:val="single" w:sz="12" w:space="0" w:color="auto"/>
              <w:right w:val="single" w:sz="4" w:space="0" w:color="auto"/>
            </w:tcBorders>
            <w:shd w:val="clear" w:color="auto" w:fill="auto"/>
          </w:tcPr>
          <w:p w14:paraId="4F233DC8" w14:textId="77777777" w:rsidR="00A92EEE" w:rsidRPr="00A92EEE" w:rsidRDefault="00A92EEE" w:rsidP="00781DF9">
            <w:pPr>
              <w:pStyle w:val="Tabletext"/>
              <w:spacing w:after="20" w:line="280" w:lineRule="exact"/>
              <w:rPr>
                <w:rFonts w:asciiTheme="majorBidi" w:hAnsiTheme="majorBidi" w:cstheme="majorBidi"/>
                <w:sz w:val="20"/>
              </w:rPr>
            </w:pPr>
            <w:r w:rsidRPr="00A92EEE">
              <w:rPr>
                <w:rFonts w:asciiTheme="majorBidi" w:hAnsiTheme="majorBidi" w:cstheme="majorBidi"/>
                <w:sz w:val="20"/>
              </w:rPr>
              <w:t>Transmission and delivery control of television and sound programme signal for contribution, primary distribution and secondary distribution</w:t>
            </w:r>
          </w:p>
        </w:tc>
      </w:tr>
      <w:tr w:rsidR="00A92EEE" w:rsidRPr="00A92EEE" w14:paraId="5AF284AA" w14:textId="77777777" w:rsidTr="00781DF9">
        <w:trPr>
          <w:cantSplit/>
        </w:trPr>
        <w:tc>
          <w:tcPr>
            <w:tcW w:w="1271" w:type="dxa"/>
            <w:vMerge/>
            <w:tcBorders>
              <w:left w:val="single" w:sz="4" w:space="0" w:color="auto"/>
            </w:tcBorders>
            <w:shd w:val="clear" w:color="auto" w:fill="auto"/>
          </w:tcPr>
          <w:p w14:paraId="00B3101D" w14:textId="77777777" w:rsidR="00A92EEE" w:rsidRPr="00A92EEE" w:rsidRDefault="00A92EEE" w:rsidP="00781DF9">
            <w:pPr>
              <w:pStyle w:val="Tabletext"/>
              <w:spacing w:after="20" w:line="280" w:lineRule="exact"/>
              <w:rPr>
                <w:rFonts w:asciiTheme="majorBidi" w:hAnsiTheme="majorBidi" w:cstheme="majorBidi"/>
                <w:sz w:val="20"/>
              </w:rPr>
            </w:pPr>
          </w:p>
        </w:tc>
        <w:tc>
          <w:tcPr>
            <w:tcW w:w="2977" w:type="dxa"/>
            <w:vMerge/>
            <w:shd w:val="clear" w:color="auto" w:fill="auto"/>
          </w:tcPr>
          <w:p w14:paraId="707DC7B4" w14:textId="77777777" w:rsidR="00A92EEE" w:rsidRPr="00A92EEE" w:rsidRDefault="00A92EEE" w:rsidP="00781DF9">
            <w:pPr>
              <w:pStyle w:val="Tabletext"/>
              <w:spacing w:after="20" w:line="280" w:lineRule="exact"/>
              <w:rPr>
                <w:rFonts w:asciiTheme="majorBidi" w:hAnsiTheme="majorBidi" w:cstheme="majorBidi"/>
                <w:sz w:val="20"/>
              </w:rPr>
            </w:pPr>
          </w:p>
        </w:tc>
        <w:tc>
          <w:tcPr>
            <w:tcW w:w="1276" w:type="dxa"/>
            <w:shd w:val="clear" w:color="auto" w:fill="auto"/>
          </w:tcPr>
          <w:p w14:paraId="246333D0" w14:textId="77777777" w:rsidR="00A92EEE" w:rsidRPr="00A92EEE" w:rsidRDefault="00A92EEE" w:rsidP="00781DF9">
            <w:pPr>
              <w:pStyle w:val="Tabletext"/>
              <w:spacing w:after="20" w:line="280" w:lineRule="exact"/>
              <w:rPr>
                <w:rFonts w:asciiTheme="majorBidi" w:hAnsiTheme="majorBidi" w:cstheme="majorBidi"/>
                <w:sz w:val="20"/>
              </w:rPr>
            </w:pPr>
            <w:r w:rsidRPr="00A92EEE">
              <w:rPr>
                <w:rFonts w:asciiTheme="majorBidi" w:hAnsiTheme="majorBidi" w:cstheme="majorBidi"/>
                <w:sz w:val="20"/>
              </w:rPr>
              <w:t>Q2</w:t>
            </w:r>
          </w:p>
        </w:tc>
        <w:tc>
          <w:tcPr>
            <w:tcW w:w="8452" w:type="dxa"/>
            <w:tcBorders>
              <w:right w:val="single" w:sz="4" w:space="0" w:color="auto"/>
            </w:tcBorders>
            <w:shd w:val="clear" w:color="auto" w:fill="auto"/>
          </w:tcPr>
          <w:p w14:paraId="0CC7757A" w14:textId="77777777" w:rsidR="00A92EEE" w:rsidRPr="00A92EEE" w:rsidRDefault="00A92EEE" w:rsidP="00781DF9">
            <w:pPr>
              <w:pStyle w:val="Tabletext"/>
              <w:spacing w:after="20" w:line="280" w:lineRule="exact"/>
              <w:rPr>
                <w:rFonts w:asciiTheme="majorBidi" w:hAnsiTheme="majorBidi" w:cstheme="majorBidi"/>
                <w:sz w:val="20"/>
              </w:rPr>
            </w:pPr>
            <w:r w:rsidRPr="00A92EEE">
              <w:rPr>
                <w:rFonts w:asciiTheme="majorBidi" w:hAnsiTheme="majorBidi" w:cstheme="majorBidi"/>
                <w:sz w:val="20"/>
              </w:rPr>
              <w:t>Methods and practices for conditional access and content protection</w:t>
            </w:r>
          </w:p>
        </w:tc>
      </w:tr>
      <w:tr w:rsidR="00A92EEE" w:rsidRPr="00A92EEE" w14:paraId="7418BF0A" w14:textId="77777777" w:rsidTr="00781DF9">
        <w:trPr>
          <w:cantSplit/>
        </w:trPr>
        <w:tc>
          <w:tcPr>
            <w:tcW w:w="1271" w:type="dxa"/>
            <w:vMerge/>
            <w:tcBorders>
              <w:left w:val="single" w:sz="4" w:space="0" w:color="auto"/>
            </w:tcBorders>
            <w:shd w:val="clear" w:color="auto" w:fill="auto"/>
          </w:tcPr>
          <w:p w14:paraId="24D84234" w14:textId="77777777" w:rsidR="00A92EEE" w:rsidRPr="00A92EEE" w:rsidRDefault="00A92EEE" w:rsidP="00781DF9">
            <w:pPr>
              <w:pStyle w:val="Tabletext"/>
              <w:spacing w:after="20" w:line="280" w:lineRule="exact"/>
              <w:rPr>
                <w:rFonts w:asciiTheme="majorBidi" w:hAnsiTheme="majorBidi" w:cstheme="majorBidi"/>
                <w:sz w:val="20"/>
              </w:rPr>
            </w:pPr>
          </w:p>
        </w:tc>
        <w:tc>
          <w:tcPr>
            <w:tcW w:w="2977" w:type="dxa"/>
            <w:vMerge/>
            <w:shd w:val="clear" w:color="auto" w:fill="auto"/>
          </w:tcPr>
          <w:p w14:paraId="17709391" w14:textId="77777777" w:rsidR="00A92EEE" w:rsidRPr="00A92EEE" w:rsidRDefault="00A92EEE" w:rsidP="00781DF9">
            <w:pPr>
              <w:pStyle w:val="Tabletext"/>
              <w:spacing w:after="20" w:line="280" w:lineRule="exact"/>
              <w:rPr>
                <w:rFonts w:asciiTheme="majorBidi" w:hAnsiTheme="majorBidi" w:cstheme="majorBidi"/>
                <w:sz w:val="20"/>
              </w:rPr>
            </w:pPr>
          </w:p>
        </w:tc>
        <w:tc>
          <w:tcPr>
            <w:tcW w:w="1276" w:type="dxa"/>
            <w:shd w:val="clear" w:color="auto" w:fill="auto"/>
          </w:tcPr>
          <w:p w14:paraId="54D9F0E0" w14:textId="77777777" w:rsidR="00A92EEE" w:rsidRPr="00A92EEE" w:rsidRDefault="00A92EEE" w:rsidP="00781DF9">
            <w:pPr>
              <w:pStyle w:val="Tabletext"/>
              <w:spacing w:after="20" w:line="280" w:lineRule="exact"/>
              <w:rPr>
                <w:rFonts w:asciiTheme="majorBidi" w:hAnsiTheme="majorBidi" w:cstheme="majorBidi"/>
                <w:sz w:val="20"/>
              </w:rPr>
            </w:pPr>
            <w:r w:rsidRPr="00A92EEE">
              <w:rPr>
                <w:rFonts w:asciiTheme="majorBidi" w:hAnsiTheme="majorBidi" w:cstheme="majorBidi"/>
                <w:sz w:val="20"/>
              </w:rPr>
              <w:t>Q4</w:t>
            </w:r>
          </w:p>
        </w:tc>
        <w:tc>
          <w:tcPr>
            <w:tcW w:w="8452" w:type="dxa"/>
            <w:tcBorders>
              <w:right w:val="single" w:sz="4" w:space="0" w:color="auto"/>
            </w:tcBorders>
            <w:shd w:val="clear" w:color="auto" w:fill="auto"/>
          </w:tcPr>
          <w:p w14:paraId="47FA9AFD" w14:textId="77777777" w:rsidR="00A92EEE" w:rsidRPr="00A92EEE" w:rsidRDefault="00A92EEE" w:rsidP="00781DF9">
            <w:pPr>
              <w:pStyle w:val="Tabletext"/>
              <w:spacing w:after="20" w:line="280" w:lineRule="exact"/>
              <w:rPr>
                <w:rFonts w:asciiTheme="majorBidi" w:hAnsiTheme="majorBidi" w:cstheme="majorBidi"/>
                <w:sz w:val="20"/>
              </w:rPr>
            </w:pPr>
            <w:r w:rsidRPr="00A92EEE">
              <w:rPr>
                <w:rFonts w:asciiTheme="majorBidi" w:hAnsiTheme="majorBidi" w:cstheme="majorBidi"/>
                <w:sz w:val="20"/>
              </w:rPr>
              <w:t>Guidelines for implementations and deployment of transmission of multichannel digital television signals over optical access networks and Hybrid Fibre-Coaxial (HFC)</w:t>
            </w:r>
          </w:p>
        </w:tc>
      </w:tr>
      <w:tr w:rsidR="00A92EEE" w:rsidRPr="00A92EEE" w14:paraId="4C9F8A52" w14:textId="77777777" w:rsidTr="00781DF9">
        <w:trPr>
          <w:cantSplit/>
        </w:trPr>
        <w:tc>
          <w:tcPr>
            <w:tcW w:w="1271" w:type="dxa"/>
            <w:vMerge/>
            <w:tcBorders>
              <w:left w:val="single" w:sz="4" w:space="0" w:color="auto"/>
            </w:tcBorders>
            <w:shd w:val="clear" w:color="auto" w:fill="auto"/>
          </w:tcPr>
          <w:p w14:paraId="7465C862" w14:textId="77777777" w:rsidR="00A92EEE" w:rsidRPr="00A92EEE" w:rsidRDefault="00A92EEE" w:rsidP="00781DF9">
            <w:pPr>
              <w:pStyle w:val="Tabletext"/>
              <w:spacing w:after="20" w:line="280" w:lineRule="exact"/>
              <w:rPr>
                <w:rFonts w:asciiTheme="majorBidi" w:hAnsiTheme="majorBidi" w:cstheme="majorBidi"/>
                <w:sz w:val="20"/>
              </w:rPr>
            </w:pPr>
          </w:p>
        </w:tc>
        <w:tc>
          <w:tcPr>
            <w:tcW w:w="2977" w:type="dxa"/>
            <w:vMerge/>
            <w:shd w:val="clear" w:color="auto" w:fill="auto"/>
          </w:tcPr>
          <w:p w14:paraId="7FC54B36" w14:textId="77777777" w:rsidR="00A92EEE" w:rsidRPr="00A92EEE" w:rsidRDefault="00A92EEE" w:rsidP="00781DF9">
            <w:pPr>
              <w:pStyle w:val="Tabletext"/>
              <w:spacing w:after="20" w:line="280" w:lineRule="exact"/>
              <w:rPr>
                <w:rFonts w:asciiTheme="majorBidi" w:hAnsiTheme="majorBidi" w:cstheme="majorBidi"/>
                <w:sz w:val="20"/>
              </w:rPr>
            </w:pPr>
          </w:p>
        </w:tc>
        <w:tc>
          <w:tcPr>
            <w:tcW w:w="1276" w:type="dxa"/>
            <w:shd w:val="clear" w:color="auto" w:fill="auto"/>
          </w:tcPr>
          <w:p w14:paraId="4EE3614F" w14:textId="77777777" w:rsidR="00A92EEE" w:rsidRPr="00A92EEE" w:rsidRDefault="00A92EEE" w:rsidP="00781DF9">
            <w:pPr>
              <w:pStyle w:val="Tabletext"/>
              <w:spacing w:after="20" w:line="280" w:lineRule="exact"/>
              <w:rPr>
                <w:rFonts w:asciiTheme="majorBidi" w:hAnsiTheme="majorBidi" w:cstheme="majorBidi"/>
                <w:sz w:val="20"/>
              </w:rPr>
            </w:pPr>
            <w:r w:rsidRPr="00A92EEE">
              <w:rPr>
                <w:rFonts w:asciiTheme="majorBidi" w:hAnsiTheme="majorBidi" w:cstheme="majorBidi"/>
                <w:sz w:val="20"/>
              </w:rPr>
              <w:t>Q6</w:t>
            </w:r>
          </w:p>
        </w:tc>
        <w:tc>
          <w:tcPr>
            <w:tcW w:w="8452" w:type="dxa"/>
            <w:tcBorders>
              <w:right w:val="single" w:sz="4" w:space="0" w:color="auto"/>
            </w:tcBorders>
            <w:shd w:val="clear" w:color="auto" w:fill="auto"/>
          </w:tcPr>
          <w:p w14:paraId="0418F5EF" w14:textId="77777777" w:rsidR="00A92EEE" w:rsidRPr="00A92EEE" w:rsidRDefault="00A92EEE" w:rsidP="00781DF9">
            <w:pPr>
              <w:pStyle w:val="Tabletext"/>
              <w:spacing w:after="20" w:line="280" w:lineRule="exact"/>
              <w:rPr>
                <w:rFonts w:asciiTheme="majorBidi" w:hAnsiTheme="majorBidi" w:cstheme="majorBidi"/>
                <w:sz w:val="20"/>
              </w:rPr>
            </w:pPr>
            <w:r w:rsidRPr="00A92EEE">
              <w:rPr>
                <w:rFonts w:asciiTheme="majorBidi" w:hAnsiTheme="majorBidi" w:cstheme="majorBidi"/>
                <w:sz w:val="20"/>
              </w:rPr>
              <w:t>Functional requirements for terminal devices of the integrated broadband cable network</w:t>
            </w:r>
          </w:p>
        </w:tc>
      </w:tr>
      <w:tr w:rsidR="00A92EEE" w:rsidRPr="00A92EEE" w14:paraId="0D086C06" w14:textId="77777777" w:rsidTr="00781DF9">
        <w:trPr>
          <w:cantSplit/>
        </w:trPr>
        <w:tc>
          <w:tcPr>
            <w:tcW w:w="1271" w:type="dxa"/>
            <w:vMerge/>
            <w:tcBorders>
              <w:left w:val="single" w:sz="4" w:space="0" w:color="auto"/>
            </w:tcBorders>
            <w:shd w:val="clear" w:color="auto" w:fill="auto"/>
          </w:tcPr>
          <w:p w14:paraId="1F8A43FB" w14:textId="77777777" w:rsidR="00A92EEE" w:rsidRPr="00A92EEE" w:rsidRDefault="00A92EEE" w:rsidP="00781DF9">
            <w:pPr>
              <w:pStyle w:val="Tabletext"/>
              <w:spacing w:after="20" w:line="280" w:lineRule="exact"/>
              <w:rPr>
                <w:rFonts w:asciiTheme="majorBidi" w:hAnsiTheme="majorBidi" w:cstheme="majorBidi"/>
                <w:sz w:val="20"/>
              </w:rPr>
            </w:pPr>
          </w:p>
        </w:tc>
        <w:tc>
          <w:tcPr>
            <w:tcW w:w="2977" w:type="dxa"/>
            <w:vMerge/>
            <w:shd w:val="clear" w:color="auto" w:fill="auto"/>
          </w:tcPr>
          <w:p w14:paraId="165EC602" w14:textId="77777777" w:rsidR="00A92EEE" w:rsidRPr="00A92EEE" w:rsidRDefault="00A92EEE" w:rsidP="00781DF9">
            <w:pPr>
              <w:pStyle w:val="Tabletext"/>
              <w:spacing w:after="20" w:line="280" w:lineRule="exact"/>
              <w:rPr>
                <w:rFonts w:asciiTheme="majorBidi" w:hAnsiTheme="majorBidi" w:cstheme="majorBidi"/>
                <w:sz w:val="20"/>
              </w:rPr>
            </w:pPr>
          </w:p>
        </w:tc>
        <w:tc>
          <w:tcPr>
            <w:tcW w:w="1276" w:type="dxa"/>
            <w:shd w:val="clear" w:color="auto" w:fill="auto"/>
          </w:tcPr>
          <w:p w14:paraId="4CDEFBB0" w14:textId="77777777" w:rsidR="00A92EEE" w:rsidRPr="00A92EEE" w:rsidRDefault="00A92EEE" w:rsidP="00781DF9">
            <w:pPr>
              <w:pStyle w:val="Tabletext"/>
              <w:spacing w:after="20" w:line="280" w:lineRule="exact"/>
              <w:rPr>
                <w:rFonts w:asciiTheme="majorBidi" w:hAnsiTheme="majorBidi" w:cstheme="majorBidi"/>
                <w:sz w:val="20"/>
              </w:rPr>
            </w:pPr>
            <w:r w:rsidRPr="00A92EEE">
              <w:rPr>
                <w:rFonts w:asciiTheme="majorBidi" w:hAnsiTheme="majorBidi" w:cstheme="majorBidi"/>
                <w:sz w:val="20"/>
              </w:rPr>
              <w:t>Q7</w:t>
            </w:r>
          </w:p>
        </w:tc>
        <w:tc>
          <w:tcPr>
            <w:tcW w:w="8452" w:type="dxa"/>
            <w:tcBorders>
              <w:right w:val="single" w:sz="4" w:space="0" w:color="auto"/>
            </w:tcBorders>
            <w:shd w:val="clear" w:color="auto" w:fill="auto"/>
          </w:tcPr>
          <w:p w14:paraId="216A7B49" w14:textId="77777777" w:rsidR="00A92EEE" w:rsidRPr="00A92EEE" w:rsidRDefault="00A92EEE" w:rsidP="00781DF9">
            <w:pPr>
              <w:pStyle w:val="Tabletext"/>
              <w:spacing w:after="20" w:line="280" w:lineRule="exact"/>
              <w:rPr>
                <w:rFonts w:asciiTheme="majorBidi" w:hAnsiTheme="majorBidi" w:cstheme="majorBidi"/>
                <w:sz w:val="20"/>
              </w:rPr>
            </w:pPr>
            <w:r w:rsidRPr="00A92EEE">
              <w:rPr>
                <w:rFonts w:asciiTheme="majorBidi" w:hAnsiTheme="majorBidi" w:cstheme="majorBidi"/>
                <w:sz w:val="20"/>
              </w:rPr>
              <w:t>Transmission control and interfaces (MAC layer) for IP and/or packet-based data over integrated broadband cable networks</w:t>
            </w:r>
          </w:p>
        </w:tc>
      </w:tr>
      <w:tr w:rsidR="00A92EEE" w:rsidRPr="00A92EEE" w14:paraId="293BFED6" w14:textId="77777777" w:rsidTr="00781DF9">
        <w:trPr>
          <w:cantSplit/>
        </w:trPr>
        <w:tc>
          <w:tcPr>
            <w:tcW w:w="1271" w:type="dxa"/>
            <w:vMerge w:val="restart"/>
            <w:tcBorders>
              <w:left w:val="single" w:sz="4" w:space="0" w:color="auto"/>
            </w:tcBorders>
            <w:shd w:val="clear" w:color="auto" w:fill="auto"/>
          </w:tcPr>
          <w:p w14:paraId="1724E71E" w14:textId="77777777" w:rsidR="00A92EEE" w:rsidRPr="00A92EEE" w:rsidRDefault="00A92EEE" w:rsidP="00781DF9">
            <w:pPr>
              <w:pStyle w:val="Tabletext"/>
              <w:spacing w:after="20" w:line="280" w:lineRule="exact"/>
              <w:rPr>
                <w:rFonts w:asciiTheme="majorBidi" w:hAnsiTheme="majorBidi" w:cstheme="majorBidi"/>
                <w:b/>
                <w:bCs/>
                <w:sz w:val="20"/>
              </w:rPr>
            </w:pPr>
            <w:r w:rsidRPr="00A92EEE">
              <w:rPr>
                <w:rFonts w:asciiTheme="majorBidi" w:hAnsiTheme="majorBidi" w:cstheme="majorBidi"/>
                <w:b/>
                <w:bCs/>
                <w:sz w:val="20"/>
              </w:rPr>
              <w:t>WP2</w:t>
            </w:r>
          </w:p>
        </w:tc>
        <w:tc>
          <w:tcPr>
            <w:tcW w:w="2977" w:type="dxa"/>
            <w:vMerge w:val="restart"/>
            <w:shd w:val="clear" w:color="auto" w:fill="auto"/>
          </w:tcPr>
          <w:p w14:paraId="7DC32191" w14:textId="77777777" w:rsidR="00A92EEE" w:rsidRPr="00A92EEE" w:rsidRDefault="00A92EEE" w:rsidP="00781DF9">
            <w:pPr>
              <w:pStyle w:val="Tabletext"/>
              <w:spacing w:after="20" w:line="280" w:lineRule="exact"/>
              <w:rPr>
                <w:rFonts w:asciiTheme="majorBidi" w:hAnsiTheme="majorBidi" w:cstheme="majorBidi"/>
                <w:sz w:val="20"/>
                <w:lang w:val="en-US"/>
              </w:rPr>
            </w:pPr>
            <w:r w:rsidRPr="00A92EEE">
              <w:rPr>
                <w:rFonts w:asciiTheme="majorBidi" w:hAnsiTheme="majorBidi" w:cstheme="majorBidi"/>
                <w:b/>
                <w:bCs/>
                <w:sz w:val="20"/>
              </w:rPr>
              <w:t>Cable-related platforms and applications</w:t>
            </w:r>
          </w:p>
          <w:p w14:paraId="41EBB64E" w14:textId="77777777" w:rsidR="00A92EEE" w:rsidRPr="00A92EEE" w:rsidRDefault="00A92EEE" w:rsidP="00781DF9">
            <w:pPr>
              <w:pStyle w:val="Tabletext"/>
              <w:spacing w:after="20" w:line="280" w:lineRule="exact"/>
              <w:rPr>
                <w:rFonts w:asciiTheme="majorBidi" w:hAnsiTheme="majorBidi" w:cstheme="majorBidi"/>
                <w:b/>
                <w:bCs/>
                <w:sz w:val="20"/>
              </w:rPr>
            </w:pPr>
          </w:p>
          <w:p w14:paraId="0ABDA748" w14:textId="77777777" w:rsidR="00A92EEE" w:rsidRPr="00A92EEE" w:rsidRDefault="00A92EEE" w:rsidP="00781DF9">
            <w:pPr>
              <w:pStyle w:val="Tabletext"/>
              <w:spacing w:after="20" w:line="280" w:lineRule="exact"/>
              <w:rPr>
                <w:rFonts w:asciiTheme="majorBidi" w:hAnsiTheme="majorBidi" w:cstheme="majorBidi"/>
                <w:b/>
                <w:bCs/>
                <w:sz w:val="20"/>
              </w:rPr>
            </w:pPr>
            <w:r w:rsidRPr="00A92EEE">
              <w:rPr>
                <w:rFonts w:asciiTheme="majorBidi" w:hAnsiTheme="majorBidi" w:cstheme="majorBidi"/>
                <w:b/>
                <w:bCs/>
                <w:sz w:val="20"/>
              </w:rPr>
              <w:t>Taekyoon KIM</w:t>
            </w:r>
          </w:p>
          <w:p w14:paraId="28C71993" w14:textId="77777777" w:rsidR="00A92EEE" w:rsidRPr="00A92EEE" w:rsidRDefault="00A92EEE" w:rsidP="00781DF9">
            <w:pPr>
              <w:pStyle w:val="Tabletext"/>
              <w:spacing w:after="20" w:line="280" w:lineRule="exact"/>
              <w:rPr>
                <w:rFonts w:asciiTheme="majorBidi" w:hAnsiTheme="majorBidi" w:cstheme="majorBidi"/>
                <w:i/>
                <w:iCs/>
                <w:sz w:val="20"/>
              </w:rPr>
            </w:pPr>
            <w:r w:rsidRPr="00A92EEE">
              <w:rPr>
                <w:rFonts w:asciiTheme="majorBidi" w:hAnsiTheme="majorBidi" w:cstheme="majorBidi"/>
                <w:i/>
                <w:iCs/>
                <w:sz w:val="20"/>
              </w:rPr>
              <w:t>(</w:t>
            </w:r>
            <w:r w:rsidRPr="00A92EEE">
              <w:rPr>
                <w:rFonts w:asciiTheme="majorBidi" w:hAnsiTheme="majorBidi" w:cstheme="majorBidi"/>
                <w:i/>
                <w:iCs/>
                <w:color w:val="FF0000"/>
                <w:sz w:val="20"/>
              </w:rPr>
              <w:t>WP2/9 Chairman</w:t>
            </w:r>
            <w:r w:rsidRPr="00A92EEE">
              <w:rPr>
                <w:rFonts w:asciiTheme="majorBidi" w:hAnsiTheme="majorBidi" w:cstheme="majorBidi"/>
                <w:i/>
                <w:iCs/>
                <w:sz w:val="20"/>
              </w:rPr>
              <w:t>)</w:t>
            </w:r>
          </w:p>
          <w:p w14:paraId="792CDA84" w14:textId="77777777" w:rsidR="00A92EEE" w:rsidRPr="00A92EEE" w:rsidRDefault="00A92EEE" w:rsidP="00781DF9">
            <w:pPr>
              <w:pStyle w:val="Tabletext"/>
              <w:spacing w:after="20" w:line="280" w:lineRule="exact"/>
              <w:rPr>
                <w:rFonts w:asciiTheme="majorBidi" w:hAnsiTheme="majorBidi" w:cstheme="majorBidi"/>
                <w:i/>
                <w:iCs/>
                <w:sz w:val="20"/>
              </w:rPr>
            </w:pPr>
            <w:r w:rsidRPr="00A92EEE">
              <w:rPr>
                <w:rFonts w:asciiTheme="majorBidi" w:hAnsiTheme="majorBidi" w:cstheme="majorBidi"/>
                <w:i/>
                <w:iCs/>
                <w:sz w:val="20"/>
              </w:rPr>
              <w:t xml:space="preserve">ETRI, Korea </w:t>
            </w:r>
          </w:p>
          <w:p w14:paraId="48C7EA0C" w14:textId="77777777" w:rsidR="00A92EEE" w:rsidRPr="00A92EEE" w:rsidRDefault="00A92EEE" w:rsidP="00781DF9">
            <w:pPr>
              <w:pStyle w:val="Tabletext"/>
              <w:spacing w:after="20" w:line="280" w:lineRule="exact"/>
              <w:rPr>
                <w:rFonts w:asciiTheme="majorBidi" w:hAnsiTheme="majorBidi" w:cstheme="majorBidi"/>
                <w:sz w:val="20"/>
              </w:rPr>
            </w:pPr>
          </w:p>
          <w:p w14:paraId="386A9E02" w14:textId="77777777" w:rsidR="00A92EEE" w:rsidRPr="00A92EEE" w:rsidRDefault="00A92EEE" w:rsidP="00781DF9">
            <w:pPr>
              <w:pStyle w:val="Tabletext"/>
              <w:spacing w:after="20" w:line="280" w:lineRule="exact"/>
              <w:rPr>
                <w:rFonts w:asciiTheme="majorBidi" w:hAnsiTheme="majorBidi" w:cstheme="majorBidi"/>
                <w:b/>
                <w:bCs/>
                <w:sz w:val="20"/>
              </w:rPr>
            </w:pPr>
            <w:r w:rsidRPr="00A92EEE">
              <w:rPr>
                <w:rFonts w:asciiTheme="majorBidi" w:hAnsiTheme="majorBidi" w:cstheme="majorBidi"/>
                <w:b/>
                <w:bCs/>
                <w:sz w:val="20"/>
              </w:rPr>
              <w:t>Eric WANG</w:t>
            </w:r>
          </w:p>
          <w:p w14:paraId="6D3C8FC9" w14:textId="77777777" w:rsidR="00A92EEE" w:rsidRPr="00A92EEE" w:rsidRDefault="00A92EEE" w:rsidP="00781DF9">
            <w:pPr>
              <w:pStyle w:val="Tabletext"/>
              <w:spacing w:after="20" w:line="280" w:lineRule="exact"/>
              <w:rPr>
                <w:rFonts w:asciiTheme="majorBidi" w:hAnsiTheme="majorBidi" w:cstheme="majorBidi"/>
                <w:i/>
                <w:iCs/>
                <w:sz w:val="20"/>
                <w:lang w:val="en-US"/>
              </w:rPr>
            </w:pPr>
            <w:r w:rsidRPr="00A92EEE">
              <w:rPr>
                <w:rFonts w:asciiTheme="majorBidi" w:hAnsiTheme="majorBidi" w:cstheme="majorBidi"/>
                <w:i/>
                <w:iCs/>
                <w:sz w:val="20"/>
                <w:lang w:val="en-US"/>
              </w:rPr>
              <w:t>(</w:t>
            </w:r>
            <w:r w:rsidRPr="00A92EEE">
              <w:rPr>
                <w:rFonts w:asciiTheme="majorBidi" w:hAnsiTheme="majorBidi" w:cstheme="majorBidi"/>
                <w:i/>
                <w:iCs/>
                <w:color w:val="FF0000"/>
                <w:sz w:val="20"/>
                <w:lang w:val="en-US"/>
              </w:rPr>
              <w:t>WP2/9 Vice-chair</w:t>
            </w:r>
            <w:r w:rsidRPr="00A92EEE">
              <w:rPr>
                <w:rFonts w:asciiTheme="majorBidi" w:hAnsiTheme="majorBidi" w:cstheme="majorBidi"/>
                <w:i/>
                <w:iCs/>
                <w:sz w:val="20"/>
                <w:lang w:val="en-US"/>
              </w:rPr>
              <w:t>)</w:t>
            </w:r>
          </w:p>
          <w:p w14:paraId="476502C9" w14:textId="77777777" w:rsidR="00A92EEE" w:rsidRPr="00A92EEE" w:rsidRDefault="00A92EEE" w:rsidP="00781DF9">
            <w:pPr>
              <w:pStyle w:val="Tabletext"/>
              <w:spacing w:after="20" w:line="280" w:lineRule="exact"/>
              <w:rPr>
                <w:rFonts w:asciiTheme="majorBidi" w:hAnsiTheme="majorBidi" w:cstheme="majorBidi"/>
                <w:sz w:val="20"/>
                <w:lang w:val="en-US"/>
              </w:rPr>
            </w:pPr>
            <w:r w:rsidRPr="00A92EEE">
              <w:rPr>
                <w:rFonts w:asciiTheme="majorBidi" w:hAnsiTheme="majorBidi" w:cstheme="majorBidi"/>
                <w:i/>
                <w:iCs/>
                <w:sz w:val="20"/>
              </w:rPr>
              <w:t>Huawei, China</w:t>
            </w:r>
          </w:p>
        </w:tc>
        <w:tc>
          <w:tcPr>
            <w:tcW w:w="1276" w:type="dxa"/>
            <w:shd w:val="clear" w:color="auto" w:fill="auto"/>
          </w:tcPr>
          <w:p w14:paraId="0928C119" w14:textId="77777777" w:rsidR="00A92EEE" w:rsidRPr="00A92EEE" w:rsidRDefault="00A92EEE" w:rsidP="00781DF9">
            <w:pPr>
              <w:pStyle w:val="Tabletext"/>
              <w:spacing w:after="20" w:line="280" w:lineRule="exact"/>
              <w:rPr>
                <w:rFonts w:asciiTheme="majorBidi" w:hAnsiTheme="majorBidi" w:cstheme="majorBidi"/>
                <w:sz w:val="20"/>
              </w:rPr>
            </w:pPr>
            <w:r w:rsidRPr="00A92EEE">
              <w:rPr>
                <w:rFonts w:asciiTheme="majorBidi" w:hAnsiTheme="majorBidi" w:cstheme="majorBidi"/>
                <w:sz w:val="20"/>
              </w:rPr>
              <w:t>Q5</w:t>
            </w:r>
          </w:p>
        </w:tc>
        <w:tc>
          <w:tcPr>
            <w:tcW w:w="8452" w:type="dxa"/>
            <w:tcBorders>
              <w:right w:val="single" w:sz="4" w:space="0" w:color="auto"/>
            </w:tcBorders>
            <w:shd w:val="clear" w:color="auto" w:fill="auto"/>
          </w:tcPr>
          <w:p w14:paraId="7B849B05" w14:textId="77777777" w:rsidR="00A92EEE" w:rsidRPr="00A92EEE" w:rsidRDefault="00A92EEE" w:rsidP="00781DF9">
            <w:pPr>
              <w:pStyle w:val="Tabletext"/>
              <w:spacing w:after="20" w:line="280" w:lineRule="exact"/>
              <w:rPr>
                <w:rFonts w:asciiTheme="majorBidi" w:hAnsiTheme="majorBidi" w:cstheme="majorBidi"/>
                <w:sz w:val="20"/>
              </w:rPr>
            </w:pPr>
            <w:r w:rsidRPr="00A92EEE">
              <w:rPr>
                <w:rFonts w:asciiTheme="majorBidi" w:hAnsiTheme="majorBidi" w:cstheme="majorBidi"/>
                <w:sz w:val="20"/>
              </w:rPr>
              <w:t>Software components application programming interfaces (APIs), frameworks and overall software architecture for advanced content distribution services within the scope of Study Group 9</w:t>
            </w:r>
          </w:p>
        </w:tc>
      </w:tr>
      <w:tr w:rsidR="00A92EEE" w:rsidRPr="00A92EEE" w14:paraId="6C48BFFE" w14:textId="77777777" w:rsidTr="00781DF9">
        <w:trPr>
          <w:cantSplit/>
        </w:trPr>
        <w:tc>
          <w:tcPr>
            <w:tcW w:w="1271" w:type="dxa"/>
            <w:vMerge/>
            <w:tcBorders>
              <w:left w:val="single" w:sz="4" w:space="0" w:color="auto"/>
            </w:tcBorders>
            <w:shd w:val="clear" w:color="auto" w:fill="auto"/>
          </w:tcPr>
          <w:p w14:paraId="7DAC207E" w14:textId="77777777" w:rsidR="00A92EEE" w:rsidRPr="00A92EEE" w:rsidRDefault="00A92EEE" w:rsidP="00781DF9">
            <w:pPr>
              <w:pStyle w:val="Tabletext"/>
              <w:spacing w:after="20" w:line="280" w:lineRule="exact"/>
              <w:rPr>
                <w:rFonts w:asciiTheme="majorBidi" w:hAnsiTheme="majorBidi" w:cstheme="majorBidi"/>
                <w:sz w:val="20"/>
              </w:rPr>
            </w:pPr>
          </w:p>
        </w:tc>
        <w:tc>
          <w:tcPr>
            <w:tcW w:w="2977" w:type="dxa"/>
            <w:vMerge/>
            <w:shd w:val="clear" w:color="auto" w:fill="auto"/>
          </w:tcPr>
          <w:p w14:paraId="4F679049" w14:textId="77777777" w:rsidR="00A92EEE" w:rsidRPr="00A92EEE" w:rsidRDefault="00A92EEE" w:rsidP="00781DF9">
            <w:pPr>
              <w:pStyle w:val="Tabletext"/>
              <w:spacing w:after="20" w:line="280" w:lineRule="exact"/>
              <w:rPr>
                <w:rFonts w:asciiTheme="majorBidi" w:hAnsiTheme="majorBidi" w:cstheme="majorBidi"/>
                <w:sz w:val="20"/>
              </w:rPr>
            </w:pPr>
          </w:p>
        </w:tc>
        <w:tc>
          <w:tcPr>
            <w:tcW w:w="1276" w:type="dxa"/>
            <w:shd w:val="clear" w:color="auto" w:fill="auto"/>
          </w:tcPr>
          <w:p w14:paraId="53172CF1" w14:textId="77777777" w:rsidR="00A92EEE" w:rsidRPr="00A92EEE" w:rsidRDefault="00A92EEE" w:rsidP="00781DF9">
            <w:pPr>
              <w:pStyle w:val="Tabletext"/>
              <w:spacing w:after="20" w:line="280" w:lineRule="exact"/>
              <w:rPr>
                <w:rFonts w:asciiTheme="majorBidi" w:hAnsiTheme="majorBidi" w:cstheme="majorBidi"/>
                <w:sz w:val="20"/>
              </w:rPr>
            </w:pPr>
            <w:r w:rsidRPr="00A92EEE">
              <w:rPr>
                <w:rFonts w:asciiTheme="majorBidi" w:hAnsiTheme="majorBidi" w:cstheme="majorBidi"/>
                <w:sz w:val="20"/>
              </w:rPr>
              <w:t>Q8</w:t>
            </w:r>
          </w:p>
        </w:tc>
        <w:tc>
          <w:tcPr>
            <w:tcW w:w="8452" w:type="dxa"/>
            <w:tcBorders>
              <w:right w:val="single" w:sz="4" w:space="0" w:color="auto"/>
            </w:tcBorders>
            <w:shd w:val="clear" w:color="auto" w:fill="auto"/>
          </w:tcPr>
          <w:p w14:paraId="3B23ED06" w14:textId="77777777" w:rsidR="00A92EEE" w:rsidRPr="00A92EEE" w:rsidRDefault="00A92EEE" w:rsidP="00781DF9">
            <w:pPr>
              <w:pStyle w:val="Tabletext"/>
              <w:spacing w:after="20" w:line="280" w:lineRule="exact"/>
              <w:rPr>
                <w:rFonts w:asciiTheme="majorBidi" w:hAnsiTheme="majorBidi" w:cstheme="majorBidi"/>
                <w:sz w:val="20"/>
              </w:rPr>
            </w:pPr>
            <w:r w:rsidRPr="00A92EEE">
              <w:rPr>
                <w:rFonts w:asciiTheme="majorBidi" w:hAnsiTheme="majorBidi" w:cstheme="majorBidi"/>
                <w:sz w:val="20"/>
              </w:rPr>
              <w:t>The Internet protocol (IP) enabled multimedia applications and services for cable television networks enabled by converged platforms</w:t>
            </w:r>
          </w:p>
        </w:tc>
      </w:tr>
      <w:tr w:rsidR="00A92EEE" w:rsidRPr="00A92EEE" w14:paraId="6D273FE1" w14:textId="77777777" w:rsidTr="00781DF9">
        <w:trPr>
          <w:cantSplit/>
        </w:trPr>
        <w:tc>
          <w:tcPr>
            <w:tcW w:w="1271" w:type="dxa"/>
            <w:vMerge/>
            <w:tcBorders>
              <w:left w:val="single" w:sz="4" w:space="0" w:color="auto"/>
            </w:tcBorders>
            <w:shd w:val="clear" w:color="auto" w:fill="auto"/>
          </w:tcPr>
          <w:p w14:paraId="3DFA51AF" w14:textId="77777777" w:rsidR="00A92EEE" w:rsidRPr="00A92EEE" w:rsidRDefault="00A92EEE" w:rsidP="00781DF9">
            <w:pPr>
              <w:pStyle w:val="Tabletext"/>
              <w:spacing w:after="20" w:line="280" w:lineRule="exact"/>
              <w:rPr>
                <w:rFonts w:asciiTheme="majorBidi" w:hAnsiTheme="majorBidi" w:cstheme="majorBidi"/>
                <w:sz w:val="20"/>
              </w:rPr>
            </w:pPr>
          </w:p>
        </w:tc>
        <w:tc>
          <w:tcPr>
            <w:tcW w:w="2977" w:type="dxa"/>
            <w:vMerge/>
            <w:shd w:val="clear" w:color="auto" w:fill="auto"/>
          </w:tcPr>
          <w:p w14:paraId="471C7B51" w14:textId="77777777" w:rsidR="00A92EEE" w:rsidRPr="00A92EEE" w:rsidRDefault="00A92EEE" w:rsidP="00781DF9">
            <w:pPr>
              <w:pStyle w:val="Tabletext"/>
              <w:spacing w:after="20" w:line="280" w:lineRule="exact"/>
              <w:rPr>
                <w:rFonts w:asciiTheme="majorBidi" w:hAnsiTheme="majorBidi" w:cstheme="majorBidi"/>
                <w:sz w:val="20"/>
              </w:rPr>
            </w:pPr>
          </w:p>
        </w:tc>
        <w:tc>
          <w:tcPr>
            <w:tcW w:w="1276" w:type="dxa"/>
            <w:tcBorders>
              <w:bottom w:val="single" w:sz="4" w:space="0" w:color="auto"/>
            </w:tcBorders>
            <w:shd w:val="clear" w:color="auto" w:fill="auto"/>
          </w:tcPr>
          <w:p w14:paraId="2AB3BCFA" w14:textId="77777777" w:rsidR="00A92EEE" w:rsidRPr="00A92EEE" w:rsidRDefault="00A92EEE" w:rsidP="00781DF9">
            <w:pPr>
              <w:pStyle w:val="Tabletext"/>
              <w:spacing w:after="20" w:line="280" w:lineRule="exact"/>
              <w:rPr>
                <w:rFonts w:asciiTheme="majorBidi" w:hAnsiTheme="majorBidi" w:cstheme="majorBidi"/>
                <w:sz w:val="20"/>
              </w:rPr>
            </w:pPr>
            <w:r w:rsidRPr="00A92EEE">
              <w:rPr>
                <w:rFonts w:asciiTheme="majorBidi" w:hAnsiTheme="majorBidi" w:cstheme="majorBidi"/>
                <w:sz w:val="20"/>
              </w:rPr>
              <w:t>Q9</w:t>
            </w:r>
          </w:p>
        </w:tc>
        <w:tc>
          <w:tcPr>
            <w:tcW w:w="8452" w:type="dxa"/>
            <w:tcBorders>
              <w:right w:val="single" w:sz="4" w:space="0" w:color="auto"/>
            </w:tcBorders>
            <w:shd w:val="clear" w:color="auto" w:fill="auto"/>
          </w:tcPr>
          <w:p w14:paraId="4C658189" w14:textId="77777777" w:rsidR="00A92EEE" w:rsidRPr="00A92EEE" w:rsidRDefault="00A92EEE" w:rsidP="00781DF9">
            <w:pPr>
              <w:pStyle w:val="Tabletext"/>
              <w:spacing w:after="20" w:line="280" w:lineRule="exact"/>
              <w:rPr>
                <w:rFonts w:asciiTheme="majorBidi" w:hAnsiTheme="majorBidi" w:cstheme="majorBidi"/>
                <w:sz w:val="20"/>
              </w:rPr>
            </w:pPr>
            <w:r w:rsidRPr="00A92EEE">
              <w:rPr>
                <w:rFonts w:asciiTheme="majorBidi" w:hAnsiTheme="majorBidi" w:cstheme="majorBidi"/>
                <w:sz w:val="20"/>
              </w:rPr>
              <w:t>Requirements, methods, and interfaces of the advanced service platforms to enhance the delivery of audiovisual content, and other multimedia interactive services over integrated broadband cable networks</w:t>
            </w:r>
          </w:p>
        </w:tc>
      </w:tr>
      <w:tr w:rsidR="00A92EEE" w:rsidRPr="00A92EEE" w14:paraId="38CA3D0A" w14:textId="77777777" w:rsidTr="00781DF9">
        <w:trPr>
          <w:cantSplit/>
        </w:trPr>
        <w:tc>
          <w:tcPr>
            <w:tcW w:w="1271" w:type="dxa"/>
            <w:vMerge/>
            <w:tcBorders>
              <w:left w:val="single" w:sz="4" w:space="0" w:color="auto"/>
            </w:tcBorders>
            <w:shd w:val="clear" w:color="auto" w:fill="auto"/>
          </w:tcPr>
          <w:p w14:paraId="15CA9626" w14:textId="77777777" w:rsidR="00A92EEE" w:rsidRPr="00A92EEE" w:rsidRDefault="00A92EEE" w:rsidP="00781DF9">
            <w:pPr>
              <w:pStyle w:val="Tabletext"/>
              <w:spacing w:after="20" w:line="280" w:lineRule="exact"/>
              <w:rPr>
                <w:rFonts w:asciiTheme="majorBidi" w:hAnsiTheme="majorBidi" w:cstheme="majorBidi"/>
                <w:sz w:val="20"/>
              </w:rPr>
            </w:pPr>
          </w:p>
        </w:tc>
        <w:tc>
          <w:tcPr>
            <w:tcW w:w="2977" w:type="dxa"/>
            <w:vMerge/>
            <w:shd w:val="clear" w:color="auto" w:fill="auto"/>
          </w:tcPr>
          <w:p w14:paraId="17EEE994" w14:textId="77777777" w:rsidR="00A92EEE" w:rsidRPr="00A92EEE" w:rsidRDefault="00A92EEE" w:rsidP="00781DF9">
            <w:pPr>
              <w:pStyle w:val="Tabletext"/>
              <w:spacing w:after="20" w:line="280" w:lineRule="exact"/>
              <w:rPr>
                <w:rFonts w:asciiTheme="majorBidi" w:hAnsiTheme="majorBidi" w:cstheme="majorBidi"/>
                <w:sz w:val="20"/>
              </w:rPr>
            </w:pPr>
          </w:p>
        </w:tc>
        <w:tc>
          <w:tcPr>
            <w:tcW w:w="1276" w:type="dxa"/>
            <w:tcBorders>
              <w:top w:val="single" w:sz="4" w:space="0" w:color="auto"/>
              <w:bottom w:val="single" w:sz="4" w:space="0" w:color="auto"/>
            </w:tcBorders>
            <w:shd w:val="clear" w:color="auto" w:fill="auto"/>
          </w:tcPr>
          <w:p w14:paraId="438387F7" w14:textId="77777777" w:rsidR="00A92EEE" w:rsidRPr="00A92EEE" w:rsidRDefault="00A92EEE" w:rsidP="00781DF9">
            <w:pPr>
              <w:pStyle w:val="Tabletext"/>
              <w:spacing w:after="20" w:line="280" w:lineRule="exact"/>
              <w:rPr>
                <w:rFonts w:asciiTheme="majorBidi" w:hAnsiTheme="majorBidi" w:cstheme="majorBidi"/>
                <w:sz w:val="20"/>
              </w:rPr>
            </w:pPr>
            <w:r w:rsidRPr="00A92EEE">
              <w:rPr>
                <w:rFonts w:asciiTheme="majorBidi" w:hAnsiTheme="majorBidi" w:cstheme="majorBidi"/>
                <w:sz w:val="20"/>
              </w:rPr>
              <w:t>Q11</w:t>
            </w:r>
          </w:p>
        </w:tc>
        <w:tc>
          <w:tcPr>
            <w:tcW w:w="8452" w:type="dxa"/>
            <w:tcBorders>
              <w:right w:val="single" w:sz="4" w:space="0" w:color="auto"/>
            </w:tcBorders>
            <w:shd w:val="clear" w:color="auto" w:fill="auto"/>
          </w:tcPr>
          <w:p w14:paraId="2803E739" w14:textId="77777777" w:rsidR="00A92EEE" w:rsidRPr="00A92EEE" w:rsidRDefault="00A92EEE" w:rsidP="00781DF9">
            <w:pPr>
              <w:pStyle w:val="Tabletext"/>
              <w:spacing w:after="20" w:line="280" w:lineRule="exact"/>
              <w:rPr>
                <w:rFonts w:asciiTheme="majorBidi" w:hAnsiTheme="majorBidi" w:cstheme="majorBidi"/>
                <w:sz w:val="20"/>
              </w:rPr>
            </w:pPr>
            <w:r w:rsidRPr="00A92EEE">
              <w:rPr>
                <w:rFonts w:asciiTheme="majorBidi" w:hAnsiTheme="majorBidi" w:cstheme="majorBidi"/>
                <w:sz w:val="20"/>
              </w:rPr>
              <w:t>Accessibility to cable systems and services</w:t>
            </w:r>
          </w:p>
        </w:tc>
      </w:tr>
      <w:tr w:rsidR="00A92EEE" w:rsidRPr="00A92EEE" w14:paraId="4592BBAB" w14:textId="77777777" w:rsidTr="00781DF9">
        <w:trPr>
          <w:cantSplit/>
        </w:trPr>
        <w:tc>
          <w:tcPr>
            <w:tcW w:w="1271" w:type="dxa"/>
            <w:vMerge/>
            <w:tcBorders>
              <w:left w:val="single" w:sz="4" w:space="0" w:color="auto"/>
            </w:tcBorders>
            <w:shd w:val="clear" w:color="auto" w:fill="auto"/>
          </w:tcPr>
          <w:p w14:paraId="41947F7A" w14:textId="77777777" w:rsidR="00A92EEE" w:rsidRPr="00A92EEE" w:rsidRDefault="00A92EEE" w:rsidP="00781DF9">
            <w:pPr>
              <w:pStyle w:val="Tabletext"/>
              <w:spacing w:after="20" w:line="280" w:lineRule="exact"/>
              <w:rPr>
                <w:rFonts w:asciiTheme="majorBidi" w:hAnsiTheme="majorBidi" w:cstheme="majorBidi"/>
                <w:sz w:val="20"/>
              </w:rPr>
            </w:pPr>
          </w:p>
        </w:tc>
        <w:tc>
          <w:tcPr>
            <w:tcW w:w="2977" w:type="dxa"/>
            <w:vMerge/>
            <w:tcBorders>
              <w:bottom w:val="single" w:sz="4" w:space="0" w:color="auto"/>
            </w:tcBorders>
            <w:shd w:val="clear" w:color="auto" w:fill="auto"/>
          </w:tcPr>
          <w:p w14:paraId="78EB32CC" w14:textId="77777777" w:rsidR="00A92EEE" w:rsidRPr="00A92EEE" w:rsidRDefault="00A92EEE" w:rsidP="00781DF9">
            <w:pPr>
              <w:pStyle w:val="Tabletext"/>
              <w:spacing w:after="20" w:line="280" w:lineRule="exact"/>
              <w:rPr>
                <w:rFonts w:asciiTheme="majorBidi" w:hAnsiTheme="majorBidi" w:cstheme="majorBidi"/>
                <w:sz w:val="20"/>
              </w:rPr>
            </w:pPr>
          </w:p>
        </w:tc>
        <w:tc>
          <w:tcPr>
            <w:tcW w:w="1276" w:type="dxa"/>
            <w:tcBorders>
              <w:top w:val="single" w:sz="4" w:space="0" w:color="auto"/>
              <w:bottom w:val="single" w:sz="4" w:space="0" w:color="auto"/>
            </w:tcBorders>
            <w:shd w:val="clear" w:color="auto" w:fill="auto"/>
          </w:tcPr>
          <w:p w14:paraId="7208C740" w14:textId="77777777" w:rsidR="00A92EEE" w:rsidRPr="00A92EEE" w:rsidRDefault="00A92EEE" w:rsidP="00781DF9">
            <w:pPr>
              <w:pStyle w:val="Tabletext"/>
              <w:spacing w:after="20" w:line="280" w:lineRule="exact"/>
              <w:rPr>
                <w:rFonts w:asciiTheme="majorBidi" w:hAnsiTheme="majorBidi" w:cstheme="majorBidi"/>
                <w:sz w:val="20"/>
              </w:rPr>
            </w:pPr>
            <w:r w:rsidRPr="00A92EEE">
              <w:rPr>
                <w:rFonts w:asciiTheme="majorBidi" w:hAnsiTheme="majorBidi" w:cstheme="majorBidi"/>
                <w:sz w:val="20"/>
              </w:rPr>
              <w:t>Q12</w:t>
            </w:r>
          </w:p>
        </w:tc>
        <w:tc>
          <w:tcPr>
            <w:tcW w:w="8452" w:type="dxa"/>
            <w:tcBorders>
              <w:right w:val="single" w:sz="4" w:space="0" w:color="auto"/>
            </w:tcBorders>
            <w:shd w:val="clear" w:color="auto" w:fill="auto"/>
          </w:tcPr>
          <w:p w14:paraId="55D0C7ED" w14:textId="77777777" w:rsidR="00A92EEE" w:rsidRPr="00A92EEE" w:rsidRDefault="00A92EEE" w:rsidP="00781DF9">
            <w:pPr>
              <w:pStyle w:val="Tabletext"/>
              <w:spacing w:after="20" w:line="280" w:lineRule="exact"/>
              <w:rPr>
                <w:rFonts w:asciiTheme="majorBidi" w:hAnsiTheme="majorBidi" w:cstheme="majorBidi"/>
                <w:sz w:val="20"/>
              </w:rPr>
            </w:pPr>
            <w:r w:rsidRPr="00A92EEE">
              <w:rPr>
                <w:rFonts w:asciiTheme="majorBidi" w:hAnsiTheme="majorBidi" w:cstheme="majorBidi"/>
                <w:sz w:val="20"/>
              </w:rPr>
              <w:t>AI-enabled enhanced functions over integrated broadband cable network</w:t>
            </w:r>
          </w:p>
        </w:tc>
      </w:tr>
      <w:tr w:rsidR="00A92EEE" w:rsidRPr="00A92EEE" w14:paraId="758F86C8" w14:textId="77777777" w:rsidTr="00781DF9">
        <w:trPr>
          <w:cantSplit/>
        </w:trPr>
        <w:tc>
          <w:tcPr>
            <w:tcW w:w="1271" w:type="dxa"/>
            <w:vMerge w:val="restart"/>
            <w:tcBorders>
              <w:left w:val="single" w:sz="4" w:space="0" w:color="auto"/>
            </w:tcBorders>
            <w:shd w:val="clear" w:color="auto" w:fill="auto"/>
          </w:tcPr>
          <w:p w14:paraId="29367088" w14:textId="77777777" w:rsidR="00A92EEE" w:rsidRPr="00A92EEE" w:rsidRDefault="00A92EEE" w:rsidP="00781DF9">
            <w:pPr>
              <w:pStyle w:val="Tabletext"/>
              <w:spacing w:after="20" w:line="280" w:lineRule="exact"/>
              <w:rPr>
                <w:rFonts w:asciiTheme="majorBidi" w:hAnsiTheme="majorBidi" w:cstheme="majorBidi"/>
                <w:b/>
                <w:bCs/>
                <w:sz w:val="20"/>
              </w:rPr>
            </w:pPr>
            <w:r w:rsidRPr="00A92EEE">
              <w:rPr>
                <w:rFonts w:asciiTheme="majorBidi" w:hAnsiTheme="majorBidi" w:cstheme="majorBidi"/>
                <w:b/>
                <w:bCs/>
                <w:sz w:val="20"/>
              </w:rPr>
              <w:t>SG9 PLEN</w:t>
            </w:r>
          </w:p>
        </w:tc>
        <w:tc>
          <w:tcPr>
            <w:tcW w:w="2977" w:type="dxa"/>
            <w:vMerge w:val="restart"/>
            <w:tcBorders>
              <w:top w:val="single" w:sz="4" w:space="0" w:color="auto"/>
            </w:tcBorders>
            <w:shd w:val="clear" w:color="auto" w:fill="auto"/>
          </w:tcPr>
          <w:p w14:paraId="2887C9FB" w14:textId="77777777" w:rsidR="00A92EEE" w:rsidRPr="00A92EEE" w:rsidRDefault="00A92EEE" w:rsidP="00781DF9">
            <w:pPr>
              <w:pStyle w:val="Tabletext"/>
              <w:spacing w:after="20" w:line="280" w:lineRule="exact"/>
              <w:rPr>
                <w:rFonts w:asciiTheme="majorBidi" w:hAnsiTheme="majorBidi" w:cstheme="majorBidi"/>
                <w:b/>
                <w:bCs/>
                <w:sz w:val="20"/>
              </w:rPr>
            </w:pPr>
            <w:r w:rsidRPr="00A92EEE">
              <w:rPr>
                <w:rFonts w:asciiTheme="majorBidi" w:hAnsiTheme="majorBidi" w:cstheme="majorBidi"/>
                <w:b/>
                <w:bCs/>
                <w:sz w:val="20"/>
              </w:rPr>
              <w:t>Plenary of SG9</w:t>
            </w:r>
          </w:p>
          <w:p w14:paraId="7C5C5AFA" w14:textId="77777777" w:rsidR="00A92EEE" w:rsidRPr="00A92EEE" w:rsidRDefault="00A92EEE" w:rsidP="00781DF9">
            <w:pPr>
              <w:pStyle w:val="Tabletext"/>
              <w:spacing w:after="20" w:line="280" w:lineRule="exact"/>
              <w:rPr>
                <w:rFonts w:asciiTheme="majorBidi" w:hAnsiTheme="majorBidi" w:cstheme="majorBidi"/>
                <w:b/>
                <w:bCs/>
                <w:sz w:val="20"/>
              </w:rPr>
            </w:pPr>
          </w:p>
          <w:p w14:paraId="7E1B1CE1" w14:textId="77777777" w:rsidR="00A92EEE" w:rsidRPr="00A92EEE" w:rsidRDefault="00A92EEE" w:rsidP="00781DF9">
            <w:pPr>
              <w:pStyle w:val="Tabletext"/>
              <w:spacing w:after="20" w:line="280" w:lineRule="exact"/>
              <w:rPr>
                <w:rFonts w:asciiTheme="majorBidi" w:hAnsiTheme="majorBidi" w:cstheme="majorBidi"/>
                <w:i/>
                <w:iCs/>
                <w:sz w:val="20"/>
              </w:rPr>
            </w:pPr>
            <w:r w:rsidRPr="00A92EEE">
              <w:rPr>
                <w:rFonts w:asciiTheme="majorBidi" w:hAnsiTheme="majorBidi" w:cstheme="majorBidi"/>
                <w:b/>
                <w:bCs/>
                <w:sz w:val="20"/>
              </w:rPr>
              <w:t>Satoshi MIYAJI</w:t>
            </w:r>
            <w:r w:rsidRPr="00A92EEE">
              <w:rPr>
                <w:rFonts w:asciiTheme="majorBidi" w:hAnsiTheme="majorBidi" w:cstheme="majorBidi"/>
                <w:b/>
                <w:bCs/>
                <w:sz w:val="20"/>
              </w:rPr>
              <w:br/>
            </w:r>
            <w:r w:rsidRPr="00A92EEE">
              <w:rPr>
                <w:rFonts w:asciiTheme="majorBidi" w:hAnsiTheme="majorBidi" w:cstheme="majorBidi"/>
                <w:i/>
                <w:iCs/>
                <w:sz w:val="20"/>
              </w:rPr>
              <w:t>(</w:t>
            </w:r>
            <w:r w:rsidRPr="00A92EEE">
              <w:rPr>
                <w:rFonts w:asciiTheme="majorBidi" w:hAnsiTheme="majorBidi" w:cstheme="majorBidi"/>
                <w:i/>
                <w:iCs/>
                <w:color w:val="FF0000"/>
                <w:sz w:val="20"/>
              </w:rPr>
              <w:t>SG9 Chairman</w:t>
            </w:r>
            <w:r w:rsidRPr="00A92EEE">
              <w:rPr>
                <w:rFonts w:asciiTheme="majorBidi" w:hAnsiTheme="majorBidi" w:cstheme="majorBidi"/>
                <w:i/>
                <w:iCs/>
                <w:sz w:val="20"/>
              </w:rPr>
              <w:t>)</w:t>
            </w:r>
          </w:p>
          <w:p w14:paraId="712FF1E0" w14:textId="77777777" w:rsidR="00A92EEE" w:rsidRPr="00A92EEE" w:rsidRDefault="00A92EEE" w:rsidP="00781DF9">
            <w:pPr>
              <w:pStyle w:val="Tabletext"/>
              <w:spacing w:after="20" w:line="280" w:lineRule="exact"/>
              <w:rPr>
                <w:rFonts w:asciiTheme="majorBidi" w:hAnsiTheme="majorBidi" w:cstheme="majorBidi"/>
                <w:b/>
                <w:bCs/>
                <w:sz w:val="20"/>
              </w:rPr>
            </w:pPr>
            <w:r w:rsidRPr="00A92EEE">
              <w:rPr>
                <w:rFonts w:asciiTheme="majorBidi" w:hAnsiTheme="majorBidi" w:cstheme="majorBidi"/>
                <w:i/>
                <w:iCs/>
                <w:sz w:val="20"/>
              </w:rPr>
              <w:t>KDDI, Japan</w:t>
            </w:r>
          </w:p>
        </w:tc>
        <w:tc>
          <w:tcPr>
            <w:tcW w:w="1276" w:type="dxa"/>
            <w:tcBorders>
              <w:top w:val="single" w:sz="4" w:space="0" w:color="auto"/>
            </w:tcBorders>
            <w:shd w:val="clear" w:color="auto" w:fill="auto"/>
          </w:tcPr>
          <w:p w14:paraId="575F0E3E" w14:textId="77777777" w:rsidR="00A92EEE" w:rsidRPr="00A92EEE" w:rsidRDefault="00A92EEE" w:rsidP="00781DF9">
            <w:pPr>
              <w:pStyle w:val="Tabletext"/>
              <w:spacing w:after="20" w:line="280" w:lineRule="exact"/>
              <w:rPr>
                <w:rFonts w:asciiTheme="majorBidi" w:hAnsiTheme="majorBidi" w:cstheme="majorBidi"/>
                <w:sz w:val="20"/>
              </w:rPr>
            </w:pPr>
            <w:r w:rsidRPr="00A92EEE">
              <w:rPr>
                <w:rFonts w:asciiTheme="majorBidi" w:hAnsiTheme="majorBidi" w:cstheme="majorBidi"/>
                <w:sz w:val="20"/>
              </w:rPr>
              <w:t>Q10</w:t>
            </w:r>
          </w:p>
        </w:tc>
        <w:tc>
          <w:tcPr>
            <w:tcW w:w="8452" w:type="dxa"/>
            <w:tcBorders>
              <w:right w:val="single" w:sz="4" w:space="0" w:color="auto"/>
            </w:tcBorders>
            <w:shd w:val="clear" w:color="auto" w:fill="auto"/>
          </w:tcPr>
          <w:p w14:paraId="74B241B4" w14:textId="77777777" w:rsidR="00A92EEE" w:rsidRPr="00A92EEE" w:rsidRDefault="00A92EEE" w:rsidP="00781DF9">
            <w:pPr>
              <w:pStyle w:val="Tabletext"/>
              <w:spacing w:after="20" w:line="280" w:lineRule="exact"/>
              <w:rPr>
                <w:rFonts w:asciiTheme="majorBidi" w:hAnsiTheme="majorBidi" w:cstheme="majorBidi"/>
                <w:sz w:val="20"/>
              </w:rPr>
            </w:pPr>
            <w:r w:rsidRPr="00A92EEE">
              <w:rPr>
                <w:rFonts w:asciiTheme="majorBidi" w:hAnsiTheme="majorBidi" w:cstheme="majorBidi"/>
                <w:sz w:val="20"/>
              </w:rPr>
              <w:t>Work programme, coordination and planning</w:t>
            </w:r>
          </w:p>
        </w:tc>
      </w:tr>
      <w:tr w:rsidR="00A92EEE" w:rsidRPr="00A92EEE" w14:paraId="70352AAA" w14:textId="77777777" w:rsidTr="00781DF9">
        <w:trPr>
          <w:cantSplit/>
        </w:trPr>
        <w:tc>
          <w:tcPr>
            <w:tcW w:w="1271" w:type="dxa"/>
            <w:vMerge/>
            <w:tcBorders>
              <w:left w:val="single" w:sz="4" w:space="0" w:color="auto"/>
            </w:tcBorders>
            <w:shd w:val="clear" w:color="auto" w:fill="auto"/>
          </w:tcPr>
          <w:p w14:paraId="1E32922E" w14:textId="77777777" w:rsidR="00A92EEE" w:rsidRPr="00A92EEE" w:rsidRDefault="00A92EEE" w:rsidP="00781DF9">
            <w:pPr>
              <w:pStyle w:val="Tabletext"/>
              <w:spacing w:after="20" w:line="280" w:lineRule="exact"/>
              <w:rPr>
                <w:rFonts w:asciiTheme="majorBidi" w:hAnsiTheme="majorBidi" w:cstheme="majorBidi"/>
                <w:sz w:val="20"/>
              </w:rPr>
            </w:pPr>
          </w:p>
        </w:tc>
        <w:tc>
          <w:tcPr>
            <w:tcW w:w="2977" w:type="dxa"/>
            <w:vMerge/>
            <w:shd w:val="clear" w:color="auto" w:fill="auto"/>
          </w:tcPr>
          <w:p w14:paraId="151EBB5E" w14:textId="77777777" w:rsidR="00A92EEE" w:rsidRPr="00A92EEE" w:rsidRDefault="00A92EEE" w:rsidP="00781DF9">
            <w:pPr>
              <w:pStyle w:val="Tabletext"/>
              <w:spacing w:after="20" w:line="280" w:lineRule="exact"/>
              <w:rPr>
                <w:rFonts w:asciiTheme="majorBidi" w:hAnsiTheme="majorBidi" w:cstheme="majorBidi"/>
                <w:sz w:val="20"/>
              </w:rPr>
            </w:pPr>
          </w:p>
        </w:tc>
        <w:tc>
          <w:tcPr>
            <w:tcW w:w="1276" w:type="dxa"/>
            <w:shd w:val="clear" w:color="auto" w:fill="auto"/>
          </w:tcPr>
          <w:p w14:paraId="5706B1A8" w14:textId="77777777" w:rsidR="00A92EEE" w:rsidRPr="00A92EEE" w:rsidRDefault="00A92EEE" w:rsidP="00781DF9">
            <w:pPr>
              <w:pStyle w:val="Tabletext"/>
              <w:spacing w:after="20" w:line="280" w:lineRule="exact"/>
              <w:rPr>
                <w:rFonts w:asciiTheme="majorBidi" w:hAnsiTheme="majorBidi" w:cstheme="majorBidi"/>
                <w:sz w:val="20"/>
              </w:rPr>
            </w:pPr>
            <w:r w:rsidRPr="00A92EEE">
              <w:rPr>
                <w:rFonts w:asciiTheme="majorBidi" w:hAnsiTheme="majorBidi" w:cstheme="majorBidi"/>
                <w:sz w:val="20"/>
              </w:rPr>
              <w:t>IRG-IBB</w:t>
            </w:r>
          </w:p>
        </w:tc>
        <w:tc>
          <w:tcPr>
            <w:tcW w:w="8452" w:type="dxa"/>
            <w:tcBorders>
              <w:right w:val="single" w:sz="4" w:space="0" w:color="auto"/>
            </w:tcBorders>
            <w:shd w:val="clear" w:color="auto" w:fill="auto"/>
          </w:tcPr>
          <w:p w14:paraId="36DA4FD3" w14:textId="77777777" w:rsidR="00A92EEE" w:rsidRPr="00A92EEE" w:rsidRDefault="00A92EEE" w:rsidP="00781DF9">
            <w:pPr>
              <w:pStyle w:val="Tabletext"/>
              <w:spacing w:after="20" w:line="280" w:lineRule="exact"/>
              <w:rPr>
                <w:rFonts w:asciiTheme="majorBidi" w:hAnsiTheme="majorBidi" w:cstheme="majorBidi"/>
                <w:sz w:val="20"/>
              </w:rPr>
            </w:pPr>
            <w:r w:rsidRPr="00A92EEE">
              <w:rPr>
                <w:rFonts w:asciiTheme="majorBidi" w:hAnsiTheme="majorBidi" w:cstheme="majorBidi"/>
                <w:sz w:val="20"/>
              </w:rPr>
              <w:t>Integrated Broadcast-Broadband systems</w:t>
            </w:r>
          </w:p>
        </w:tc>
      </w:tr>
      <w:tr w:rsidR="00A92EEE" w:rsidRPr="00A92EEE" w14:paraId="3F1130E3" w14:textId="77777777" w:rsidTr="00781DF9">
        <w:trPr>
          <w:cantSplit/>
        </w:trPr>
        <w:tc>
          <w:tcPr>
            <w:tcW w:w="1271" w:type="dxa"/>
            <w:vMerge/>
            <w:tcBorders>
              <w:left w:val="single" w:sz="4" w:space="0" w:color="auto"/>
              <w:bottom w:val="single" w:sz="4" w:space="0" w:color="auto"/>
            </w:tcBorders>
            <w:shd w:val="clear" w:color="auto" w:fill="auto"/>
          </w:tcPr>
          <w:p w14:paraId="42B2B3DE" w14:textId="77777777" w:rsidR="00A92EEE" w:rsidRPr="00A92EEE" w:rsidRDefault="00A92EEE" w:rsidP="00781DF9">
            <w:pPr>
              <w:pStyle w:val="Tabletext"/>
              <w:spacing w:after="20" w:line="280" w:lineRule="exact"/>
              <w:rPr>
                <w:rFonts w:asciiTheme="majorBidi" w:hAnsiTheme="majorBidi" w:cstheme="majorBidi"/>
                <w:sz w:val="20"/>
              </w:rPr>
            </w:pPr>
          </w:p>
        </w:tc>
        <w:tc>
          <w:tcPr>
            <w:tcW w:w="2977" w:type="dxa"/>
            <w:vMerge/>
            <w:tcBorders>
              <w:bottom w:val="single" w:sz="4" w:space="0" w:color="auto"/>
            </w:tcBorders>
            <w:shd w:val="clear" w:color="auto" w:fill="auto"/>
          </w:tcPr>
          <w:p w14:paraId="5CAB2C14" w14:textId="77777777" w:rsidR="00A92EEE" w:rsidRPr="00A92EEE" w:rsidRDefault="00A92EEE" w:rsidP="00781DF9">
            <w:pPr>
              <w:pStyle w:val="Tabletext"/>
              <w:spacing w:after="20" w:line="280" w:lineRule="exact"/>
              <w:rPr>
                <w:rFonts w:asciiTheme="majorBidi" w:hAnsiTheme="majorBidi" w:cstheme="majorBidi"/>
                <w:sz w:val="20"/>
              </w:rPr>
            </w:pPr>
          </w:p>
        </w:tc>
        <w:tc>
          <w:tcPr>
            <w:tcW w:w="1276" w:type="dxa"/>
            <w:tcBorders>
              <w:bottom w:val="single" w:sz="4" w:space="0" w:color="auto"/>
            </w:tcBorders>
            <w:shd w:val="clear" w:color="auto" w:fill="auto"/>
          </w:tcPr>
          <w:p w14:paraId="2DC6F2B4" w14:textId="77777777" w:rsidR="00A92EEE" w:rsidRPr="00A92EEE" w:rsidRDefault="00A92EEE" w:rsidP="00781DF9">
            <w:pPr>
              <w:pStyle w:val="Tabletext"/>
              <w:spacing w:after="20" w:line="280" w:lineRule="exact"/>
              <w:rPr>
                <w:rFonts w:asciiTheme="majorBidi" w:hAnsiTheme="majorBidi" w:cstheme="majorBidi"/>
                <w:sz w:val="20"/>
              </w:rPr>
            </w:pPr>
            <w:r w:rsidRPr="00A92EEE">
              <w:rPr>
                <w:rFonts w:asciiTheme="majorBidi" w:hAnsiTheme="majorBidi" w:cstheme="majorBidi"/>
                <w:sz w:val="20"/>
              </w:rPr>
              <w:t>IRG-AVA</w:t>
            </w:r>
          </w:p>
        </w:tc>
        <w:tc>
          <w:tcPr>
            <w:tcW w:w="8452" w:type="dxa"/>
            <w:tcBorders>
              <w:bottom w:val="single" w:sz="4" w:space="0" w:color="auto"/>
              <w:right w:val="single" w:sz="4" w:space="0" w:color="auto"/>
            </w:tcBorders>
            <w:shd w:val="clear" w:color="auto" w:fill="auto"/>
          </w:tcPr>
          <w:p w14:paraId="4459AB66" w14:textId="77777777" w:rsidR="00A92EEE" w:rsidRPr="00A92EEE" w:rsidRDefault="00A92EEE" w:rsidP="00A92EEE">
            <w:pPr>
              <w:pStyle w:val="Tabletext"/>
              <w:keepNext/>
              <w:spacing w:after="20" w:line="280" w:lineRule="exact"/>
              <w:rPr>
                <w:rFonts w:asciiTheme="majorBidi" w:hAnsiTheme="majorBidi" w:cstheme="majorBidi"/>
                <w:sz w:val="20"/>
              </w:rPr>
            </w:pPr>
            <w:r w:rsidRPr="00A92EEE">
              <w:rPr>
                <w:rFonts w:asciiTheme="majorBidi" w:hAnsiTheme="majorBidi" w:cstheme="majorBidi"/>
                <w:sz w:val="20"/>
              </w:rPr>
              <w:t>Audiovisual Media Accessibility</w:t>
            </w:r>
          </w:p>
        </w:tc>
      </w:tr>
    </w:tbl>
    <w:p w14:paraId="0572B919" w14:textId="448FA9F8" w:rsidR="00A92EEE" w:rsidRDefault="00A92EEE" w:rsidP="00A92EEE">
      <w:pPr>
        <w:pStyle w:val="Caption"/>
      </w:pPr>
      <w:r>
        <w:t xml:space="preserve">Table </w:t>
      </w:r>
      <w:r>
        <w:fldChar w:fldCharType="begin"/>
      </w:r>
      <w:r>
        <w:instrText xml:space="preserve"> SEQ Table \* ARABIC </w:instrText>
      </w:r>
      <w:r>
        <w:fldChar w:fldCharType="separate"/>
      </w:r>
      <w:r>
        <w:rPr>
          <w:noProof/>
        </w:rPr>
        <w:t>1</w:t>
      </w:r>
      <w:r>
        <w:fldChar w:fldCharType="end"/>
      </w:r>
      <w:r>
        <w:t xml:space="preserve"> - ITU-T SG9 WP structure and leadership</w:t>
      </w:r>
      <w:r w:rsidR="00C6643B">
        <w:t xml:space="preserve"> as approved by SG9 Meeting (April 2021)</w:t>
      </w:r>
    </w:p>
    <w:p w14:paraId="170668FD" w14:textId="5AB579D9" w:rsidR="009D4E3E" w:rsidRDefault="009D4E3E" w:rsidP="009D4E3E">
      <w:pPr>
        <w:pStyle w:val="Heading2"/>
      </w:pPr>
      <w:bookmarkStart w:id="10" w:name="SG9Questions"/>
      <w:r>
        <w:t>SG9 Questions texts</w:t>
      </w:r>
    </w:p>
    <w:bookmarkEnd w:id="10"/>
    <w:p w14:paraId="613C8BC5" w14:textId="77777777" w:rsidR="003D0762" w:rsidRDefault="009D4E3E" w:rsidP="009D4E3E">
      <w:r>
        <w:t>At the last TSAG meeting on 11-18 January 2021, TSAG endorsed the set of Questions for all the ITU-T study groups, as found in TSAG-R12 to TSAG-R22.</w:t>
      </w:r>
    </w:p>
    <w:p w14:paraId="2B8C5B98" w14:textId="32B4E832" w:rsidR="009D4E3E" w:rsidRDefault="009D4E3E" w:rsidP="009D4E3E">
      <w:r>
        <w:t>Accordingly, in addition to revision of some of the Questions texts and titles, SG9 established a new Question 12/9 dedicated to AI:</w:t>
      </w:r>
    </w:p>
    <w:p w14:paraId="42A29A8E" w14:textId="4DCED6AB" w:rsidR="009D4E3E" w:rsidRDefault="009D4E3E" w:rsidP="009D4E3E">
      <w:r>
        <w:t>–</w:t>
      </w:r>
      <w:r w:rsidR="00535978">
        <w:tab/>
      </w:r>
      <w:r>
        <w:t>Q12/9 “</w:t>
      </w:r>
      <w:r w:rsidRPr="003D0762">
        <w:rPr>
          <w:i/>
        </w:rPr>
        <w:t>AI-enabled enhanced functions over integrated broadband cable network</w:t>
      </w:r>
      <w:r>
        <w:t>”.</w:t>
      </w:r>
    </w:p>
    <w:p w14:paraId="7310063C" w14:textId="637FC46A" w:rsidR="009D4E3E" w:rsidRDefault="009D4E3E" w:rsidP="003D0762">
      <w:pPr>
        <w:pStyle w:val="Heading2"/>
      </w:pPr>
      <w:r>
        <w:t>Preparation to WTSA-20</w:t>
      </w:r>
      <w:r w:rsidR="009D1FFC">
        <w:t xml:space="preserve"> (see </w:t>
      </w:r>
      <w:hyperlink r:id="rId23" w:history="1">
        <w:r w:rsidR="009D1FFC" w:rsidRPr="00535978">
          <w:rPr>
            <w:rStyle w:val="Hyperlink"/>
            <w:rFonts w:ascii="Times New Roman" w:hAnsi="Times New Roman"/>
          </w:rPr>
          <w:t>TSAG-TD1094</w:t>
        </w:r>
      </w:hyperlink>
      <w:r w:rsidR="009D1FFC">
        <w:t>)</w:t>
      </w:r>
    </w:p>
    <w:p w14:paraId="2236B1BA" w14:textId="0569FD27" w:rsidR="00D12F90" w:rsidRDefault="009D4E3E" w:rsidP="009D4E3E">
      <w:r>
        <w:t xml:space="preserve">To follow up on TSAG liaison on WTSA-20 preparations (TSAG-LS42), SG9 agreed to continue the preparatory process for WTSA-20 for the next study period 2022-2024 and will reserve a session on this purpose at next </w:t>
      </w:r>
      <w:r w:rsidR="00571B4A">
        <w:t xml:space="preserve">SG9 meeting </w:t>
      </w:r>
      <w:r w:rsidR="002041B2">
        <w:t>scheduled</w:t>
      </w:r>
      <w:r w:rsidR="00571B4A">
        <w:t xml:space="preserve"> in </w:t>
      </w:r>
      <w:r>
        <w:t xml:space="preserve">November 2021. SG9 plans to provide its final view of SG9 Questions and mandate for next Study Period, after its last meeting in November 2021. Therefore, TSAG will receive it at their ninth TSAG meeting </w:t>
      </w:r>
      <w:r w:rsidR="009D1FFC">
        <w:t>(</w:t>
      </w:r>
      <w:r>
        <w:t>10-14 January 2022).</w:t>
      </w:r>
    </w:p>
    <w:p w14:paraId="4E217E89" w14:textId="39184705" w:rsidR="00D97287" w:rsidRDefault="00FF0620" w:rsidP="00FF0620">
      <w:pPr>
        <w:pStyle w:val="Heading1"/>
      </w:pPr>
      <w:r w:rsidRPr="00E121E0">
        <w:rPr>
          <w:rFonts w:hint="eastAsia"/>
          <w:lang w:val="fr-FR"/>
        </w:rPr>
        <w:lastRenderedPageBreak/>
        <w:t>C</w:t>
      </w:r>
      <w:r w:rsidRPr="00E121E0">
        <w:rPr>
          <w:lang w:val="fr-FR"/>
        </w:rPr>
        <w:t xml:space="preserve">omment Resolution on draft Recommendation J.1631 (ex. </w:t>
      </w:r>
      <w:r>
        <w:t>J.cloud-vr-req)</w:t>
      </w:r>
    </w:p>
    <w:p w14:paraId="7369500C" w14:textId="23B378D0" w:rsidR="00FF0620" w:rsidRDefault="00FF0620" w:rsidP="00FF0620">
      <w:pPr>
        <w:rPr>
          <w:lang w:eastAsia="en-US"/>
        </w:rPr>
      </w:pPr>
      <w:r>
        <w:rPr>
          <w:lang w:eastAsia="en-US"/>
        </w:rPr>
        <w:t>The sixth SG9 meeting held in April 2021 consented</w:t>
      </w:r>
      <w:r w:rsidR="00A92EEE">
        <w:rPr>
          <w:lang w:eastAsia="en-US"/>
        </w:rPr>
        <w:t>, among others,</w:t>
      </w:r>
      <w:r>
        <w:rPr>
          <w:lang w:eastAsia="en-US"/>
        </w:rPr>
        <w:t xml:space="preserve"> draft Recommendation </w:t>
      </w:r>
      <w:r w:rsidR="00A92EEE">
        <w:rPr>
          <w:lang w:eastAsia="en-US"/>
        </w:rPr>
        <w:t xml:space="preserve">ITU-T </w:t>
      </w:r>
      <w:r>
        <w:rPr>
          <w:lang w:eastAsia="en-US"/>
        </w:rPr>
        <w:t xml:space="preserve">J.1631 (ex. J.cloud-vr-req). </w:t>
      </w:r>
      <w:r>
        <w:rPr>
          <w:rFonts w:hint="eastAsia"/>
          <w:lang w:eastAsia="en-US"/>
        </w:rPr>
        <w:t>D</w:t>
      </w:r>
      <w:r>
        <w:rPr>
          <w:lang w:eastAsia="en-US"/>
        </w:rPr>
        <w:t xml:space="preserve">uring the last call period (16 May – 12 June 2021), there were four comments submitted by Huawei Technologies Co., Ltd., Deutsche Telekom AG, Orange, </w:t>
      </w:r>
      <w:r w:rsidRPr="00FF0620">
        <w:rPr>
          <w:lang w:eastAsia="en-US"/>
        </w:rPr>
        <w:t>Nippon Telegraph and Telephone Corporation (NTT)</w:t>
      </w:r>
      <w:r w:rsidR="00357CE6">
        <w:rPr>
          <w:lang w:eastAsia="en-US"/>
        </w:rPr>
        <w:t>.</w:t>
      </w:r>
    </w:p>
    <w:p w14:paraId="6FFE6B25" w14:textId="2D1CAFF4" w:rsidR="00357CE6" w:rsidRDefault="00357CE6" w:rsidP="00FF0620">
      <w:pPr>
        <w:rPr>
          <w:lang w:eastAsia="en-US"/>
        </w:rPr>
      </w:pPr>
      <w:r>
        <w:rPr>
          <w:rFonts w:hint="eastAsia"/>
          <w:lang w:eastAsia="en-US"/>
        </w:rPr>
        <w:t>S</w:t>
      </w:r>
      <w:r>
        <w:rPr>
          <w:lang w:eastAsia="en-US"/>
        </w:rPr>
        <w:t xml:space="preserve">G9 Chairman organized a </w:t>
      </w:r>
      <w:r w:rsidR="00A92EEE">
        <w:rPr>
          <w:lang w:eastAsia="en-US"/>
        </w:rPr>
        <w:t xml:space="preserve">Comment Resolution </w:t>
      </w:r>
      <w:r>
        <w:rPr>
          <w:lang w:eastAsia="en-US"/>
        </w:rPr>
        <w:t xml:space="preserve">meeting on 20 August 2021 as per 4.4.2 of Recommendation A.8. Based on consensus reached at the meeting, </w:t>
      </w:r>
      <w:r w:rsidR="00A92EEE">
        <w:rPr>
          <w:lang w:eastAsia="en-US"/>
        </w:rPr>
        <w:t xml:space="preserve">the </w:t>
      </w:r>
      <w:r>
        <w:rPr>
          <w:lang w:eastAsia="en-US"/>
        </w:rPr>
        <w:t xml:space="preserve">compromised text of </w:t>
      </w:r>
      <w:r w:rsidR="00A92EEE">
        <w:rPr>
          <w:lang w:eastAsia="en-US"/>
        </w:rPr>
        <w:t>ITU-T</w:t>
      </w:r>
      <w:r w:rsidR="00535978">
        <w:rPr>
          <w:lang w:eastAsia="en-US"/>
        </w:rPr>
        <w:t xml:space="preserve"> </w:t>
      </w:r>
      <w:r>
        <w:rPr>
          <w:lang w:eastAsia="en-US"/>
        </w:rPr>
        <w:t xml:space="preserve">J.1631 was drafted and circulated </w:t>
      </w:r>
      <w:r w:rsidR="00671FFC">
        <w:rPr>
          <w:lang w:eastAsia="en-US"/>
        </w:rPr>
        <w:t>to the relevant delegates</w:t>
      </w:r>
      <w:r>
        <w:rPr>
          <w:lang w:eastAsia="en-US"/>
        </w:rPr>
        <w:t xml:space="preserve"> for two weeks. </w:t>
      </w:r>
      <w:r w:rsidR="00671FFC">
        <w:rPr>
          <w:lang w:eastAsia="en-US"/>
        </w:rPr>
        <w:t xml:space="preserve">After the reviewing period, on </w:t>
      </w:r>
      <w:r w:rsidR="007645C2">
        <w:rPr>
          <w:lang w:eastAsia="en-US"/>
        </w:rPr>
        <w:t xml:space="preserve">15 </w:t>
      </w:r>
      <w:r w:rsidR="00671FFC">
        <w:rPr>
          <w:lang w:eastAsia="en-US"/>
        </w:rPr>
        <w:t>September 2021, it was agreed that the Comment Resolution was concluded</w:t>
      </w:r>
      <w:r w:rsidR="007645C2">
        <w:rPr>
          <w:lang w:eastAsia="en-US"/>
        </w:rPr>
        <w:t xml:space="preserve"> (see Report at </w:t>
      </w:r>
      <w:hyperlink r:id="rId24" w:history="1">
        <w:r w:rsidR="007645C2" w:rsidRPr="007645C2">
          <w:rPr>
            <w:rStyle w:val="Hyperlink"/>
            <w:rFonts w:ascii="Times New Roman" w:hAnsi="Times New Roman"/>
            <w:lang w:eastAsia="en-US"/>
          </w:rPr>
          <w:t>SG9-TD1212</w:t>
        </w:r>
      </w:hyperlink>
      <w:r w:rsidR="007645C2">
        <w:rPr>
          <w:lang w:eastAsia="en-US"/>
        </w:rPr>
        <w:t>)</w:t>
      </w:r>
      <w:r w:rsidR="00671FFC">
        <w:rPr>
          <w:lang w:eastAsia="en-US"/>
        </w:rPr>
        <w:t xml:space="preserve"> and the latest draft of </w:t>
      </w:r>
      <w:r w:rsidR="007645C2">
        <w:rPr>
          <w:lang w:eastAsia="en-US"/>
        </w:rPr>
        <w:t xml:space="preserve">ITU-T </w:t>
      </w:r>
      <w:r w:rsidR="00671FFC">
        <w:rPr>
          <w:lang w:eastAsia="en-US"/>
        </w:rPr>
        <w:t>J.1631 will be proposed for Approval at the next SG9 meeting planned on 15</w:t>
      </w:r>
      <w:r w:rsidR="00535978">
        <w:rPr>
          <w:lang w:eastAsia="en-US"/>
        </w:rPr>
        <w:t>-</w:t>
      </w:r>
      <w:r w:rsidR="00671FFC">
        <w:rPr>
          <w:lang w:eastAsia="en-US"/>
        </w:rPr>
        <w:t>24 November 2021</w:t>
      </w:r>
      <w:r w:rsidR="00A306B1">
        <w:rPr>
          <w:lang w:eastAsia="en-US"/>
        </w:rPr>
        <w:t xml:space="preserve"> (see latest text of ITU-T J.1631 at </w:t>
      </w:r>
      <w:hyperlink r:id="rId25" w:history="1">
        <w:r w:rsidR="00A306B1" w:rsidRPr="00A306B1">
          <w:rPr>
            <w:rStyle w:val="Hyperlink"/>
            <w:rFonts w:ascii="Times New Roman" w:hAnsi="Times New Roman"/>
            <w:lang w:eastAsia="en-US"/>
          </w:rPr>
          <w:t>SG9-TD1170</w:t>
        </w:r>
      </w:hyperlink>
      <w:r w:rsidR="00A306B1">
        <w:rPr>
          <w:lang w:eastAsia="en-US"/>
        </w:rPr>
        <w:t>)</w:t>
      </w:r>
      <w:r w:rsidR="00671FFC">
        <w:rPr>
          <w:lang w:eastAsia="en-US"/>
        </w:rPr>
        <w:t>.</w:t>
      </w:r>
    </w:p>
    <w:p w14:paraId="2E76CF8C" w14:textId="77777777" w:rsidR="00671FFC" w:rsidRDefault="00671FFC" w:rsidP="00671FFC">
      <w:pPr>
        <w:pStyle w:val="Heading1"/>
      </w:pPr>
      <w:r w:rsidRPr="00D2138B">
        <w:rPr>
          <w:rFonts w:eastAsia="MS Mincho" w:hint="eastAsia"/>
        </w:rPr>
        <w:t>N</w:t>
      </w:r>
      <w:r w:rsidRPr="00D2138B">
        <w:rPr>
          <w:rFonts w:eastAsia="MS Mincho"/>
        </w:rPr>
        <w:t>ext meeting</w:t>
      </w:r>
    </w:p>
    <w:p w14:paraId="3DB1BC65" w14:textId="3B75A024" w:rsidR="00671FFC" w:rsidRPr="00FF0620" w:rsidRDefault="00671FFC" w:rsidP="00671FFC">
      <w:pPr>
        <w:rPr>
          <w:lang w:eastAsia="en-US"/>
        </w:rPr>
      </w:pPr>
      <w:r>
        <w:t>SG9 plans to organize its seventh meeting on 15</w:t>
      </w:r>
      <w:r w:rsidR="00535978">
        <w:t>-</w:t>
      </w:r>
      <w:r>
        <w:t>24 November 2021 fully virtual.</w:t>
      </w:r>
    </w:p>
    <w:p w14:paraId="2F6082F0" w14:textId="77777777" w:rsidR="00794F4F" w:rsidRDefault="00394DBF" w:rsidP="00535978">
      <w:pPr>
        <w:spacing w:before="240" w:after="120"/>
        <w:jc w:val="center"/>
      </w:pPr>
      <w:r>
        <w:t>_______________________</w:t>
      </w:r>
    </w:p>
    <w:sectPr w:rsidR="00794F4F" w:rsidSect="00D53A59">
      <w:headerReference w:type="default" r:id="rId26"/>
      <w:pgSz w:w="11907" w:h="16840" w:code="9"/>
      <w:pgMar w:top="1417" w:right="1134" w:bottom="141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156D4" w14:textId="77777777" w:rsidR="0038509C" w:rsidRDefault="0038509C" w:rsidP="00C42125">
      <w:pPr>
        <w:spacing w:before="0"/>
      </w:pPr>
      <w:r>
        <w:separator/>
      </w:r>
    </w:p>
  </w:endnote>
  <w:endnote w:type="continuationSeparator" w:id="0">
    <w:p w14:paraId="15231B13" w14:textId="77777777" w:rsidR="0038509C" w:rsidRDefault="0038509C"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
    <w:altName w:val="Yu Gothic UI"/>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5FFE5" w14:textId="77777777" w:rsidR="0038509C" w:rsidRDefault="0038509C" w:rsidP="00C42125">
      <w:pPr>
        <w:spacing w:before="0"/>
      </w:pPr>
      <w:r>
        <w:separator/>
      </w:r>
    </w:p>
  </w:footnote>
  <w:footnote w:type="continuationSeparator" w:id="0">
    <w:p w14:paraId="3322B759" w14:textId="77777777" w:rsidR="0038509C" w:rsidRDefault="0038509C"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C9953" w14:textId="14735E17" w:rsidR="005976A1" w:rsidRPr="00D53A59" w:rsidRDefault="00D53A59" w:rsidP="00D53A59">
    <w:pPr>
      <w:pStyle w:val="Header"/>
      <w:rPr>
        <w:sz w:val="18"/>
      </w:rPr>
    </w:pPr>
    <w:r w:rsidRPr="00D53A59">
      <w:rPr>
        <w:sz w:val="18"/>
      </w:rPr>
      <w:t xml:space="preserve">- </w:t>
    </w:r>
    <w:r w:rsidRPr="00D53A59">
      <w:rPr>
        <w:sz w:val="18"/>
      </w:rPr>
      <w:fldChar w:fldCharType="begin"/>
    </w:r>
    <w:r w:rsidRPr="00D53A59">
      <w:rPr>
        <w:sz w:val="18"/>
      </w:rPr>
      <w:instrText xml:space="preserve"> PAGE  \* MERGEFORMAT </w:instrText>
    </w:r>
    <w:r w:rsidRPr="00D53A59">
      <w:rPr>
        <w:sz w:val="18"/>
      </w:rPr>
      <w:fldChar w:fldCharType="separate"/>
    </w:r>
    <w:r w:rsidRPr="00D53A59">
      <w:rPr>
        <w:noProof/>
        <w:sz w:val="18"/>
      </w:rPr>
      <w:t>1</w:t>
    </w:r>
    <w:r w:rsidRPr="00D53A59">
      <w:rPr>
        <w:sz w:val="18"/>
      </w:rPr>
      <w:fldChar w:fldCharType="end"/>
    </w:r>
    <w:r w:rsidRPr="00D53A59">
      <w:rPr>
        <w:sz w:val="18"/>
      </w:rPr>
      <w:t xml:space="preserve"> -</w:t>
    </w:r>
  </w:p>
  <w:p w14:paraId="28ED42C4" w14:textId="6BB81489" w:rsidR="00D53A59" w:rsidRPr="00D53A59" w:rsidRDefault="00D53A59" w:rsidP="00D53A59">
    <w:pPr>
      <w:pStyle w:val="Header"/>
      <w:spacing w:after="240"/>
      <w:rPr>
        <w:sz w:val="18"/>
      </w:rPr>
    </w:pPr>
    <w:r w:rsidRPr="00D53A59">
      <w:rPr>
        <w:sz w:val="18"/>
      </w:rPr>
      <w:fldChar w:fldCharType="begin"/>
    </w:r>
    <w:r w:rsidRPr="00D53A59">
      <w:rPr>
        <w:sz w:val="18"/>
      </w:rPr>
      <w:instrText xml:space="preserve"> STYLEREF  Docnumber  </w:instrText>
    </w:r>
    <w:r w:rsidRPr="00D53A59">
      <w:rPr>
        <w:sz w:val="18"/>
      </w:rPr>
      <w:fldChar w:fldCharType="separate"/>
    </w:r>
    <w:r w:rsidR="004E11E3">
      <w:rPr>
        <w:noProof/>
        <w:sz w:val="18"/>
      </w:rPr>
      <w:t>TSAG-TD1042</w:t>
    </w:r>
    <w:r w:rsidRPr="00D53A59">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8670B2B"/>
    <w:multiLevelType w:val="multilevel"/>
    <w:tmpl w:val="CBCA99D4"/>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69F7666E"/>
    <w:multiLevelType w:val="multilevel"/>
    <w:tmpl w:val="DE3C3BAE"/>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2" w15:restartNumberingAfterBreak="0">
    <w:nsid w:val="7F703081"/>
    <w:multiLevelType w:val="hybridMultilevel"/>
    <w:tmpl w:val="E08E404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899"/>
    <w:rsid w:val="00014F69"/>
    <w:rsid w:val="000171DB"/>
    <w:rsid w:val="00023D9A"/>
    <w:rsid w:val="00026169"/>
    <w:rsid w:val="0003582E"/>
    <w:rsid w:val="00043D75"/>
    <w:rsid w:val="00057000"/>
    <w:rsid w:val="000640E0"/>
    <w:rsid w:val="00086D80"/>
    <w:rsid w:val="000966A8"/>
    <w:rsid w:val="000A0A5C"/>
    <w:rsid w:val="000A5CA2"/>
    <w:rsid w:val="000E002E"/>
    <w:rsid w:val="000E3C61"/>
    <w:rsid w:val="000E3E55"/>
    <w:rsid w:val="000E6083"/>
    <w:rsid w:val="000E6125"/>
    <w:rsid w:val="000F3876"/>
    <w:rsid w:val="00100BAF"/>
    <w:rsid w:val="00113DBE"/>
    <w:rsid w:val="001200A6"/>
    <w:rsid w:val="001251DA"/>
    <w:rsid w:val="00125432"/>
    <w:rsid w:val="00125D3D"/>
    <w:rsid w:val="00136DDD"/>
    <w:rsid w:val="00137F40"/>
    <w:rsid w:val="00144BDF"/>
    <w:rsid w:val="00155DDC"/>
    <w:rsid w:val="00180758"/>
    <w:rsid w:val="001871EC"/>
    <w:rsid w:val="00190A29"/>
    <w:rsid w:val="001A20C3"/>
    <w:rsid w:val="001A670F"/>
    <w:rsid w:val="001B6A45"/>
    <w:rsid w:val="001C1003"/>
    <w:rsid w:val="001C62B8"/>
    <w:rsid w:val="001D22D8"/>
    <w:rsid w:val="001D4296"/>
    <w:rsid w:val="001E7B0E"/>
    <w:rsid w:val="001F141D"/>
    <w:rsid w:val="00200A06"/>
    <w:rsid w:val="00200A98"/>
    <w:rsid w:val="00201AFA"/>
    <w:rsid w:val="002041B2"/>
    <w:rsid w:val="002229F1"/>
    <w:rsid w:val="00233F75"/>
    <w:rsid w:val="00253DBE"/>
    <w:rsid w:val="00253DC6"/>
    <w:rsid w:val="0025489C"/>
    <w:rsid w:val="002622FA"/>
    <w:rsid w:val="00263518"/>
    <w:rsid w:val="002759E7"/>
    <w:rsid w:val="00277326"/>
    <w:rsid w:val="002A11C4"/>
    <w:rsid w:val="002A399B"/>
    <w:rsid w:val="002A3E0A"/>
    <w:rsid w:val="002C26C0"/>
    <w:rsid w:val="002C2BC5"/>
    <w:rsid w:val="002C743C"/>
    <w:rsid w:val="002E0407"/>
    <w:rsid w:val="002E79CB"/>
    <w:rsid w:val="002F0471"/>
    <w:rsid w:val="002F1714"/>
    <w:rsid w:val="002F7F55"/>
    <w:rsid w:val="0030745F"/>
    <w:rsid w:val="00314630"/>
    <w:rsid w:val="0032090A"/>
    <w:rsid w:val="00321CDE"/>
    <w:rsid w:val="00333E15"/>
    <w:rsid w:val="003356A2"/>
    <w:rsid w:val="003571BC"/>
    <w:rsid w:val="00357CE6"/>
    <w:rsid w:val="0036090C"/>
    <w:rsid w:val="00364979"/>
    <w:rsid w:val="0038509C"/>
    <w:rsid w:val="00385B9C"/>
    <w:rsid w:val="00385FB5"/>
    <w:rsid w:val="0038715D"/>
    <w:rsid w:val="00392E84"/>
    <w:rsid w:val="00394DBF"/>
    <w:rsid w:val="003957A6"/>
    <w:rsid w:val="003A43EF"/>
    <w:rsid w:val="003B2AE9"/>
    <w:rsid w:val="003B60A2"/>
    <w:rsid w:val="003C7445"/>
    <w:rsid w:val="003D0762"/>
    <w:rsid w:val="003E39A2"/>
    <w:rsid w:val="003E57AB"/>
    <w:rsid w:val="003F2BED"/>
    <w:rsid w:val="00400B49"/>
    <w:rsid w:val="00443878"/>
    <w:rsid w:val="004539A8"/>
    <w:rsid w:val="004712CA"/>
    <w:rsid w:val="0047422E"/>
    <w:rsid w:val="0049674B"/>
    <w:rsid w:val="004C0673"/>
    <w:rsid w:val="004C4E4E"/>
    <w:rsid w:val="004E0FCD"/>
    <w:rsid w:val="004E11E3"/>
    <w:rsid w:val="004F3816"/>
    <w:rsid w:val="004F500A"/>
    <w:rsid w:val="005126A0"/>
    <w:rsid w:val="00535978"/>
    <w:rsid w:val="00543D41"/>
    <w:rsid w:val="00545472"/>
    <w:rsid w:val="005571A4"/>
    <w:rsid w:val="00566EDA"/>
    <w:rsid w:val="005703C0"/>
    <w:rsid w:val="0057081A"/>
    <w:rsid w:val="00571B4A"/>
    <w:rsid w:val="00572654"/>
    <w:rsid w:val="005976A1"/>
    <w:rsid w:val="005A34E7"/>
    <w:rsid w:val="005B5629"/>
    <w:rsid w:val="005C0300"/>
    <w:rsid w:val="005C27A2"/>
    <w:rsid w:val="005D4FEB"/>
    <w:rsid w:val="005D65ED"/>
    <w:rsid w:val="005E0E6C"/>
    <w:rsid w:val="005F4B6A"/>
    <w:rsid w:val="006010F3"/>
    <w:rsid w:val="00615A0A"/>
    <w:rsid w:val="006333D4"/>
    <w:rsid w:val="006369B2"/>
    <w:rsid w:val="0063718D"/>
    <w:rsid w:val="00647525"/>
    <w:rsid w:val="00647A71"/>
    <w:rsid w:val="006530A8"/>
    <w:rsid w:val="006570B0"/>
    <w:rsid w:val="0066022F"/>
    <w:rsid w:val="00666FA4"/>
    <w:rsid w:val="00671FFC"/>
    <w:rsid w:val="006823F3"/>
    <w:rsid w:val="0069210B"/>
    <w:rsid w:val="00695DD7"/>
    <w:rsid w:val="006A4055"/>
    <w:rsid w:val="006A7C27"/>
    <w:rsid w:val="006B2FE4"/>
    <w:rsid w:val="006B37B0"/>
    <w:rsid w:val="006C5641"/>
    <w:rsid w:val="006D1089"/>
    <w:rsid w:val="006D1B86"/>
    <w:rsid w:val="006D7355"/>
    <w:rsid w:val="006F7DEE"/>
    <w:rsid w:val="00715CA6"/>
    <w:rsid w:val="00731135"/>
    <w:rsid w:val="007324AF"/>
    <w:rsid w:val="007409B4"/>
    <w:rsid w:val="00741974"/>
    <w:rsid w:val="0075525E"/>
    <w:rsid w:val="00756D3D"/>
    <w:rsid w:val="007645C2"/>
    <w:rsid w:val="007806C2"/>
    <w:rsid w:val="00781FEE"/>
    <w:rsid w:val="007903F8"/>
    <w:rsid w:val="00794F4F"/>
    <w:rsid w:val="007974BE"/>
    <w:rsid w:val="007A0916"/>
    <w:rsid w:val="007A0DFD"/>
    <w:rsid w:val="007B7AC8"/>
    <w:rsid w:val="007C7122"/>
    <w:rsid w:val="007D3F11"/>
    <w:rsid w:val="007E2C69"/>
    <w:rsid w:val="007E53E4"/>
    <w:rsid w:val="007E656A"/>
    <w:rsid w:val="007F3CAA"/>
    <w:rsid w:val="007F664D"/>
    <w:rsid w:val="008356A0"/>
    <w:rsid w:val="00837203"/>
    <w:rsid w:val="00842137"/>
    <w:rsid w:val="00853F5F"/>
    <w:rsid w:val="00856C7A"/>
    <w:rsid w:val="008623ED"/>
    <w:rsid w:val="00875AA6"/>
    <w:rsid w:val="00880944"/>
    <w:rsid w:val="0089088E"/>
    <w:rsid w:val="00892297"/>
    <w:rsid w:val="008964D6"/>
    <w:rsid w:val="008B5123"/>
    <w:rsid w:val="008E0172"/>
    <w:rsid w:val="009120E8"/>
    <w:rsid w:val="00936852"/>
    <w:rsid w:val="0094045D"/>
    <w:rsid w:val="009406B5"/>
    <w:rsid w:val="00943817"/>
    <w:rsid w:val="00946166"/>
    <w:rsid w:val="00983164"/>
    <w:rsid w:val="009972EF"/>
    <w:rsid w:val="009B183E"/>
    <w:rsid w:val="009B5035"/>
    <w:rsid w:val="009B68F3"/>
    <w:rsid w:val="009C3160"/>
    <w:rsid w:val="009D1FFC"/>
    <w:rsid w:val="009D4E3E"/>
    <w:rsid w:val="009D644B"/>
    <w:rsid w:val="009E766E"/>
    <w:rsid w:val="009F1960"/>
    <w:rsid w:val="009F4B1A"/>
    <w:rsid w:val="009F715E"/>
    <w:rsid w:val="00A10DBB"/>
    <w:rsid w:val="00A11720"/>
    <w:rsid w:val="00A1497A"/>
    <w:rsid w:val="00A21247"/>
    <w:rsid w:val="00A306B1"/>
    <w:rsid w:val="00A31D47"/>
    <w:rsid w:val="00A4013E"/>
    <w:rsid w:val="00A4045F"/>
    <w:rsid w:val="00A427CD"/>
    <w:rsid w:val="00A45FEE"/>
    <w:rsid w:val="00A4600B"/>
    <w:rsid w:val="00A50506"/>
    <w:rsid w:val="00A51EF0"/>
    <w:rsid w:val="00A67A81"/>
    <w:rsid w:val="00A730A6"/>
    <w:rsid w:val="00A92EEE"/>
    <w:rsid w:val="00A96899"/>
    <w:rsid w:val="00A971A0"/>
    <w:rsid w:val="00AA1186"/>
    <w:rsid w:val="00AA1F22"/>
    <w:rsid w:val="00AB577A"/>
    <w:rsid w:val="00AC5B96"/>
    <w:rsid w:val="00B05821"/>
    <w:rsid w:val="00B100D6"/>
    <w:rsid w:val="00B164C9"/>
    <w:rsid w:val="00B26C28"/>
    <w:rsid w:val="00B4174C"/>
    <w:rsid w:val="00B453F5"/>
    <w:rsid w:val="00B61624"/>
    <w:rsid w:val="00B66481"/>
    <w:rsid w:val="00B7189C"/>
    <w:rsid w:val="00B718A5"/>
    <w:rsid w:val="00B8700E"/>
    <w:rsid w:val="00BA788A"/>
    <w:rsid w:val="00BB4983"/>
    <w:rsid w:val="00BB7597"/>
    <w:rsid w:val="00BC62E2"/>
    <w:rsid w:val="00C42125"/>
    <w:rsid w:val="00C62814"/>
    <w:rsid w:val="00C6643B"/>
    <w:rsid w:val="00C67B25"/>
    <w:rsid w:val="00C748F7"/>
    <w:rsid w:val="00C74937"/>
    <w:rsid w:val="00CB2599"/>
    <w:rsid w:val="00CB469D"/>
    <w:rsid w:val="00CC386F"/>
    <w:rsid w:val="00CD2139"/>
    <w:rsid w:val="00CE5986"/>
    <w:rsid w:val="00D12F90"/>
    <w:rsid w:val="00D26477"/>
    <w:rsid w:val="00D35904"/>
    <w:rsid w:val="00D53A59"/>
    <w:rsid w:val="00D647EF"/>
    <w:rsid w:val="00D73137"/>
    <w:rsid w:val="00D97287"/>
    <w:rsid w:val="00D977A2"/>
    <w:rsid w:val="00DA1D47"/>
    <w:rsid w:val="00DA5281"/>
    <w:rsid w:val="00DB0706"/>
    <w:rsid w:val="00DD1395"/>
    <w:rsid w:val="00DD50DE"/>
    <w:rsid w:val="00DE3062"/>
    <w:rsid w:val="00E0581D"/>
    <w:rsid w:val="00E121E0"/>
    <w:rsid w:val="00E1590B"/>
    <w:rsid w:val="00E1764B"/>
    <w:rsid w:val="00E204DD"/>
    <w:rsid w:val="00E228B7"/>
    <w:rsid w:val="00E353EC"/>
    <w:rsid w:val="00E51F61"/>
    <w:rsid w:val="00E53C24"/>
    <w:rsid w:val="00E56E77"/>
    <w:rsid w:val="00E6524E"/>
    <w:rsid w:val="00EA0BE7"/>
    <w:rsid w:val="00EB444D"/>
    <w:rsid w:val="00EE1A06"/>
    <w:rsid w:val="00EE5C0D"/>
    <w:rsid w:val="00EF4792"/>
    <w:rsid w:val="00F02294"/>
    <w:rsid w:val="00F30DE7"/>
    <w:rsid w:val="00F35F57"/>
    <w:rsid w:val="00F50467"/>
    <w:rsid w:val="00F562A0"/>
    <w:rsid w:val="00F57FA4"/>
    <w:rsid w:val="00F96EAD"/>
    <w:rsid w:val="00FA02CB"/>
    <w:rsid w:val="00FA2177"/>
    <w:rsid w:val="00FB0783"/>
    <w:rsid w:val="00FB7A8B"/>
    <w:rsid w:val="00FC2485"/>
    <w:rsid w:val="00FD439E"/>
    <w:rsid w:val="00FD76CB"/>
    <w:rsid w:val="00FE152B"/>
    <w:rsid w:val="00FE239E"/>
    <w:rsid w:val="00FF0620"/>
    <w:rsid w:val="00FF1151"/>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9F28699"/>
  <w15:chartTrackingRefBased/>
  <w15:docId w15:val="{771BBDFE-E432-4368-8E63-B6D99736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5ED"/>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D65ED"/>
    <w:pPr>
      <w:keepNext/>
      <w:keepLines/>
      <w:numPr>
        <w:numId w:val="12"/>
      </w:numPr>
      <w:tabs>
        <w:tab w:val="left" w:pos="794"/>
        <w:tab w:val="left" w:pos="1191"/>
        <w:tab w:val="left" w:pos="1588"/>
        <w:tab w:val="left" w:pos="1985"/>
      </w:tabs>
      <w:overflowPunct w:val="0"/>
      <w:autoSpaceDE w:val="0"/>
      <w:autoSpaceDN w:val="0"/>
      <w:adjustRightInd w:val="0"/>
      <w:spacing w:before="360"/>
      <w:textAlignment w:val="baseline"/>
      <w:outlineLvl w:val="0"/>
    </w:pPr>
    <w:rPr>
      <w:rFonts w:eastAsia="Times New Roman"/>
      <w:b/>
      <w:szCs w:val="20"/>
      <w:lang w:eastAsia="en-US"/>
    </w:rPr>
  </w:style>
  <w:style w:type="paragraph" w:styleId="Heading2">
    <w:name w:val="heading 2"/>
    <w:basedOn w:val="Heading1"/>
    <w:next w:val="Normal"/>
    <w:link w:val="Heading2Char"/>
    <w:rsid w:val="005D65ED"/>
    <w:pPr>
      <w:numPr>
        <w:ilvl w:val="1"/>
      </w:numPr>
      <w:spacing w:before="240"/>
      <w:outlineLvl w:val="1"/>
    </w:pPr>
  </w:style>
  <w:style w:type="paragraph" w:styleId="Heading3">
    <w:name w:val="heading 3"/>
    <w:basedOn w:val="Heading1"/>
    <w:next w:val="Normal"/>
    <w:link w:val="Heading3Char"/>
    <w:rsid w:val="005D65ED"/>
    <w:pPr>
      <w:numPr>
        <w:ilvl w:val="2"/>
      </w:numPr>
      <w:spacing w:before="160"/>
      <w:outlineLvl w:val="2"/>
    </w:pPr>
  </w:style>
  <w:style w:type="paragraph" w:styleId="Heading4">
    <w:name w:val="heading 4"/>
    <w:basedOn w:val="Heading3"/>
    <w:next w:val="Normal"/>
    <w:link w:val="Heading4Char"/>
    <w:qFormat/>
    <w:rsid w:val="005D65ED"/>
    <w:pPr>
      <w:tabs>
        <w:tab w:val="clear" w:pos="794"/>
        <w:tab w:val="left" w:pos="1021"/>
      </w:tabs>
      <w:ind w:left="1021" w:hanging="1021"/>
      <w:outlineLvl w:val="3"/>
    </w:pPr>
  </w:style>
  <w:style w:type="paragraph" w:styleId="Heading5">
    <w:name w:val="heading 5"/>
    <w:basedOn w:val="Heading4"/>
    <w:next w:val="Normal"/>
    <w:link w:val="Heading5Char"/>
    <w:qFormat/>
    <w:rsid w:val="005D65ED"/>
    <w:pPr>
      <w:outlineLvl w:val="4"/>
    </w:pPr>
  </w:style>
  <w:style w:type="paragraph" w:styleId="Heading6">
    <w:name w:val="heading 6"/>
    <w:basedOn w:val="Heading4"/>
    <w:next w:val="Normal"/>
    <w:link w:val="Heading6Char"/>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qFormat/>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5D65ED"/>
  </w:style>
  <w:style w:type="paragraph" w:customStyle="1" w:styleId="CorrectionSeparatorBegin">
    <w:name w:val="Correction Separator Begin"/>
    <w:basedOn w:val="Normal"/>
    <w:rsid w:val="005D65ED"/>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5D65ED"/>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5D65ED"/>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5D65ED"/>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D65ED"/>
    <w:rPr>
      <w:rFonts w:eastAsiaTheme="minorEastAsia"/>
      <w:b/>
      <w:bCs/>
      <w:lang w:eastAsia="ja-JP"/>
    </w:rPr>
  </w:style>
  <w:style w:type="paragraph" w:customStyle="1" w:styleId="Normalbeforetable">
    <w:name w:val="Normal before table"/>
    <w:basedOn w:val="Normal"/>
    <w:rsid w:val="005D65ED"/>
    <w:pPr>
      <w:keepNext/>
      <w:spacing w:after="120"/>
    </w:pPr>
    <w:rPr>
      <w:rFonts w:eastAsia="????"/>
      <w:lang w:eastAsia="en-US"/>
    </w:rPr>
  </w:style>
  <w:style w:type="paragraph" w:customStyle="1" w:styleId="RecNo">
    <w:name w:val="Rec_No"/>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5D65ED"/>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5D65E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5D65ED"/>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link w:val="TabletextChar"/>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5D65ED"/>
    <w:pPr>
      <w:tabs>
        <w:tab w:val="right" w:leader="dot" w:pos="9639"/>
      </w:tabs>
    </w:pPr>
    <w:rPr>
      <w:rFonts w:eastAsia="MS Mincho"/>
    </w:rPr>
  </w:style>
  <w:style w:type="paragraph" w:styleId="TOC1">
    <w:name w:val="toc 1"/>
    <w:basedOn w:val="Normal"/>
    <w:rsid w:val="005D65ED"/>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5D65ED"/>
    <w:pPr>
      <w:tabs>
        <w:tab w:val="clear" w:pos="964"/>
      </w:tabs>
      <w:spacing w:before="80"/>
      <w:ind w:left="1531" w:hanging="851"/>
    </w:pPr>
  </w:style>
  <w:style w:type="paragraph" w:styleId="TOC3">
    <w:name w:val="toc 3"/>
    <w:basedOn w:val="TOC2"/>
    <w:rsid w:val="005D65ED"/>
    <w:pPr>
      <w:ind w:left="2269"/>
    </w:pPr>
  </w:style>
  <w:style w:type="character" w:styleId="Hyperlink">
    <w:name w:val="Hyperlink"/>
    <w:aliases w:val="超级链接"/>
    <w:basedOn w:val="DefaultParagraphFont"/>
    <w:uiPriority w:val="99"/>
    <w:rsid w:val="005D65ED"/>
    <w:rPr>
      <w:rFonts w:asciiTheme="majorBidi" w:hAnsiTheme="majorBidi"/>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unhideWhenUsed/>
    <w:rsid w:val="005D65ED"/>
    <w:pPr>
      <w:spacing w:before="0" w:after="200"/>
    </w:pPr>
    <w:rPr>
      <w:i/>
      <w:iCs/>
      <w:color w:val="44546A" w:themeColor="text2"/>
      <w:sz w:val="18"/>
      <w:szCs w:val="18"/>
    </w:rPr>
  </w:style>
  <w:style w:type="paragraph" w:styleId="Header">
    <w:name w:val="header"/>
    <w:basedOn w:val="Normal"/>
    <w:link w:val="HeaderChar"/>
    <w:unhideWhenUsed/>
    <w:rsid w:val="005D65ED"/>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5D65ED"/>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uiPriority w:val="99"/>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paragraph" w:customStyle="1" w:styleId="Default">
    <w:name w:val="Default"/>
    <w:rsid w:val="000F387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D4E3E"/>
    <w:pPr>
      <w:ind w:leftChars="400" w:left="720"/>
    </w:pPr>
  </w:style>
  <w:style w:type="character" w:styleId="UnresolvedMention">
    <w:name w:val="Unresolved Mention"/>
    <w:basedOn w:val="DefaultParagraphFont"/>
    <w:uiPriority w:val="99"/>
    <w:semiHidden/>
    <w:unhideWhenUsed/>
    <w:rsid w:val="002A3E0A"/>
    <w:rPr>
      <w:color w:val="605E5C"/>
      <w:shd w:val="clear" w:color="auto" w:fill="E1DFDD"/>
    </w:rPr>
  </w:style>
  <w:style w:type="character" w:customStyle="1" w:styleId="TabletextChar">
    <w:name w:val="Table_text Char"/>
    <w:basedOn w:val="DefaultParagraphFont"/>
    <w:link w:val="Tabletext"/>
    <w:locked/>
    <w:rsid w:val="00A92EEE"/>
    <w:rPr>
      <w:rFonts w:ascii="Times New Roman" w:eastAsia="Times New Roman" w:hAnsi="Times New Roman" w:cs="Times New Roman"/>
      <w:szCs w:val="20"/>
      <w:lang w:val="en-GB" w:eastAsia="en-US"/>
    </w:rPr>
  </w:style>
  <w:style w:type="table" w:styleId="TableGrid">
    <w:name w:val="Table Grid"/>
    <w:basedOn w:val="TableNormal"/>
    <w:uiPriority w:val="39"/>
    <w:rsid w:val="00A92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5978"/>
    <w:rPr>
      <w:sz w:val="16"/>
      <w:szCs w:val="16"/>
    </w:rPr>
  </w:style>
  <w:style w:type="paragraph" w:styleId="CommentText">
    <w:name w:val="annotation text"/>
    <w:basedOn w:val="Normal"/>
    <w:link w:val="CommentTextChar"/>
    <w:uiPriority w:val="99"/>
    <w:semiHidden/>
    <w:unhideWhenUsed/>
    <w:rsid w:val="00535978"/>
    <w:rPr>
      <w:sz w:val="20"/>
      <w:szCs w:val="20"/>
    </w:rPr>
  </w:style>
  <w:style w:type="character" w:customStyle="1" w:styleId="CommentTextChar">
    <w:name w:val="Comment Text Char"/>
    <w:basedOn w:val="DefaultParagraphFont"/>
    <w:link w:val="CommentText"/>
    <w:uiPriority w:val="99"/>
    <w:semiHidden/>
    <w:rsid w:val="00535978"/>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535978"/>
    <w:rPr>
      <w:b/>
      <w:bCs/>
    </w:rPr>
  </w:style>
  <w:style w:type="character" w:customStyle="1" w:styleId="CommentSubjectChar">
    <w:name w:val="Comment Subject Char"/>
    <w:basedOn w:val="CommentTextChar"/>
    <w:link w:val="CommentSubject"/>
    <w:uiPriority w:val="99"/>
    <w:semiHidden/>
    <w:rsid w:val="00535978"/>
    <w:rPr>
      <w:rFonts w:ascii="Times New Roman" w:hAnsi="Times New Roman" w:cs="Times New Roman"/>
      <w:b/>
      <w:bCs/>
      <w:sz w:val="20"/>
      <w:szCs w:val="20"/>
      <w:lang w:val="en-GB" w:eastAsia="ja-JP"/>
    </w:rPr>
  </w:style>
  <w:style w:type="character" w:styleId="FollowedHyperlink">
    <w:name w:val="FollowedHyperlink"/>
    <w:basedOn w:val="DefaultParagraphFont"/>
    <w:uiPriority w:val="99"/>
    <w:semiHidden/>
    <w:unhideWhenUsed/>
    <w:rsid w:val="00C664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78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tu.zoom.us/rec/play/uaUrhi6GW41dQdBVLxfYil4H5UMWSR05_TlL0vY5up6rG6IsWuPHsPt0_hKhVYfBVYRSU4CC6fi1GSMt.80YH7N8yMCHCaqGd?autoplay=true&amp;startTime=1619157405000" TargetMode="External"/><Relationship Id="rId18" Type="http://schemas.openxmlformats.org/officeDocument/2006/relationships/hyperlink" Target="https://www.itu.int/md/meetingdoc.asp?lang=en&amp;parent=T17-SG09-210419-TD-GEN-1101"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itu.int/md/meetingdoc.asp?lang=en&amp;parent=T17-SG09-210419-TD-GEN-1100" TargetMode="External"/><Relationship Id="rId7" Type="http://schemas.openxmlformats.org/officeDocument/2006/relationships/webSettings" Target="webSettings.xml"/><Relationship Id="rId12" Type="http://schemas.openxmlformats.org/officeDocument/2006/relationships/hyperlink" Target="https://www.itu.int/en/ITU-T/Workshops-and-Seminars/202004/Pages/default.aspx" TargetMode="External"/><Relationship Id="rId17" Type="http://schemas.openxmlformats.org/officeDocument/2006/relationships/hyperlink" Target="https://www.itu.int/md/meetingdoc.asp?lang=en&amp;parent=T17-SG09-210419-TD-GEN-1118" TargetMode="External"/><Relationship Id="rId25" Type="http://schemas.openxmlformats.org/officeDocument/2006/relationships/hyperlink" Target="https://www.itu.int/md/T17-SG09-211115-TD-GEN-1170/en" TargetMode="External"/><Relationship Id="rId2" Type="http://schemas.openxmlformats.org/officeDocument/2006/relationships/customXml" Target="../customXml/item2.xml"/><Relationship Id="rId16" Type="http://schemas.openxmlformats.org/officeDocument/2006/relationships/hyperlink" Target="https://www.itu.int/md/meetingdoc.asp?lang=en&amp;parent=T17-SG09-210419-TD-GEN-1127" TargetMode="External"/><Relationship Id="rId20" Type="http://schemas.openxmlformats.org/officeDocument/2006/relationships/hyperlink" Target="https://www.itu.int/md/meetingdoc.asp?lang=en&amp;parent=T17-SG09-210419-TD-GEN-112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miyaji@kddi.com" TargetMode="External"/><Relationship Id="rId24" Type="http://schemas.openxmlformats.org/officeDocument/2006/relationships/hyperlink" Target="https://www.itu.int/md/meetingdoc.asp?lang=en&amp;parent=T17-SG09-211115-TD-GEN-1212" TargetMode="External"/><Relationship Id="rId5" Type="http://schemas.openxmlformats.org/officeDocument/2006/relationships/styles" Target="styles.xml"/><Relationship Id="rId15" Type="http://schemas.openxmlformats.org/officeDocument/2006/relationships/hyperlink" Target="https://www.itu.int/md/meetingdoc.asp?lang=en&amp;parent=T17-SG09-210419-TD-GEN-1103" TargetMode="External"/><Relationship Id="rId23" Type="http://schemas.openxmlformats.org/officeDocument/2006/relationships/hyperlink" Target="https://www.itu.int/md/meetingdoc.asp?lang=en&amp;parent=T17-TSAG-211025-TD-GEN-1094" TargetMode="External"/><Relationship Id="rId28" Type="http://schemas.openxmlformats.org/officeDocument/2006/relationships/glossaryDocument" Target="glossary/document.xml"/><Relationship Id="rId10" Type="http://schemas.openxmlformats.org/officeDocument/2006/relationships/image" Target="media/image1.gif"/><Relationship Id="rId19" Type="http://schemas.openxmlformats.org/officeDocument/2006/relationships/hyperlink" Target="https://www.itu.int/md/meetingdoc.asp?lang=en&amp;parent=T17-SG09-210419-TD-GEN-110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md/meetingdoc.asp?lang=en&amp;parent=T17-SG09-210419-TD-GEN-1110" TargetMode="External"/><Relationship Id="rId22" Type="http://schemas.openxmlformats.org/officeDocument/2006/relationships/hyperlink" Target="https://www.itu.int/md/meetingdoc.asp?lang=en&amp;parent=T17-SG09-210419-TD-GEN-0998"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r\campos\_acloud\Dropbox\Work\T17-Templates\StudyGroup_Document-v201704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1B5E6354D743CBB3191FC91212D428"/>
        <w:category>
          <w:name w:val="General"/>
          <w:gallery w:val="placeholder"/>
        </w:category>
        <w:types>
          <w:type w:val="bbPlcHdr"/>
        </w:types>
        <w:behaviors>
          <w:behavior w:val="content"/>
        </w:behaviors>
        <w:guid w:val="{E20C64AD-AB73-4F4B-BB55-A0723FC13AF1}"/>
      </w:docPartPr>
      <w:docPartBody>
        <w:p w:rsidR="006760FA" w:rsidRDefault="00FE399B">
          <w:pPr>
            <w:pStyle w:val="A91B5E6354D743CBB3191FC91212D428"/>
          </w:pPr>
          <w:r w:rsidRPr="001229A4">
            <w:rPr>
              <w:rStyle w:val="PlaceholderText"/>
            </w:rPr>
            <w:t>Click here to enter text.</w:t>
          </w:r>
        </w:p>
      </w:docPartBody>
    </w:docPart>
    <w:docPart>
      <w:docPartPr>
        <w:name w:val="437903216CDF42D8AFCFCB5DAA1ABCBD"/>
        <w:category>
          <w:name w:val="General"/>
          <w:gallery w:val="placeholder"/>
        </w:category>
        <w:types>
          <w:type w:val="bbPlcHdr"/>
        </w:types>
        <w:behaviors>
          <w:behavior w:val="content"/>
        </w:behaviors>
        <w:guid w:val="{94288A4E-4847-41EC-8A1A-8F7500FF6FAB}"/>
      </w:docPartPr>
      <w:docPartBody>
        <w:p w:rsidR="006760FA" w:rsidRDefault="00FE399B">
          <w:pPr>
            <w:pStyle w:val="437903216CDF42D8AFCFCB5DAA1ABCBD"/>
          </w:pPr>
          <w:r w:rsidRPr="001229A4">
            <w:rPr>
              <w:rStyle w:val="PlaceholderText"/>
            </w:rPr>
            <w:t>Click here to enter text.</w:t>
          </w:r>
        </w:p>
      </w:docPartBody>
    </w:docPart>
    <w:docPart>
      <w:docPartPr>
        <w:name w:val="C259800AD439456F86001229E9F6B8CD"/>
        <w:category>
          <w:name w:val="General"/>
          <w:gallery w:val="placeholder"/>
        </w:category>
        <w:types>
          <w:type w:val="bbPlcHdr"/>
        </w:types>
        <w:behaviors>
          <w:behavior w:val="content"/>
        </w:behaviors>
        <w:guid w:val="{04CF0DCB-494C-42D1-836F-773D20172C47}"/>
      </w:docPartPr>
      <w:docPartBody>
        <w:p w:rsidR="006760FA" w:rsidRDefault="00FE399B">
          <w:pPr>
            <w:pStyle w:val="C259800AD439456F86001229E9F6B8CD"/>
          </w:pPr>
          <w:r w:rsidRPr="00136DDD">
            <w:rPr>
              <w:rStyle w:val="PlaceholderText"/>
            </w:rPr>
            <w:t>Insert keywords separated by semicolon (;)</w:t>
          </w:r>
        </w:p>
      </w:docPartBody>
    </w:docPart>
    <w:docPart>
      <w:docPartPr>
        <w:name w:val="492BE26494BC4227B909FEB578E10484"/>
        <w:category>
          <w:name w:val="General"/>
          <w:gallery w:val="placeholder"/>
        </w:category>
        <w:types>
          <w:type w:val="bbPlcHdr"/>
        </w:types>
        <w:behaviors>
          <w:behavior w:val="content"/>
        </w:behaviors>
        <w:guid w:val="{902D594D-3570-4461-A16E-8834FE2D6B47}"/>
      </w:docPartPr>
      <w:docPartBody>
        <w:p w:rsidR="006760FA" w:rsidRDefault="00FE399B">
          <w:pPr>
            <w:pStyle w:val="492BE26494BC4227B909FEB578E10484"/>
          </w:pPr>
          <w:r w:rsidRPr="00136DDD">
            <w:rPr>
              <w:rStyle w:val="PlaceholderText"/>
            </w:rPr>
            <w:t>Insert an abstract under 200 words that describes the content of the document, including a clear description of any proposals it may contain.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
    <w:altName w:val="Yu Gothic UI"/>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99B"/>
    <w:rsid w:val="006760FA"/>
    <w:rsid w:val="00D1695D"/>
    <w:rsid w:val="00FE39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60FA"/>
    <w:rPr>
      <w:rFonts w:ascii="Times New Roman" w:hAnsi="Times New Roman"/>
      <w:color w:val="808080"/>
    </w:rPr>
  </w:style>
  <w:style w:type="paragraph" w:customStyle="1" w:styleId="A91B5E6354D743CBB3191FC91212D428">
    <w:name w:val="A91B5E6354D743CBB3191FC91212D428"/>
  </w:style>
  <w:style w:type="paragraph" w:customStyle="1" w:styleId="437903216CDF42D8AFCFCB5DAA1ABCBD">
    <w:name w:val="437903216CDF42D8AFCFCB5DAA1ABCBD"/>
  </w:style>
  <w:style w:type="paragraph" w:customStyle="1" w:styleId="C259800AD439456F86001229E9F6B8CD">
    <w:name w:val="C259800AD439456F86001229E9F6B8CD"/>
  </w:style>
  <w:style w:type="paragraph" w:customStyle="1" w:styleId="492BE26494BC4227B909FEB578E10484">
    <w:name w:val="492BE26494BC4227B909FEB578E104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gmtgdoc" ma:contentTypeID="0x01010072A901B997EC694AA911983CD90730E7007F0A6DBBFCF81C42B058037CF5C154B4" ma:contentTypeVersion="0" ma:contentTypeDescription="" ma:contentTypeScope="" ma:versionID="b38c0ae08faba23d7c6abeffb8399391">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5d3a130ecb8803d657ebbd11a257378a"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1" minOccurs="0"/>
                <xsd:element ref="ns2:SourceRGM" minOccurs="0"/>
                <xsd:element ref="ns2:Abstract" minOccurs="0"/>
                <xsd:element ref="ns2:Observations" minOccurs="0"/>
                <xsd:element ref="ns2:DocStatus" minOccurs="0"/>
                <xsd:element ref="ns2:IsReservedDoc" minOccurs="0"/>
                <xsd:element ref="ns2:IsRevision" minOccurs="0"/>
                <xsd:element ref="ns2:IsAttachment" minOccurs="0"/>
                <xsd:element ref="ns2:IsTooLateSubmitted"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DocumentSource" minOccurs="0"/>
                <xsd:element ref="ns2:IsUpdated" minOccurs="0"/>
                <xsd:element ref="ns2:DocStatus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DOC"/>
        </xsd:restriction>
      </xsd:simpleType>
    </xsd:element>
    <xsd:element name="Purpose1" ma:index="5" nillable="true" ma:displayName="Purpose" ma:default="Other" ma:format="Dropdown" ma:internalName="Purpose1">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Status" ma:index="11" nillable="true" ma:displayName="DocStatus" ma:default="pending" ma:format="Dropdown" ma:internalName="DocStatus">
      <xsd:simpleType>
        <xsd:restriction base="dms:Choice">
          <xsd:enumeration value="pending"/>
          <xsd:enumeration value="accepted"/>
          <xsd:enumeration value="rejected/withdrawn"/>
          <xsd:enumeration value="accepted (late)"/>
        </xsd:restriction>
      </xsd:simpleType>
    </xsd:element>
    <xsd:element name="IsReservedDoc" ma:index="12" nillable="true" ma:displayName="IsReservedDoc" ma:default="0" ma:internalName="IsReservedDoc">
      <xsd:simpleType>
        <xsd:restriction base="dms:Boolean"/>
      </xsd:simpleType>
    </xsd:element>
    <xsd:element name="IsRevision" ma:index="13" nillable="true" ma:displayName="IsRevision" ma:default="0" ma:description="Yes if document is a revision" ma:internalName="IsRevision">
      <xsd:simpleType>
        <xsd:restriction base="dms:Boolean"/>
      </xsd:simpleType>
    </xsd:element>
    <xsd:element name="IsAttachment" ma:index="14" nillable="true" ma:displayName="IsAttachment" ma:default="0" ma:internalName="IsAttachment">
      <xsd:simpleType>
        <xsd:restriction base="dms:Boolean"/>
      </xsd:simpleType>
    </xsd:element>
    <xsd:element name="IsTooLateSubmitted" ma:index="15" nillable="true" ma:displayName="IsTooLateSubmitted" ma:default="0" ma:description="Check if the document is submitted after the deadline" ma:internalName="IsTooLateSubmitted">
      <xsd:simpleType>
        <xsd:restriction base="dms:Boolea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internalName="Meeting" ma:readOnly="false" ma:showField="Title">
      <xsd:simpleType>
        <xsd:restriction base="dms:Lookup"/>
      </xsd:simpleType>
    </xsd:element>
    <xsd:element name="StudyGroup" ma:index="23" nillable="true" ma:displayName="StudyGroup" ma:internalName="StudyGroup" ma:readOnly="false" ma:showField="Title">
      <xsd:simpleType>
        <xsd:restriction base="dms:Lookup"/>
      </xsd:simpleType>
    </xsd:element>
    <xsd:element name="DocumentSource" ma:index="24" nillable="true" ma:displayName="DocumentSource" ma:internalName="DocumentSource">
      <xsd:simpleType>
        <xsd:restriction base="dms:Text">
          <xsd:maxLength value="255"/>
        </xsd:restriction>
      </xsd:simpleType>
    </xsd:element>
    <xsd:element name="IsUpdated" ma:index="25" nillable="true" ma:displayName="IsUpdated" ma:default="0" ma:internalName="IsUpdated">
      <xsd:simpleType>
        <xsd:restriction base="dms:Boolean"/>
      </xsd:simpleType>
    </xsd:element>
    <xsd:element name="DocStatusText" ma:index="36" nillable="true" ma:displayName="DocStatusText" ma:internalName="DocStatus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When xmlns="3f6fad35-1f81-480e-a4e5-6e5474dcfb96" xsi:nil="true"/>
    <Meeting xmlns="3f6fad35-1f81-480e-a4e5-6e5474dcfb96" xsi:nil="true"/>
    <IsReservedDoc xmlns="3f6fad35-1f81-480e-a4e5-6e5474dcfb96">false</IsReservedDoc>
    <SgText xmlns="3f6fad35-1f81-480e-a4e5-6e5474dcfb96">TSAG</SgText>
    <IsRevision xmlns="3f6fad35-1f81-480e-a4e5-6e5474dcfb96">false</IsRevision>
    <Purpose1 xmlns="3f6fad35-1f81-480e-a4e5-6e5474dcfb96">Information</Purpose1>
    <Abstract xmlns="3f6fad35-1f81-480e-a4e5-6e5474dcfb96">This TD provides the SG9 report for lead study group activities on integrated broadband cable and television networks.</Abstract>
    <SourceRGM xmlns="3f6fad35-1f81-480e-a4e5-6e5474dcfb96" xsi:nil="true"/>
    <DocStatus xmlns="3f6fad35-1f81-480e-a4e5-6e5474dcfb96">pending</DocStatus>
    <IsAttachment xmlns="3f6fad35-1f81-480e-a4e5-6e5474dcfb96">false</IsAttachment>
    <StudyGroup xmlns="3f6fad35-1f81-480e-a4e5-6e5474dcfb96" xsi:nil="true"/>
    <DocType xmlns="3f6fad35-1f81-480e-a4e5-6e5474dcfb96">TD</DocType>
    <QuestionText xmlns="3f6fad35-1f81-480e-a4e5-6e5474dcfb96">N/A</QuestionText>
    <DocTypeText xmlns="3f6fad35-1f81-480e-a4e5-6e5474dcfb96">CONTRIBUTION</DocTypeText>
    <CategoryDescription xmlns="http://schemas.microsoft.com/sharepoint.v3" xsi:nil="true"/>
    <ShortName xmlns="3f6fad35-1f81-480e-a4e5-6e5474dcfb96"/>
    <Place xmlns="3f6fad35-1f81-480e-a4e5-6e5474dcfb96">Virtual, 25 – 29 October 2021</Place>
    <IsTooLateSubmitted xmlns="3f6fad35-1f81-480e-a4e5-6e5474dcfb96">false</IsTooLateSubmitted>
    <Observations xmlns="3f6fad35-1f81-480e-a4e5-6e5474dcfb96" xsi:nil="true"/>
    <DocumentSource xmlns="3f6fad35-1f81-480e-a4e5-6e5474dcfb96">Chairman, ITU-T SG9</DocumentSource>
    <IsUpdated xmlns="3f6fad35-1f81-480e-a4e5-6e5474dcfb96">false</IsUpdated>
    <DocStatusText xmlns="3f6fad35-1f81-480e-a4e5-6e5474dcfb96" xsi:nil="true"/>
  </documentManagement>
</p:properties>
</file>

<file path=customXml/itemProps1.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2.xml><?xml version="1.0" encoding="utf-8"?>
<ds:datastoreItem xmlns:ds="http://schemas.openxmlformats.org/officeDocument/2006/customXml" ds:itemID="{15D33395-2A06-47C4-8E8C-930225F12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8523CC-DEB2-463D-9A27-DF0B8D2CAEC3}">
  <ds:schemaRefs>
    <ds:schemaRef ds:uri="http://schemas.microsoft.com/office/2006/documentManagement/types"/>
    <ds:schemaRef ds:uri="http://schemas.microsoft.com/sharepoint.v3"/>
    <ds:schemaRef ds:uri="http://www.w3.org/XML/1998/namespace"/>
    <ds:schemaRef ds:uri="http://schemas.microsoft.com/office/infopath/2007/PartnerControls"/>
    <ds:schemaRef ds:uri="3f6fad35-1f81-480e-a4e5-6e5474dcfb96"/>
    <ds:schemaRef ds:uri="http://purl.org/dc/elements/1.1/"/>
    <ds:schemaRef ds:uri="http://purl.org/dc/term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StudyGroup_Document-v20170405.dotx</Template>
  <TotalTime>1</TotalTime>
  <Pages>4</Pages>
  <Words>1571</Words>
  <Characters>8959</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ITU-T SG9 Lead Study Group Report</vt:lpstr>
    </vt:vector>
  </TitlesOfParts>
  <Manager>ITU-T</Manager>
  <Company>International Telecommunication Union (ITU)</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SG9 Lead Study Group Report</dc:title>
  <dc:subject/>
  <dc:creator>Chairman, ITU-T SG9</dc:creator>
  <cp:keywords>Study Group 9; report;</cp:keywords>
  <dc:description>TSAG-TD  For: E-meeting, 25-29 October 2021_x000d_Document date: _x000d_Saved by ITU51014266 at 13:12:06 on 13.10.2021</dc:description>
  <cp:lastModifiedBy>Al-Mnini, Lara</cp:lastModifiedBy>
  <cp:revision>2</cp:revision>
  <cp:lastPrinted>2016-12-23T12:52:00Z</cp:lastPrinted>
  <dcterms:created xsi:type="dcterms:W3CDTF">2021-10-13T13:47:00Z</dcterms:created>
  <dcterms:modified xsi:type="dcterms:W3CDTF">2021-10-13T13:47:00Z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vt:lpwstr>
  </property>
  <property fmtid="{D5CDD505-2E9C-101B-9397-08002B2CF9AE}" pid="3" name="Docdate">
    <vt:lpwstr/>
  </property>
  <property fmtid="{D5CDD505-2E9C-101B-9397-08002B2CF9AE}" pid="4" name="Docorlang">
    <vt:lpwstr/>
  </property>
  <property fmtid="{D5CDD505-2E9C-101B-9397-08002B2CF9AE}" pid="5" name="Docbluepink">
    <vt:lpwstr>N/A</vt:lpwstr>
  </property>
  <property fmtid="{D5CDD505-2E9C-101B-9397-08002B2CF9AE}" pid="6" name="Docdest">
    <vt:lpwstr>E-meeting, 25-29 October 2021</vt:lpwstr>
  </property>
  <property fmtid="{D5CDD505-2E9C-101B-9397-08002B2CF9AE}" pid="7" name="Docauthor">
    <vt:lpwstr>Chairman, ITU-T SG9</vt:lpwstr>
  </property>
</Properties>
</file>