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val="en-US" w:eastAsia="en-US"/>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58C4E1A9" w:rsidR="00691C94" w:rsidRPr="00314630" w:rsidRDefault="00880FD7" w:rsidP="00B2510D">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B2510D">
                  <w:rPr>
                    <w:lang w:val="en-US"/>
                  </w:rPr>
                  <w:t>TSAG</w:t>
                </w:r>
                <w:r w:rsidR="00B815E1" w:rsidRPr="00B2510D">
                  <w:rPr>
                    <w:lang w:val="en-US"/>
                  </w:rPr>
                  <w:t>-</w:t>
                </w:r>
                <w:r w:rsidR="00B2510D" w:rsidRPr="00B2510D">
                  <w:rPr>
                    <w:lang w:val="en-US"/>
                  </w:rPr>
                  <w:t>TD1150</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9E38C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2269986C" w:rsidR="00691C94" w:rsidRPr="0037415F" w:rsidRDefault="00B2510D" w:rsidP="001D6D84">
                <w:r>
                  <w:t>N/A</w:t>
                </w:r>
              </w:p>
            </w:tc>
          </w:sdtContent>
        </w:sdt>
        <w:tc>
          <w:tcPr>
            <w:tcW w:w="4395" w:type="dxa"/>
            <w:gridSpan w:val="2"/>
          </w:tcPr>
          <w:p w14:paraId="31155891" w14:textId="09111C77" w:rsidR="00691C94" w:rsidRPr="009E38CF" w:rsidRDefault="00880FD7" w:rsidP="00691C94">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9E38CF" w:rsidRPr="009E38CF">
                  <w:t>E-meet</w:t>
                </w:r>
                <w:r w:rsidR="009E38CF">
                  <w:t xml:space="preserve">ing </w:t>
                </w:r>
              </w:sdtContent>
            </w:sdt>
            <w:r w:rsidR="00691C94" w:rsidRPr="009E38CF">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E38CF">
                  <w:t>25-29 October 2021</w:t>
                </w:r>
              </w:sdtContent>
            </w:sdt>
          </w:p>
        </w:tc>
      </w:tr>
      <w:bookmarkEnd w:id="2"/>
      <w:tr w:rsidR="00691C94" w:rsidRPr="00A4045F" w14:paraId="345A6F48" w14:textId="77777777" w:rsidTr="00BC1FAE">
        <w:trPr>
          <w:cantSplit/>
          <w:jc w:val="center"/>
        </w:trPr>
        <w:tc>
          <w:tcPr>
            <w:tcW w:w="9640" w:type="dxa"/>
            <w:gridSpan w:val="6"/>
          </w:tcPr>
          <w:p w14:paraId="0C4E5689" w14:textId="683C9266" w:rsidR="00691C94" w:rsidRPr="007E656A" w:rsidRDefault="00880FD7" w:rsidP="00B2510D">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B2510D">
                  <w:rPr>
                    <w:b/>
                    <w:bCs/>
                  </w:rPr>
                  <w:t>TD</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61898F02" w:rsidR="00691C94" w:rsidRDefault="009E38CF" w:rsidP="00691C94">
                <w:r w:rsidRPr="009E38CF">
                  <w:t>Chairman, Inter-Sector Coordination Group (ISCG)</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4D675F66" w:rsidR="00691C94" w:rsidRPr="0037415F" w:rsidRDefault="00880FD7" w:rsidP="00691C94">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9E38CF">
                  <w:t>Progress Report of the ISCG</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displayText="[Purpose]" w:value=""/>
            </w:dropDownList>
          </w:sdtPr>
          <w:sdtEndPr/>
          <w:sdtContent>
            <w:tc>
              <w:tcPr>
                <w:tcW w:w="8222" w:type="dxa"/>
                <w:gridSpan w:val="4"/>
                <w:tcBorders>
                  <w:bottom w:val="single" w:sz="6" w:space="0" w:color="auto"/>
                </w:tcBorders>
              </w:tcPr>
              <w:p w14:paraId="5454423B" w14:textId="18C03F60" w:rsidR="00691C94" w:rsidRPr="00B4174C" w:rsidRDefault="009E38CF" w:rsidP="00691C94">
                <w:r>
                  <w:t>Discussion</w:t>
                </w:r>
              </w:p>
            </w:tc>
          </w:sdtContent>
        </w:sdt>
      </w:tr>
      <w:tr w:rsidR="00691C94" w:rsidRPr="00B2510D"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6DDBA71F" w:rsidR="00691C94" w:rsidRDefault="00880FD7" w:rsidP="009E38CF">
            <w:sdt>
              <w:sdtPr>
                <w:alias w:val="ContactNameOrgCountry"/>
                <w:tag w:val="ContactNameOrgCountry"/>
                <w:id w:val="-450624836"/>
                <w:placeholder>
                  <w:docPart w:val="B83B1DB948E34C538D1C0FE920AD6F8A"/>
                </w:placeholder>
                <w:text w:multiLine="1"/>
              </w:sdtPr>
              <w:sdtEndPr/>
              <w:sdtContent>
                <w:r w:rsidR="009E38CF" w:rsidRPr="009E38CF">
                  <w:t xml:space="preserve">Mr. Fabio </w:t>
                </w:r>
                <w:proofErr w:type="spellStart"/>
                <w:r w:rsidR="009E38CF" w:rsidRPr="009E38CF">
                  <w:t>Bigi</w:t>
                </w:r>
                <w:proofErr w:type="spellEnd"/>
                <w:r w:rsidR="009E38CF">
                  <w:br/>
                </w:r>
                <w:r w:rsidR="009E38CF" w:rsidRPr="009E38CF">
                  <w:t>ISCG Chairman</w:t>
                </w:r>
                <w:r w:rsidR="009E38CF">
                  <w:br/>
                </w:r>
                <w:r w:rsidR="009E38CF" w:rsidRPr="009E38CF">
                  <w:t>Italy</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24010D5B" w:rsidR="00691C94" w:rsidRPr="00B2510D" w:rsidRDefault="009E38CF" w:rsidP="00691C94">
                <w:pPr>
                  <w:rPr>
                    <w:lang w:val="fr-CH"/>
                  </w:rPr>
                </w:pPr>
                <w:r w:rsidRPr="00B2510D">
                  <w:rPr>
                    <w:lang w:val="fr-CH"/>
                  </w:rPr>
                  <w:t>E-mail</w:t>
                </w:r>
                <w:r w:rsidR="00691C94" w:rsidRPr="00B2510D">
                  <w:rPr>
                    <w:lang w:val="fr-CH"/>
                  </w:rPr>
                  <w:t xml:space="preserve">: </w:t>
                </w:r>
                <w:hyperlink r:id="rId11" w:history="1">
                  <w:r w:rsidRPr="00B2510D">
                    <w:rPr>
                      <w:rStyle w:val="Hyperlink"/>
                      <w:rFonts w:ascii="Times New Roman" w:hAnsi="Times New Roman"/>
                      <w:lang w:val="fr-CH"/>
                    </w:rPr>
                    <w:t>iscg@itu.int</w:t>
                  </w:r>
                </w:hyperlink>
                <w:r w:rsidRPr="00B2510D">
                  <w:rPr>
                    <w:lang w:val="fr-CH"/>
                  </w:rPr>
                  <w:t xml:space="preserve"> </w:t>
                </w:r>
                <w:r w:rsidR="00691C94" w:rsidRPr="00B2510D">
                  <w:rPr>
                    <w:lang w:val="fr-CH"/>
                  </w:rPr>
                  <w:br/>
                  <w:t xml:space="preserve">E-mail: </w:t>
                </w:r>
                <w:hyperlink r:id="rId12" w:history="1">
                  <w:r w:rsidRPr="00B2510D">
                    <w:rPr>
                      <w:rStyle w:val="Hyperlink"/>
                      <w:rFonts w:ascii="Times New Roman" w:hAnsi="Times New Roman"/>
                      <w:lang w:val="fr-CH"/>
                    </w:rPr>
                    <w:t>Fabio.bigi@virgilio.it</w:t>
                  </w:r>
                </w:hyperlink>
                <w:r w:rsidRPr="00B2510D">
                  <w:rPr>
                    <w:lang w:val="fr-CH"/>
                  </w:rPr>
                  <w:t xml:space="preserve"> </w:t>
                </w:r>
              </w:p>
            </w:tc>
          </w:sdtContent>
        </w:sdt>
      </w:tr>
    </w:tbl>
    <w:p w14:paraId="1AA96A45" w14:textId="77777777" w:rsidR="0089088E" w:rsidRPr="00B2510D" w:rsidRDefault="0089088E" w:rsidP="0089088E">
      <w:pPr>
        <w:rPr>
          <w:lang w:val="fr-CH"/>
        </w:rPr>
      </w:pPr>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63820D28" w:rsidR="0089088E" w:rsidRDefault="00880FD7" w:rsidP="00EB6775">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E38CF" w:rsidRPr="009E38CF">
                  <w:t>ISCG; inter-sector coordination group</w:t>
                </w:r>
                <w:r>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1661B797" w:rsidR="0089088E" w:rsidRDefault="009E38CF" w:rsidP="009E38CF">
                <w:pPr>
                  <w:jc w:val="both"/>
                </w:pPr>
                <w:r>
                  <w:t xml:space="preserve">This document presents the report of the Inter-Sector Coordination Group (ISCG) on Issues of Mutual Interest. Last meeting of the ISCG </w:t>
                </w:r>
                <w:proofErr w:type="gramStart"/>
                <w:r>
                  <w:t>was held</w:t>
                </w:r>
                <w:proofErr w:type="gramEnd"/>
                <w:r>
                  <w:t xml:space="preserve"> on 1st September 2021.</w:t>
                </w:r>
                <w:r>
                  <w:br/>
                  <w:t xml:space="preserve">The ISCG was established jointly by the </w:t>
                </w:r>
                <w:proofErr w:type="spellStart"/>
                <w:r>
                  <w:t>Radiocommunication</w:t>
                </w:r>
                <w:proofErr w:type="spellEnd"/>
                <w:r>
                  <w:t xml:space="preserve"> Advisory Group (RAG), the Telecommunication Standardization Advisory Group (TSAG), and the Telecommunication Development Advisory Group (TDAG) to </w:t>
                </w:r>
                <w:proofErr w:type="gramStart"/>
                <w:r>
                  <w:t>identifies</w:t>
                </w:r>
                <w:proofErr w:type="gramEnd"/>
                <w:r>
                  <w:t xml:space="preserve"> subjects common to the three Sectors and the General Secretariat, as well as the necessary mechanisms to strengthen cooperation and joint activities among them, on issues of mutual interest.</w:t>
                </w:r>
              </w:p>
            </w:tc>
          </w:sdtContent>
        </w:sdt>
      </w:tr>
      <w:bookmarkEnd w:id="3"/>
    </w:tbl>
    <w:p w14:paraId="58589E1E" w14:textId="7B2A27FA" w:rsidR="0089088E" w:rsidRDefault="0089088E" w:rsidP="0089088E"/>
    <w:p w14:paraId="3C440013" w14:textId="77777777" w:rsidR="001F332D" w:rsidRDefault="001F332D" w:rsidP="001F332D">
      <w:pPr>
        <w:spacing w:after="120"/>
      </w:pPr>
    </w:p>
    <w:p w14:paraId="71414034" w14:textId="72BDA7CE" w:rsidR="001F332D" w:rsidRPr="001F332D" w:rsidRDefault="001F332D" w:rsidP="001F332D">
      <w:pPr>
        <w:spacing w:after="120"/>
        <w:rPr>
          <w:b/>
          <w:bCs/>
        </w:rPr>
      </w:pPr>
      <w:r w:rsidRPr="001F332D">
        <w:rPr>
          <w:b/>
          <w:bCs/>
        </w:rPr>
        <w:t>Inter-Sector Coordination Group (ISCG)</w:t>
      </w:r>
    </w:p>
    <w:p w14:paraId="775154AA" w14:textId="77777777" w:rsidR="001F332D" w:rsidRDefault="001F332D" w:rsidP="001F332D">
      <w:pPr>
        <w:spacing w:after="120"/>
      </w:pPr>
    </w:p>
    <w:p w14:paraId="2963AB76" w14:textId="04096416" w:rsidR="001F332D" w:rsidRPr="002E534C" w:rsidRDefault="001F332D" w:rsidP="000203D8">
      <w:pPr>
        <w:spacing w:after="120"/>
        <w:jc w:val="both"/>
        <w:rPr>
          <w:rFonts w:ascii="Calibri" w:hAnsi="Calibri" w:cs="Calibri"/>
          <w:lang w:eastAsia="zh-CN"/>
        </w:rPr>
      </w:pPr>
      <w:proofErr w:type="gramStart"/>
      <w:r w:rsidRPr="002E534C">
        <w:t xml:space="preserve">The </w:t>
      </w:r>
      <w:hyperlink r:id="rId13" w:history="1">
        <w:r w:rsidRPr="002E534C">
          <w:rPr>
            <w:rStyle w:val="Hyperlink"/>
          </w:rPr>
          <w:t>Inter-Sector Coordination Group (ISCG)</w:t>
        </w:r>
      </w:hyperlink>
      <w:r w:rsidRPr="002E534C">
        <w:t xml:space="preserve"> on issues of mutual interest</w:t>
      </w:r>
      <w:r>
        <w:t xml:space="preserve">, </w:t>
      </w:r>
      <w:r w:rsidRPr="000A1354">
        <w:t xml:space="preserve">which is composed by representatives </w:t>
      </w:r>
      <w:r>
        <w:t xml:space="preserve">of the </w:t>
      </w:r>
      <w:proofErr w:type="spellStart"/>
      <w:r w:rsidRPr="000A1354">
        <w:t>Radiocommunication</w:t>
      </w:r>
      <w:proofErr w:type="spellEnd"/>
      <w:r w:rsidRPr="000A1354">
        <w:t xml:space="preserve"> Advisory Group (RAG), the Telecommunication Standardization Advisory Group (TSAG) and the Telecommunication Development Advisory Group (TDAG), works to identify subjects common to the three Sectors </w:t>
      </w:r>
      <w:r>
        <w:t xml:space="preserve">and the General Secretariat, </w:t>
      </w:r>
      <w:r w:rsidRPr="000A1354">
        <w:t>and mechanisms to enhance cooperation and collaboration in all Sectors on matters of mutual interest, in order to avoid duplication of effort and optimize the use of resources of the Union</w:t>
      </w:r>
      <w:r>
        <w:t>, i</w:t>
      </w:r>
      <w:r w:rsidRPr="002E534C">
        <w:t xml:space="preserve">n line with </w:t>
      </w:r>
      <w:hyperlink r:id="rId14" w:history="1">
        <w:r w:rsidRPr="002E534C">
          <w:rPr>
            <w:rStyle w:val="Hyperlink"/>
          </w:rPr>
          <w:t>Resolution 191 (Rev. Dubai, 2018)</w:t>
        </w:r>
      </w:hyperlink>
      <w:r w:rsidRPr="002E534C">
        <w:rPr>
          <w:rFonts w:ascii="Calibri" w:hAnsi="Calibri" w:cs="Calibri"/>
          <w:lang w:eastAsia="zh-CN"/>
        </w:rPr>
        <w:t>.</w:t>
      </w:r>
      <w:proofErr w:type="gramEnd"/>
      <w:r w:rsidRPr="002E534C">
        <w:rPr>
          <w:rFonts w:ascii="Calibri" w:hAnsi="Calibri" w:cs="Calibri"/>
          <w:lang w:eastAsia="zh-CN"/>
        </w:rPr>
        <w:t xml:space="preserve"> </w:t>
      </w:r>
    </w:p>
    <w:p w14:paraId="6FB59EDD" w14:textId="77777777" w:rsidR="001F332D" w:rsidRDefault="001F332D" w:rsidP="000203D8">
      <w:pPr>
        <w:spacing w:after="120"/>
        <w:jc w:val="both"/>
      </w:pPr>
      <w:r>
        <w:t xml:space="preserve">The ISCG </w:t>
      </w:r>
      <w:r w:rsidRPr="000A1354">
        <w:t>consider</w:t>
      </w:r>
      <w:r>
        <w:t>s</w:t>
      </w:r>
      <w:r w:rsidRPr="000A1354">
        <w:t xml:space="preserve"> current and new activities and their distribution among ITU-R, ITU-T and ITU-D </w:t>
      </w:r>
      <w:proofErr w:type="gramStart"/>
      <w:r w:rsidRPr="000A1354">
        <w:t>for approval by the ITU Member States in accordance with the procedures for approval of new and revised Questions</w:t>
      </w:r>
      <w:proofErr w:type="gramEnd"/>
      <w:r w:rsidRPr="000A1354">
        <w:t>. It also consider</w:t>
      </w:r>
      <w:r>
        <w:t>s</w:t>
      </w:r>
      <w:r w:rsidRPr="000A1354">
        <w:t xml:space="preserve"> the reports by the three Directors and the Inter-Sectoral </w:t>
      </w:r>
      <w:r>
        <w:t xml:space="preserve">Coordination </w:t>
      </w:r>
      <w:r w:rsidRPr="000A1354">
        <w:t xml:space="preserve">Task Force (ISC-TF) on options for improving cooperation at the secretariat level to ensure that close coordination </w:t>
      </w:r>
      <w:proofErr w:type="gramStart"/>
      <w:r w:rsidRPr="000A1354">
        <w:t>is maximized</w:t>
      </w:r>
      <w:proofErr w:type="gramEnd"/>
      <w:r w:rsidRPr="002E534C">
        <w:t xml:space="preserve">. </w:t>
      </w:r>
    </w:p>
    <w:p w14:paraId="259C6BB0" w14:textId="23D84DED" w:rsidR="001F332D" w:rsidRDefault="001F332D" w:rsidP="001F332D">
      <w:pPr>
        <w:spacing w:after="120"/>
      </w:pPr>
      <w:r>
        <w:t>Since the last report presented to T</w:t>
      </w:r>
      <w:r w:rsidR="00C161B5">
        <w:t>S</w:t>
      </w:r>
      <w:r>
        <w:t>AG, the ISCG met once on 1</w:t>
      </w:r>
      <w:r w:rsidRPr="00A325C1">
        <w:rPr>
          <w:vertAlign w:val="superscript"/>
        </w:rPr>
        <w:t>st</w:t>
      </w:r>
      <w:r>
        <w:t xml:space="preserve"> September 2021.</w:t>
      </w:r>
    </w:p>
    <w:p w14:paraId="7CDC0BE3" w14:textId="77777777" w:rsidR="001F332D" w:rsidRDefault="001F332D" w:rsidP="00C161B5">
      <w:pPr>
        <w:spacing w:after="120"/>
        <w:jc w:val="both"/>
      </w:pPr>
      <w:r>
        <w:t>During the last meeting, the ISCG’s</w:t>
      </w:r>
      <w:r w:rsidRPr="00B36030">
        <w:t xml:space="preserve"> Secretariat presented the </w:t>
      </w:r>
      <w:r>
        <w:t>report on the implementation of PP Resolution 191 (Rev. Dubai, 2018) where the main updates are:</w:t>
      </w:r>
    </w:p>
    <w:p w14:paraId="20C0F236" w14:textId="77777777" w:rsidR="001F332D" w:rsidRPr="008D4E33" w:rsidRDefault="001F332D" w:rsidP="00C161B5">
      <w:pPr>
        <w:pStyle w:val="ListParagraph"/>
        <w:numPr>
          <w:ilvl w:val="0"/>
          <w:numId w:val="12"/>
        </w:numPr>
        <w:jc w:val="both"/>
        <w:rPr>
          <w:rFonts w:ascii="Times New Roman" w:hAnsi="Times New Roman"/>
        </w:rPr>
      </w:pPr>
      <w:r w:rsidRPr="008D4E33">
        <w:rPr>
          <w:rFonts w:ascii="Times New Roman" w:hAnsi="Times New Roman"/>
        </w:rPr>
        <w:t xml:space="preserve">a report of the ISC-TF, by themes, is now available in the </w:t>
      </w:r>
      <w:hyperlink r:id="rId15" w:history="1">
        <w:proofErr w:type="spellStart"/>
        <w:r w:rsidRPr="008D4E33">
          <w:rPr>
            <w:rStyle w:val="Hyperlink"/>
            <w:rFonts w:ascii="Times New Roman" w:hAnsi="Times New Roman"/>
          </w:rPr>
          <w:t>Intersectoral</w:t>
        </w:r>
        <w:proofErr w:type="spellEnd"/>
        <w:r w:rsidRPr="008D4E33">
          <w:rPr>
            <w:rStyle w:val="Hyperlink"/>
            <w:rFonts w:ascii="Times New Roman" w:hAnsi="Times New Roman"/>
          </w:rPr>
          <w:t xml:space="preserve"> Coordination of Activities webpage</w:t>
        </w:r>
      </w:hyperlink>
      <w:r w:rsidRPr="008D4E33">
        <w:rPr>
          <w:rFonts w:ascii="Times New Roman" w:hAnsi="Times New Roman"/>
        </w:rPr>
        <w:t>, and can be access by any ITU member with a TIES Account;</w:t>
      </w:r>
    </w:p>
    <w:p w14:paraId="2518C714" w14:textId="77777777" w:rsidR="001F332D" w:rsidRPr="008D4E33" w:rsidRDefault="001F332D" w:rsidP="001F332D">
      <w:pPr>
        <w:pStyle w:val="ListParagraph"/>
        <w:numPr>
          <w:ilvl w:val="0"/>
          <w:numId w:val="12"/>
        </w:numPr>
        <w:jc w:val="both"/>
        <w:rPr>
          <w:rFonts w:ascii="Times New Roman" w:hAnsi="Times New Roman"/>
        </w:rPr>
      </w:pPr>
      <w:r w:rsidRPr="008D4E33">
        <w:rPr>
          <w:rFonts w:ascii="Times New Roman" w:hAnsi="Times New Roman"/>
        </w:rPr>
        <w:lastRenderedPageBreak/>
        <w:t>a new Conference Coordination Group (CCG) was created, within the ITU Secretariat, to improve cooperation, coordination, and harmonization in the preparation of the main conferences planned for 2022;</w:t>
      </w:r>
    </w:p>
    <w:p w14:paraId="429A0C5A" w14:textId="6FC9178B" w:rsidR="001F332D" w:rsidRPr="008D4E33" w:rsidRDefault="001F332D" w:rsidP="001F332D">
      <w:pPr>
        <w:pStyle w:val="ListParagraph"/>
        <w:numPr>
          <w:ilvl w:val="0"/>
          <w:numId w:val="12"/>
        </w:numPr>
        <w:overflowPunct/>
        <w:autoSpaceDE/>
        <w:autoSpaceDN/>
        <w:adjustRightInd/>
        <w:spacing w:before="60" w:after="60"/>
        <w:ind w:left="357" w:hanging="357"/>
        <w:contextualSpacing w:val="0"/>
        <w:jc w:val="both"/>
        <w:textAlignment w:val="auto"/>
        <w:rPr>
          <w:rFonts w:ascii="Times New Roman" w:hAnsi="Times New Roman"/>
          <w:szCs w:val="24"/>
        </w:rPr>
      </w:pPr>
      <w:proofErr w:type="gramStart"/>
      <w:r w:rsidRPr="008D4E33">
        <w:rPr>
          <w:rFonts w:ascii="Times New Roman" w:hAnsi="Times New Roman"/>
        </w:rPr>
        <w:t>the</w:t>
      </w:r>
      <w:proofErr w:type="gramEnd"/>
      <w:r w:rsidRPr="008D4E33">
        <w:rPr>
          <w:rFonts w:ascii="Times New Roman" w:hAnsi="Times New Roman"/>
        </w:rPr>
        <w:t xml:space="preserve"> IS team informed that the Zoom platform has been integrated with the ITU’s registration, authentication, and access control system (CRM), ensuring global access by means of the ITU User Account. Consequently, ITU has started to use the Zoom platform for the Virtual Consultation of Councillors, for the ISCG meeting, as well as for the advisory groups’ meetings. BDT </w:t>
      </w:r>
      <w:r w:rsidRPr="008D4E33">
        <w:rPr>
          <w:rFonts w:ascii="Times New Roman" w:hAnsi="Times New Roman"/>
          <w:szCs w:val="24"/>
        </w:rPr>
        <w:t xml:space="preserve">also informed that all its events were moved into Zoom; and TSB mentioned that all their work </w:t>
      </w:r>
      <w:proofErr w:type="gramStart"/>
      <w:r w:rsidRPr="008D4E33">
        <w:rPr>
          <w:rFonts w:ascii="Times New Roman" w:hAnsi="Times New Roman"/>
          <w:szCs w:val="24"/>
        </w:rPr>
        <w:t>will</w:t>
      </w:r>
      <w:proofErr w:type="gramEnd"/>
      <w:r w:rsidRPr="008D4E33">
        <w:rPr>
          <w:rFonts w:ascii="Times New Roman" w:hAnsi="Times New Roman"/>
          <w:szCs w:val="24"/>
        </w:rPr>
        <w:t xml:space="preserve"> be standardized to use one or at most two different platforms (Zoom and MyMeetings</w:t>
      </w:r>
      <w:r w:rsidR="002C240F">
        <w:rPr>
          <w:rFonts w:ascii="Times New Roman" w:hAnsi="Times New Roman"/>
          <w:szCs w:val="24"/>
        </w:rPr>
        <w:t xml:space="preserve">). </w:t>
      </w:r>
      <w:r w:rsidRPr="008D4E33">
        <w:rPr>
          <w:rFonts w:ascii="Times New Roman" w:hAnsi="Times New Roman"/>
          <w:szCs w:val="24"/>
        </w:rPr>
        <w:t xml:space="preserve"> </w:t>
      </w:r>
      <w:r w:rsidR="004C7293">
        <w:rPr>
          <w:rFonts w:ascii="Times New Roman" w:hAnsi="Times New Roman"/>
          <w:szCs w:val="24"/>
        </w:rPr>
        <w:t>B</w:t>
      </w:r>
      <w:r w:rsidRPr="008D4E33">
        <w:rPr>
          <w:rFonts w:ascii="Times New Roman" w:hAnsi="Times New Roman"/>
          <w:szCs w:val="24"/>
        </w:rPr>
        <w:t xml:space="preserve">ecause of the number of events </w:t>
      </w:r>
      <w:r w:rsidR="004C7293">
        <w:rPr>
          <w:rFonts w:ascii="Times New Roman" w:hAnsi="Times New Roman"/>
          <w:szCs w:val="24"/>
        </w:rPr>
        <w:t>UTI-T has</w:t>
      </w:r>
      <w:r w:rsidRPr="008D4E33">
        <w:rPr>
          <w:rFonts w:ascii="Times New Roman" w:hAnsi="Times New Roman"/>
          <w:szCs w:val="24"/>
        </w:rPr>
        <w:t xml:space="preserve"> in parallel, </w:t>
      </w:r>
      <w:r w:rsidR="0003609B">
        <w:rPr>
          <w:rFonts w:ascii="Times New Roman" w:hAnsi="Times New Roman"/>
          <w:szCs w:val="24"/>
        </w:rPr>
        <w:t>MyMeetings will continue to be used since that pl</w:t>
      </w:r>
      <w:r w:rsidRPr="008D4E33">
        <w:rPr>
          <w:rFonts w:ascii="Times New Roman" w:hAnsi="Times New Roman"/>
          <w:szCs w:val="24"/>
        </w:rPr>
        <w:t>atform does not require multiple licenses;</w:t>
      </w:r>
    </w:p>
    <w:p w14:paraId="2AD8BA7A" w14:textId="77777777" w:rsidR="001F332D" w:rsidRPr="008D4E33" w:rsidRDefault="001F332D" w:rsidP="001F332D">
      <w:pPr>
        <w:pStyle w:val="ListParagraph"/>
        <w:numPr>
          <w:ilvl w:val="0"/>
          <w:numId w:val="12"/>
        </w:numPr>
        <w:overflowPunct/>
        <w:autoSpaceDE/>
        <w:autoSpaceDN/>
        <w:adjustRightInd/>
        <w:spacing w:before="60" w:after="60"/>
        <w:ind w:left="357" w:hanging="357"/>
        <w:contextualSpacing w:val="0"/>
        <w:jc w:val="both"/>
        <w:textAlignment w:val="auto"/>
        <w:rPr>
          <w:rFonts w:ascii="Times New Roman" w:hAnsi="Times New Roman"/>
          <w:szCs w:val="24"/>
        </w:rPr>
      </w:pPr>
      <w:proofErr w:type="gramStart"/>
      <w:r w:rsidRPr="008D4E33">
        <w:rPr>
          <w:rFonts w:ascii="Times New Roman" w:hAnsi="Times New Roman"/>
        </w:rPr>
        <w:t>the</w:t>
      </w:r>
      <w:proofErr w:type="gramEnd"/>
      <w:r w:rsidRPr="008D4E33">
        <w:rPr>
          <w:rFonts w:ascii="Times New Roman" w:hAnsi="Times New Roman"/>
        </w:rPr>
        <w:t xml:space="preserve"> ISC-TF Focal Point for AI presented a report on the activities that are being coordinated and the terms of reference of the sub-group within the ISC-TF</w:t>
      </w:r>
      <w:r w:rsidRPr="008D4E33">
        <w:rPr>
          <w:rFonts w:ascii="Times New Roman" w:hAnsi="Times New Roman"/>
          <w:szCs w:val="24"/>
        </w:rPr>
        <w:t xml:space="preserve"> (see </w:t>
      </w:r>
      <w:hyperlink r:id="rId16" w:history="1">
        <w:r w:rsidRPr="008D4E33">
          <w:rPr>
            <w:rStyle w:val="Hyperlink"/>
            <w:rFonts w:ascii="Times New Roman" w:hAnsi="Times New Roman"/>
          </w:rPr>
          <w:t>ISCG/21-2/3-1</w:t>
        </w:r>
      </w:hyperlink>
      <w:r w:rsidRPr="008D4E33">
        <w:rPr>
          <w:rFonts w:ascii="Times New Roman" w:hAnsi="Times New Roman"/>
        </w:rPr>
        <w:t>).</w:t>
      </w:r>
    </w:p>
    <w:p w14:paraId="5776B5BB" w14:textId="77777777" w:rsidR="001F332D" w:rsidRPr="00EB6714" w:rsidRDefault="001F332D" w:rsidP="001F332D">
      <w:pPr>
        <w:spacing w:before="60" w:after="60"/>
        <w:jc w:val="both"/>
      </w:pPr>
      <w:r w:rsidRPr="00EB6714">
        <w:t xml:space="preserve">The ISCG members continue to request to have </w:t>
      </w:r>
      <w:r>
        <w:t xml:space="preserve">access to </w:t>
      </w:r>
      <w:r w:rsidRPr="00EB6714">
        <w:t xml:space="preserve">the ISCG webpage </w:t>
      </w:r>
      <w:r>
        <w:t>from</w:t>
      </w:r>
      <w:r w:rsidRPr="00EB6714">
        <w:t xml:space="preserve"> the three advisory groups’ websites in a harmonized way since the layout of the three websites is different. Also requested harmonizing </w:t>
      </w:r>
      <w:r w:rsidRPr="00EB6714">
        <w:rPr>
          <w:rFonts w:cstheme="minorHAnsi"/>
        </w:rPr>
        <w:t xml:space="preserve">the process to submit </w:t>
      </w:r>
      <w:proofErr w:type="gramStart"/>
      <w:r w:rsidRPr="00EB6714">
        <w:rPr>
          <w:rFonts w:cstheme="minorHAnsi"/>
        </w:rPr>
        <w:t>contributions which</w:t>
      </w:r>
      <w:proofErr w:type="gramEnd"/>
      <w:r w:rsidRPr="00EB6714">
        <w:rPr>
          <w:rFonts w:cstheme="minorHAnsi"/>
        </w:rPr>
        <w:t xml:space="preserve"> differs between the three Sectors.</w:t>
      </w:r>
    </w:p>
    <w:p w14:paraId="0026B7DB" w14:textId="58BC5211" w:rsidR="001F332D" w:rsidRDefault="001F332D" w:rsidP="001F332D">
      <w:pPr>
        <w:spacing w:after="120"/>
      </w:pPr>
      <w:r>
        <w:t xml:space="preserve">Suggestions </w:t>
      </w:r>
      <w:proofErr w:type="gramStart"/>
      <w:r>
        <w:t>were also presented</w:t>
      </w:r>
      <w:proofErr w:type="gramEnd"/>
      <w:r>
        <w:t xml:space="preserve"> related to the use of automatic translation for documents.</w:t>
      </w:r>
      <w:r w:rsidR="00C3534D">
        <w:t xml:space="preserve"> The ISC-TF Focal Point for Multilingualism will present a report to the </w:t>
      </w:r>
      <w:r w:rsidR="00075A37">
        <w:t>next ISCG meeting.</w:t>
      </w:r>
    </w:p>
    <w:p w14:paraId="6867F5C4" w14:textId="77777777" w:rsidR="001F332D" w:rsidRPr="008C4EB1" w:rsidRDefault="001F332D" w:rsidP="001F332D">
      <w:pPr>
        <w:jc w:val="both"/>
        <w:rPr>
          <w:rFonts w:cstheme="minorHAnsi"/>
        </w:rPr>
      </w:pPr>
      <w:r w:rsidRPr="008C4EB1">
        <w:rPr>
          <w:rFonts w:cstheme="minorHAnsi"/>
        </w:rPr>
        <w:t xml:space="preserve">The report also invited the membership to consider, within the preparations for PP-22, whether the documents related to the work of the ISCG </w:t>
      </w:r>
      <w:proofErr w:type="gramStart"/>
      <w:r w:rsidRPr="008C4EB1">
        <w:rPr>
          <w:rFonts w:cstheme="minorHAnsi"/>
        </w:rPr>
        <w:t>should be reviewed and/or updated</w:t>
      </w:r>
      <w:proofErr w:type="gramEnd"/>
      <w:r w:rsidRPr="008C4EB1">
        <w:rPr>
          <w:rFonts w:cstheme="minorHAnsi"/>
        </w:rPr>
        <w:t>.</w:t>
      </w:r>
    </w:p>
    <w:p w14:paraId="774C5CA8" w14:textId="77777777" w:rsidR="001F332D" w:rsidRPr="008C4EB1" w:rsidRDefault="001F332D" w:rsidP="00EA6552">
      <w:pPr>
        <w:jc w:val="both"/>
        <w:rPr>
          <w:rFonts w:cstheme="minorHAnsi"/>
        </w:rPr>
      </w:pPr>
      <w:r w:rsidRPr="008C4EB1">
        <w:rPr>
          <w:rFonts w:cstheme="minorHAnsi"/>
        </w:rPr>
        <w:t xml:space="preserve">The </w:t>
      </w:r>
      <w:r>
        <w:rPr>
          <w:rFonts w:cstheme="minorHAnsi"/>
        </w:rPr>
        <w:t xml:space="preserve">ISCG </w:t>
      </w:r>
      <w:r w:rsidRPr="008C4EB1">
        <w:rPr>
          <w:rFonts w:cstheme="minorHAnsi"/>
        </w:rPr>
        <w:t xml:space="preserve">Chairman suggested </w:t>
      </w:r>
      <w:r>
        <w:rPr>
          <w:rFonts w:cstheme="minorHAnsi"/>
        </w:rPr>
        <w:t xml:space="preserve">that </w:t>
      </w:r>
      <w:r w:rsidRPr="008C4EB1">
        <w:rPr>
          <w:rFonts w:cstheme="minorHAnsi"/>
        </w:rPr>
        <w:t>the advisory groups and the regional groups should take the lead in the preparations for PP-22.</w:t>
      </w:r>
    </w:p>
    <w:p w14:paraId="478B9C4E" w14:textId="785911A6" w:rsidR="001F332D" w:rsidRDefault="001F332D" w:rsidP="00EA6552">
      <w:pPr>
        <w:spacing w:after="120"/>
        <w:jc w:val="both"/>
      </w:pPr>
      <w:r>
        <w:t>T</w:t>
      </w:r>
      <w:r w:rsidR="00297F93">
        <w:t>S</w:t>
      </w:r>
      <w:r>
        <w:t xml:space="preserve">AG </w:t>
      </w:r>
      <w:proofErr w:type="gramStart"/>
      <w:r>
        <w:t>is invited</w:t>
      </w:r>
      <w:proofErr w:type="gramEnd"/>
      <w:r>
        <w:t xml:space="preserve"> to comment and propose a way forward on these themes.</w:t>
      </w:r>
    </w:p>
    <w:p w14:paraId="6F4AF215" w14:textId="2C1FDBC0" w:rsidR="001F332D" w:rsidRDefault="00297F93" w:rsidP="00EA6552">
      <w:pPr>
        <w:spacing w:after="120"/>
        <w:jc w:val="both"/>
        <w:rPr>
          <w:rFonts w:cstheme="minorHAnsi"/>
        </w:rPr>
      </w:pPr>
      <w:r>
        <w:t>Related to strengthening cooperation and joint activities, t</w:t>
      </w:r>
      <w:r w:rsidR="001F332D" w:rsidRPr="006768F3">
        <w:rPr>
          <w:rFonts w:cstheme="minorHAnsi"/>
        </w:rPr>
        <w:t xml:space="preserve">he </w:t>
      </w:r>
      <w:r>
        <w:rPr>
          <w:rFonts w:cstheme="minorHAnsi"/>
        </w:rPr>
        <w:t xml:space="preserve">ITU </w:t>
      </w:r>
      <w:r w:rsidR="001F332D" w:rsidRPr="006768F3">
        <w:rPr>
          <w:rFonts w:cstheme="minorHAnsi"/>
        </w:rPr>
        <w:t xml:space="preserve">Secretariat presented document </w:t>
      </w:r>
      <w:hyperlink r:id="rId17" w:history="1">
        <w:r w:rsidR="001F332D" w:rsidRPr="006768F3">
          <w:rPr>
            <w:rStyle w:val="Hyperlink"/>
            <w:rFonts w:cstheme="minorHAnsi"/>
          </w:rPr>
          <w:t>ISCG/21-2/04-1</w:t>
        </w:r>
      </w:hyperlink>
      <w:r w:rsidR="001F332D" w:rsidRPr="006768F3">
        <w:rPr>
          <w:rFonts w:cstheme="minorHAnsi"/>
        </w:rPr>
        <w:t xml:space="preserve"> containing the Mapping Tables updated with information received from the three sectors until 16 July 2021. </w:t>
      </w:r>
    </w:p>
    <w:p w14:paraId="29360AD0" w14:textId="7DFF3487" w:rsidR="001F332D" w:rsidRPr="006768F3" w:rsidRDefault="001F332D" w:rsidP="00EA6552">
      <w:pPr>
        <w:jc w:val="both"/>
        <w:rPr>
          <w:rFonts w:cstheme="minorHAnsi"/>
        </w:rPr>
      </w:pPr>
      <w:r>
        <w:rPr>
          <w:rFonts w:cstheme="minorHAnsi"/>
        </w:rPr>
        <w:t>All mapping tables, including the mapping of resolution</w:t>
      </w:r>
      <w:r w:rsidR="00442514">
        <w:rPr>
          <w:rFonts w:cstheme="minorHAnsi"/>
        </w:rPr>
        <w:t>s</w:t>
      </w:r>
      <w:r>
        <w:rPr>
          <w:rFonts w:cstheme="minorHAnsi"/>
        </w:rPr>
        <w:t xml:space="preserve"> for preparing the Plenipotentiary Conference </w:t>
      </w:r>
      <w:proofErr w:type="gramStart"/>
      <w:r>
        <w:rPr>
          <w:rFonts w:cstheme="minorHAnsi"/>
        </w:rPr>
        <w:t>were updated</w:t>
      </w:r>
      <w:proofErr w:type="gramEnd"/>
      <w:r>
        <w:rPr>
          <w:rFonts w:cstheme="minorHAnsi"/>
        </w:rPr>
        <w:t xml:space="preserve"> after the meeting and are available in the </w:t>
      </w:r>
      <w:hyperlink r:id="rId18" w:history="1">
        <w:r w:rsidRPr="006768F3">
          <w:rPr>
            <w:rStyle w:val="Hyperlink"/>
            <w:rFonts w:cstheme="minorHAnsi"/>
          </w:rPr>
          <w:t>ISCG webpage</w:t>
        </w:r>
      </w:hyperlink>
      <w:r>
        <w:rPr>
          <w:rFonts w:cstheme="minorHAnsi"/>
        </w:rPr>
        <w:t>.</w:t>
      </w:r>
    </w:p>
    <w:p w14:paraId="194998B8" w14:textId="77777777" w:rsidR="001F332D" w:rsidRDefault="001F332D" w:rsidP="00EA6552">
      <w:pPr>
        <w:spacing w:after="120"/>
        <w:jc w:val="both"/>
      </w:pPr>
      <w:r w:rsidRPr="006768F3">
        <w:t xml:space="preserve">The ISCG agreed that the actual inter-sector mapping </w:t>
      </w:r>
      <w:proofErr w:type="gramStart"/>
      <w:r w:rsidRPr="006768F3">
        <w:t>will</w:t>
      </w:r>
      <w:proofErr w:type="gramEnd"/>
      <w:r w:rsidRPr="006768F3">
        <w:t xml:space="preserve"> be performed by the ISCG Secretariat, with the assistance of the BDT, BR and TSB Counsellors, on the basis of the</w:t>
      </w:r>
      <w:r>
        <w:t xml:space="preserve"> </w:t>
      </w:r>
      <w:r w:rsidRPr="006768F3">
        <w:t>outputs from every Study Group, Working Party or Rapporteur.</w:t>
      </w:r>
    </w:p>
    <w:p w14:paraId="37748570" w14:textId="245A7858" w:rsidR="001F332D" w:rsidRDefault="001F332D" w:rsidP="00EA6552">
      <w:pPr>
        <w:spacing w:after="120"/>
        <w:jc w:val="both"/>
      </w:pPr>
      <w:r>
        <w:t>T</w:t>
      </w:r>
      <w:r w:rsidR="001C795C">
        <w:t>S</w:t>
      </w:r>
      <w:r>
        <w:t xml:space="preserve">AG </w:t>
      </w:r>
      <w:proofErr w:type="gramStart"/>
      <w:r>
        <w:t>is invited</w:t>
      </w:r>
      <w:proofErr w:type="gramEnd"/>
      <w:r>
        <w:t xml:space="preserve"> to share this information with the ITU-</w:t>
      </w:r>
      <w:r w:rsidR="001C795C">
        <w:t>T</w:t>
      </w:r>
      <w:r>
        <w:t xml:space="preserve"> Study Groups for them to </w:t>
      </w:r>
      <w:r w:rsidRPr="00646331">
        <w:t xml:space="preserve">submit </w:t>
      </w:r>
      <w:r>
        <w:t xml:space="preserve">any update to </w:t>
      </w:r>
      <w:r w:rsidRPr="00646331">
        <w:t xml:space="preserve">the ISCG Secretariat </w:t>
      </w:r>
      <w:r>
        <w:t>(</w:t>
      </w:r>
      <w:hyperlink r:id="rId19" w:history="1">
        <w:r w:rsidRPr="000E1EF1">
          <w:rPr>
            <w:rStyle w:val="Hyperlink"/>
          </w:rPr>
          <w:t>iscg@itu.int</w:t>
        </w:r>
      </w:hyperlink>
      <w:r>
        <w:t>)</w:t>
      </w:r>
      <w:r w:rsidRPr="00646331">
        <w:t>.</w:t>
      </w:r>
    </w:p>
    <w:p w14:paraId="0C2FF52E" w14:textId="57C4AB3B" w:rsidR="001F332D" w:rsidRPr="00390F99" w:rsidRDefault="001F332D" w:rsidP="00EA6552">
      <w:pPr>
        <w:jc w:val="both"/>
        <w:rPr>
          <w:rFonts w:cstheme="minorHAnsi"/>
        </w:rPr>
      </w:pPr>
      <w:r>
        <w:t xml:space="preserve">In the framework of the </w:t>
      </w:r>
      <w:proofErr w:type="gramStart"/>
      <w:r>
        <w:t xml:space="preserve">climate change </w:t>
      </w:r>
      <w:r w:rsidR="001C795C">
        <w:t xml:space="preserve">pilot </w:t>
      </w:r>
      <w:r>
        <w:t>theme</w:t>
      </w:r>
      <w:proofErr w:type="gramEnd"/>
      <w:r>
        <w:t xml:space="preserve"> (</w:t>
      </w:r>
      <w:hyperlink r:id="rId20" w:history="1">
        <w:r w:rsidRPr="00CB6C09">
          <w:rPr>
            <w:rStyle w:val="Hyperlink"/>
          </w:rPr>
          <w:t>https://www.itu.int/climate</w:t>
        </w:r>
      </w:hyperlink>
      <w:r>
        <w:t>),</w:t>
      </w:r>
      <w:r w:rsidRPr="00390F99">
        <w:rPr>
          <w:rFonts w:cstheme="minorHAnsi"/>
        </w:rPr>
        <w:t xml:space="preserve"> </w:t>
      </w:r>
      <w:r>
        <w:rPr>
          <w:rFonts w:cstheme="minorHAnsi"/>
        </w:rPr>
        <w:t>t</w:t>
      </w:r>
      <w:r w:rsidRPr="00390F99">
        <w:rPr>
          <w:rFonts w:cstheme="minorHAnsi"/>
        </w:rPr>
        <w:t xml:space="preserve">he </w:t>
      </w:r>
      <w:r>
        <w:rPr>
          <w:rFonts w:cstheme="minorHAnsi"/>
        </w:rPr>
        <w:t xml:space="preserve">ITU </w:t>
      </w:r>
      <w:r w:rsidRPr="00390F99">
        <w:rPr>
          <w:rFonts w:cstheme="minorHAnsi"/>
        </w:rPr>
        <w:t xml:space="preserve">Secretariat presented an information document with the latest developments on ITU’s internal work to become a greener organization (see </w:t>
      </w:r>
      <w:hyperlink r:id="rId21" w:history="1">
        <w:r w:rsidRPr="00390F99">
          <w:rPr>
            <w:rStyle w:val="Hyperlink"/>
            <w:rFonts w:cstheme="minorHAnsi"/>
          </w:rPr>
          <w:t>ISCG/21-2/INF-1</w:t>
        </w:r>
      </w:hyperlink>
      <w:r w:rsidRPr="00390F99">
        <w:rPr>
          <w:rFonts w:cstheme="minorHAnsi"/>
        </w:rPr>
        <w:t>).</w:t>
      </w:r>
    </w:p>
    <w:p w14:paraId="26DD90DF" w14:textId="0E1394D6" w:rsidR="001F332D" w:rsidRPr="00390F99" w:rsidRDefault="001F332D" w:rsidP="00EA6552">
      <w:pPr>
        <w:jc w:val="both"/>
        <w:rPr>
          <w:rFonts w:cstheme="minorHAnsi"/>
        </w:rPr>
      </w:pPr>
      <w:proofErr w:type="gramStart"/>
      <w:r>
        <w:rPr>
          <w:rFonts w:cstheme="minorHAnsi"/>
        </w:rPr>
        <w:t>Also</w:t>
      </w:r>
      <w:proofErr w:type="gramEnd"/>
      <w:r>
        <w:rPr>
          <w:rFonts w:cstheme="minorHAnsi"/>
        </w:rPr>
        <w:t xml:space="preserve"> th</w:t>
      </w:r>
      <w:r w:rsidRPr="00390F99">
        <w:rPr>
          <w:rFonts w:cstheme="minorHAnsi"/>
        </w:rPr>
        <w:t xml:space="preserve">e Focal Point for “Accessibility” shared a presentation on the work being coordinated within the ISC-TF (see </w:t>
      </w:r>
      <w:hyperlink r:id="rId22" w:history="1">
        <w:r w:rsidRPr="00390F99">
          <w:rPr>
            <w:rStyle w:val="Hyperlink"/>
            <w:rFonts w:cstheme="minorHAnsi"/>
          </w:rPr>
          <w:t>ISCG/21-2/04-2</w:t>
        </w:r>
      </w:hyperlink>
      <w:r w:rsidRPr="00390F99">
        <w:rPr>
          <w:rFonts w:cstheme="minorHAnsi"/>
        </w:rPr>
        <w:t>)</w:t>
      </w:r>
      <w:r w:rsidR="00B422C2">
        <w:rPr>
          <w:rFonts w:cstheme="minorHAnsi"/>
        </w:rPr>
        <w:t xml:space="preserve">, and a Liaison Statement was sent to </w:t>
      </w:r>
      <w:r w:rsidR="007134B8" w:rsidRPr="00110025">
        <w:t>ITU-T SG16 Q2</w:t>
      </w:r>
      <w:r w:rsidR="007134B8">
        <w:t>4</w:t>
      </w:r>
      <w:r w:rsidR="007134B8" w:rsidRPr="00110025">
        <w:t>/16 &amp; Q26/16</w:t>
      </w:r>
      <w:r w:rsidR="007134B8">
        <w:t>.</w:t>
      </w:r>
    </w:p>
    <w:p w14:paraId="1D0B8678" w14:textId="10F8E14E" w:rsidR="001F332D" w:rsidRDefault="001F332D" w:rsidP="00EA6552">
      <w:pPr>
        <w:jc w:val="both"/>
        <w:rPr>
          <w:rFonts w:cstheme="minorHAnsi"/>
        </w:rPr>
      </w:pPr>
      <w:r w:rsidRPr="00390F99">
        <w:rPr>
          <w:rFonts w:cstheme="minorHAnsi"/>
        </w:rPr>
        <w:t xml:space="preserve">In order to develop the implementation of the ITU-wide accessibility strategy a budget line for accessibility will be needed (100k CHF/year). Since no decision </w:t>
      </w:r>
      <w:proofErr w:type="gramStart"/>
      <w:r w:rsidRPr="00390F99">
        <w:rPr>
          <w:rFonts w:cstheme="minorHAnsi"/>
        </w:rPr>
        <w:t>was taken</w:t>
      </w:r>
      <w:proofErr w:type="gramEnd"/>
      <w:r w:rsidRPr="00390F99">
        <w:rPr>
          <w:rFonts w:cstheme="minorHAnsi"/>
        </w:rPr>
        <w:t xml:space="preserve"> by C21/VCC, and this point </w:t>
      </w:r>
      <w:r w:rsidR="00683A7E">
        <w:rPr>
          <w:rFonts w:cstheme="minorHAnsi"/>
        </w:rPr>
        <w:t xml:space="preserve">was not addressed by the </w:t>
      </w:r>
      <w:r w:rsidRPr="00390F99">
        <w:rPr>
          <w:rFonts w:cstheme="minorHAnsi"/>
        </w:rPr>
        <w:t xml:space="preserve">CWG-FHR in </w:t>
      </w:r>
      <w:r w:rsidR="00683A7E">
        <w:rPr>
          <w:rFonts w:cstheme="minorHAnsi"/>
        </w:rPr>
        <w:t xml:space="preserve">its </w:t>
      </w:r>
      <w:r w:rsidRPr="00390F99">
        <w:rPr>
          <w:rFonts w:cstheme="minorHAnsi"/>
        </w:rPr>
        <w:t>September 2021</w:t>
      </w:r>
      <w:r w:rsidR="00683A7E">
        <w:rPr>
          <w:rFonts w:cstheme="minorHAnsi"/>
        </w:rPr>
        <w:t xml:space="preserve"> meeting</w:t>
      </w:r>
      <w:r w:rsidRPr="00390F99">
        <w:rPr>
          <w:rFonts w:cstheme="minorHAnsi"/>
        </w:rPr>
        <w:t>, a request needs to be prepared for Council 2022.</w:t>
      </w:r>
    </w:p>
    <w:p w14:paraId="5E3259B2" w14:textId="77777777" w:rsidR="001F332D" w:rsidRPr="00390F99" w:rsidRDefault="001F332D" w:rsidP="001F332D">
      <w:pPr>
        <w:jc w:val="both"/>
        <w:rPr>
          <w:rFonts w:cstheme="minorHAnsi"/>
        </w:rPr>
      </w:pPr>
      <w:r w:rsidRPr="00390F99">
        <w:rPr>
          <w:rFonts w:cstheme="minorHAnsi"/>
        </w:rPr>
        <w:t>The Focal Point also invited the membership to re-</w:t>
      </w:r>
      <w:proofErr w:type="spellStart"/>
      <w:r w:rsidRPr="00390F99">
        <w:rPr>
          <w:rFonts w:cstheme="minorHAnsi"/>
        </w:rPr>
        <w:t>plenish</w:t>
      </w:r>
      <w:proofErr w:type="spellEnd"/>
      <w:r w:rsidRPr="00390F99">
        <w:rPr>
          <w:rFonts w:cstheme="minorHAnsi"/>
        </w:rPr>
        <w:t xml:space="preserve"> the ICT Accessibility Fund.</w:t>
      </w:r>
    </w:p>
    <w:p w14:paraId="2AC7429B" w14:textId="77777777" w:rsidR="00675735" w:rsidRDefault="001F332D" w:rsidP="001F332D">
      <w:pPr>
        <w:jc w:val="both"/>
        <w:rPr>
          <w:rFonts w:cstheme="minorHAnsi"/>
        </w:rPr>
      </w:pPr>
      <w:r w:rsidRPr="00390F99">
        <w:rPr>
          <w:rFonts w:cstheme="minorHAnsi"/>
        </w:rPr>
        <w:t xml:space="preserve">The ISCG agreed to support the request </w:t>
      </w:r>
      <w:r>
        <w:rPr>
          <w:rFonts w:cstheme="minorHAnsi"/>
        </w:rPr>
        <w:t>for an accessibility budget line</w:t>
      </w:r>
      <w:r w:rsidRPr="00390F99">
        <w:rPr>
          <w:rFonts w:cstheme="minorHAnsi"/>
        </w:rPr>
        <w:t>.</w:t>
      </w:r>
      <w:r w:rsidR="00675735">
        <w:rPr>
          <w:rFonts w:cstheme="minorHAnsi"/>
        </w:rPr>
        <w:t xml:space="preserve"> </w:t>
      </w:r>
    </w:p>
    <w:p w14:paraId="7F4B03D3" w14:textId="78A9F274" w:rsidR="001F332D" w:rsidRPr="00675735" w:rsidRDefault="001F332D" w:rsidP="0015022E">
      <w:pPr>
        <w:jc w:val="both"/>
      </w:pPr>
      <w:r w:rsidRPr="00675735">
        <w:lastRenderedPageBreak/>
        <w:t xml:space="preserve">Among the themes </w:t>
      </w:r>
      <w:proofErr w:type="gramStart"/>
      <w:r w:rsidRPr="00675735">
        <w:t>proposed to be considered</w:t>
      </w:r>
      <w:proofErr w:type="gramEnd"/>
      <w:r w:rsidRPr="00675735">
        <w:t xml:space="preserve"> by the ISCG, there are:</w:t>
      </w:r>
    </w:p>
    <w:p w14:paraId="7BDEACC9" w14:textId="77777777" w:rsidR="001F332D" w:rsidRPr="00675735" w:rsidRDefault="001F332D" w:rsidP="0015022E">
      <w:pPr>
        <w:pStyle w:val="ListParagraph"/>
        <w:numPr>
          <w:ilvl w:val="0"/>
          <w:numId w:val="13"/>
        </w:numPr>
        <w:jc w:val="both"/>
        <w:rPr>
          <w:rFonts w:ascii="Times New Roman" w:hAnsi="Times New Roman"/>
        </w:rPr>
      </w:pPr>
      <w:r w:rsidRPr="00675735">
        <w:rPr>
          <w:rFonts w:ascii="Times New Roman" w:hAnsi="Times New Roman"/>
        </w:rPr>
        <w:t>resource sharing implications of inter-sectoral activities;</w:t>
      </w:r>
    </w:p>
    <w:p w14:paraId="28979408" w14:textId="671245BC" w:rsidR="001F332D" w:rsidRPr="00675735" w:rsidRDefault="001F332D" w:rsidP="0015022E">
      <w:pPr>
        <w:pStyle w:val="ListParagraph"/>
        <w:numPr>
          <w:ilvl w:val="0"/>
          <w:numId w:val="13"/>
        </w:numPr>
        <w:jc w:val="both"/>
        <w:rPr>
          <w:rFonts w:ascii="Times New Roman" w:hAnsi="Times New Roman"/>
        </w:rPr>
      </w:pPr>
      <w:proofErr w:type="gramStart"/>
      <w:r w:rsidRPr="00675735">
        <w:rPr>
          <w:rFonts w:ascii="Times New Roman" w:hAnsi="Times New Roman"/>
        </w:rPr>
        <w:t>harmonizing</w:t>
      </w:r>
      <w:proofErr w:type="gramEnd"/>
      <w:r w:rsidRPr="00675735">
        <w:rPr>
          <w:rFonts w:ascii="Times New Roman" w:hAnsi="Times New Roman"/>
        </w:rPr>
        <w:t xml:space="preserve"> the way to access and to share documents on </w:t>
      </w:r>
      <w:proofErr w:type="spellStart"/>
      <w:r w:rsidRPr="00675735">
        <w:rPr>
          <w:rFonts w:ascii="Times New Roman" w:hAnsi="Times New Roman"/>
        </w:rPr>
        <w:t>intersectoral</w:t>
      </w:r>
      <w:proofErr w:type="spellEnd"/>
      <w:r w:rsidRPr="00675735">
        <w:rPr>
          <w:rFonts w:ascii="Times New Roman" w:hAnsi="Times New Roman"/>
        </w:rPr>
        <w:t xml:space="preserve"> activities among the three Sectors, with Ties Account, independently of the members’ category and/or affiliation. </w:t>
      </w:r>
      <w:bookmarkStart w:id="4" w:name="_Hlk82105325"/>
      <w:r w:rsidRPr="00675735">
        <w:rPr>
          <w:rFonts w:ascii="Times New Roman" w:hAnsi="Times New Roman"/>
        </w:rPr>
        <w:t xml:space="preserve">The ISCG Secretariat </w:t>
      </w:r>
      <w:r w:rsidR="00F35C36">
        <w:rPr>
          <w:rFonts w:ascii="Times New Roman" w:hAnsi="Times New Roman"/>
        </w:rPr>
        <w:t xml:space="preserve">would like to remind </w:t>
      </w:r>
      <w:r w:rsidR="00EA6B0A">
        <w:rPr>
          <w:rFonts w:ascii="Times New Roman" w:hAnsi="Times New Roman"/>
        </w:rPr>
        <w:t xml:space="preserve">TSAG to inform all ITU-T </w:t>
      </w:r>
      <w:r w:rsidRPr="00675735">
        <w:rPr>
          <w:rFonts w:ascii="Times New Roman" w:hAnsi="Times New Roman"/>
        </w:rPr>
        <w:t xml:space="preserve">Counsellors </w:t>
      </w:r>
      <w:r w:rsidR="00EA6B0A">
        <w:rPr>
          <w:rFonts w:ascii="Times New Roman" w:hAnsi="Times New Roman"/>
        </w:rPr>
        <w:t xml:space="preserve">that documents </w:t>
      </w:r>
      <w:r w:rsidR="006721EF">
        <w:rPr>
          <w:rFonts w:ascii="Times New Roman" w:hAnsi="Times New Roman"/>
        </w:rPr>
        <w:t xml:space="preserve">related to </w:t>
      </w:r>
      <w:proofErr w:type="spellStart"/>
      <w:r w:rsidR="006721EF">
        <w:rPr>
          <w:rFonts w:ascii="Times New Roman" w:hAnsi="Times New Roman"/>
        </w:rPr>
        <w:t>intersectoral</w:t>
      </w:r>
      <w:proofErr w:type="spellEnd"/>
      <w:r w:rsidR="006721EF">
        <w:rPr>
          <w:rFonts w:ascii="Times New Roman" w:hAnsi="Times New Roman"/>
        </w:rPr>
        <w:t xml:space="preserve"> activities can be posted in the ISCG webpage and a link can be generated so all members</w:t>
      </w:r>
      <w:r w:rsidR="00102276">
        <w:rPr>
          <w:rFonts w:ascii="Times New Roman" w:hAnsi="Times New Roman"/>
        </w:rPr>
        <w:t xml:space="preserve"> will be able to access by means of their TIES Account,</w:t>
      </w:r>
      <w:r w:rsidR="006721EF">
        <w:rPr>
          <w:rFonts w:ascii="Times New Roman" w:hAnsi="Times New Roman"/>
        </w:rPr>
        <w:t xml:space="preserve"> </w:t>
      </w:r>
      <w:r w:rsidR="00F706D4" w:rsidRPr="00F706D4">
        <w:rPr>
          <w:rFonts w:ascii="Times New Roman" w:hAnsi="Times New Roman"/>
        </w:rPr>
        <w:t>independently of the members’ category and/or affiliation</w:t>
      </w:r>
      <w:r w:rsidRPr="00675735">
        <w:rPr>
          <w:rFonts w:ascii="Times New Roman" w:hAnsi="Times New Roman"/>
        </w:rPr>
        <w:t>;</w:t>
      </w:r>
      <w:bookmarkEnd w:id="4"/>
    </w:p>
    <w:p w14:paraId="594848F8" w14:textId="77777777" w:rsidR="008C1843" w:rsidRPr="008C1843" w:rsidRDefault="001F332D" w:rsidP="0015022E">
      <w:pPr>
        <w:pStyle w:val="ListParagraph"/>
        <w:numPr>
          <w:ilvl w:val="0"/>
          <w:numId w:val="13"/>
        </w:numPr>
        <w:jc w:val="both"/>
        <w:rPr>
          <w:rFonts w:cstheme="minorHAnsi"/>
        </w:rPr>
      </w:pPr>
      <w:r w:rsidRPr="00675735">
        <w:rPr>
          <w:rFonts w:ascii="Times New Roman" w:hAnsi="Times New Roman"/>
        </w:rPr>
        <w:t>the RAG representative commented on a proposal done during the last RAG meeting on how to harmonize guidelines to indicate the main achievements/deliverables by the ITU-R and ITU-T Sectors to be addressed to ITU-D in support of their activities, on the topics which are of particular interest for developing countries</w:t>
      </w:r>
      <w:r w:rsidR="008C1843">
        <w:rPr>
          <w:rFonts w:ascii="Times New Roman" w:hAnsi="Times New Roman"/>
        </w:rPr>
        <w:t>;</w:t>
      </w:r>
    </w:p>
    <w:p w14:paraId="3498ABFF" w14:textId="737E5893" w:rsidR="001F332D" w:rsidRPr="00A41A15" w:rsidRDefault="00A41A15" w:rsidP="0015022E">
      <w:pPr>
        <w:pStyle w:val="ListParagraph"/>
        <w:numPr>
          <w:ilvl w:val="0"/>
          <w:numId w:val="13"/>
        </w:numPr>
        <w:jc w:val="both"/>
        <w:rPr>
          <w:rFonts w:ascii="Times New Roman" w:hAnsi="Times New Roman"/>
        </w:rPr>
      </w:pPr>
      <w:proofErr w:type="gramStart"/>
      <w:r w:rsidRPr="00A41A15">
        <w:rPr>
          <w:rFonts w:ascii="Times New Roman" w:hAnsi="Times New Roman"/>
        </w:rPr>
        <w:t>during</w:t>
      </w:r>
      <w:proofErr w:type="gramEnd"/>
      <w:r w:rsidRPr="00A41A15">
        <w:rPr>
          <w:rFonts w:ascii="Times New Roman" w:hAnsi="Times New Roman"/>
        </w:rPr>
        <w:t xml:space="preserve"> the </w:t>
      </w:r>
      <w:r w:rsidR="001F332D" w:rsidRPr="00A41A15">
        <w:rPr>
          <w:rFonts w:ascii="Times New Roman" w:hAnsi="Times New Roman"/>
        </w:rPr>
        <w:t xml:space="preserve">last TDAG meeting it was </w:t>
      </w:r>
      <w:r w:rsidRPr="00A41A15">
        <w:rPr>
          <w:rFonts w:ascii="Times New Roman" w:hAnsi="Times New Roman"/>
        </w:rPr>
        <w:t xml:space="preserve">also </w:t>
      </w:r>
      <w:r w:rsidR="001F332D" w:rsidRPr="00A41A15">
        <w:rPr>
          <w:rFonts w:ascii="Times New Roman" w:hAnsi="Times New Roman"/>
        </w:rPr>
        <w:t xml:space="preserve">proposed to have conformance and interoperability as a theme to be addressed </w:t>
      </w:r>
      <w:r w:rsidRPr="00A41A15">
        <w:rPr>
          <w:rFonts w:ascii="Times New Roman" w:hAnsi="Times New Roman"/>
        </w:rPr>
        <w:t xml:space="preserve">by the </w:t>
      </w:r>
      <w:r w:rsidR="001F332D" w:rsidRPr="00A41A15">
        <w:rPr>
          <w:rFonts w:ascii="Times New Roman" w:hAnsi="Times New Roman"/>
        </w:rPr>
        <w:t xml:space="preserve">ISCG. </w:t>
      </w:r>
    </w:p>
    <w:p w14:paraId="600B2223" w14:textId="458C3BB6" w:rsidR="001F332D" w:rsidRPr="00D14B64" w:rsidRDefault="001F332D" w:rsidP="0015022E">
      <w:pPr>
        <w:jc w:val="both"/>
        <w:rPr>
          <w:rFonts w:cstheme="minorHAnsi"/>
        </w:rPr>
      </w:pPr>
      <w:r>
        <w:rPr>
          <w:rFonts w:cstheme="minorHAnsi"/>
        </w:rPr>
        <w:t>The ISCG Chairman would like to invite all T</w:t>
      </w:r>
      <w:r w:rsidR="0015022E">
        <w:rPr>
          <w:rFonts w:cstheme="minorHAnsi"/>
        </w:rPr>
        <w:t>S</w:t>
      </w:r>
      <w:r>
        <w:rPr>
          <w:rFonts w:cstheme="minorHAnsi"/>
        </w:rPr>
        <w:t>AG members to submit</w:t>
      </w:r>
      <w:r w:rsidRPr="00D14B64">
        <w:rPr>
          <w:rFonts w:cstheme="minorHAnsi"/>
        </w:rPr>
        <w:t xml:space="preserve"> contributions on any topic they would like to </w:t>
      </w:r>
      <w:proofErr w:type="gramStart"/>
      <w:r w:rsidR="0015022E">
        <w:rPr>
          <w:rFonts w:cstheme="minorHAnsi"/>
        </w:rPr>
        <w:t>be considered</w:t>
      </w:r>
      <w:proofErr w:type="gramEnd"/>
      <w:r w:rsidR="0015022E">
        <w:rPr>
          <w:rFonts w:cstheme="minorHAnsi"/>
        </w:rPr>
        <w:t xml:space="preserve"> within the ISCG.</w:t>
      </w:r>
    </w:p>
    <w:p w14:paraId="686E8F93" w14:textId="77777777" w:rsidR="0015022E" w:rsidRDefault="0015022E" w:rsidP="0015022E">
      <w:pPr>
        <w:spacing w:after="120"/>
        <w:jc w:val="both"/>
        <w:rPr>
          <w:b/>
        </w:rPr>
      </w:pPr>
    </w:p>
    <w:p w14:paraId="26298404" w14:textId="17B72762" w:rsidR="001F332D" w:rsidRPr="0015022E" w:rsidRDefault="001F332D" w:rsidP="0015022E">
      <w:pPr>
        <w:spacing w:after="120"/>
        <w:jc w:val="both"/>
        <w:rPr>
          <w:b/>
        </w:rPr>
      </w:pPr>
      <w:r w:rsidRPr="0015022E">
        <w:rPr>
          <w:b/>
        </w:rPr>
        <w:t>Conclusion</w:t>
      </w:r>
    </w:p>
    <w:p w14:paraId="21BA4521" w14:textId="0B3E3D6C" w:rsidR="001F332D" w:rsidRDefault="001F332D" w:rsidP="0015022E">
      <w:pPr>
        <w:spacing w:after="120"/>
        <w:jc w:val="both"/>
      </w:pPr>
      <w:r w:rsidRPr="002E534C">
        <w:t>T</w:t>
      </w:r>
      <w:r w:rsidR="00106388">
        <w:t>S</w:t>
      </w:r>
      <w:r w:rsidRPr="002E534C">
        <w:t xml:space="preserve">AG is invited to discuss this document and to present </w:t>
      </w:r>
      <w:r>
        <w:t xml:space="preserve">comments and </w:t>
      </w:r>
      <w:r w:rsidRPr="002E534C">
        <w:t>proposals to the ISCG on</w:t>
      </w:r>
      <w:r>
        <w:t xml:space="preserve"> the themes that were presented and on any other </w:t>
      </w:r>
      <w:r w:rsidRPr="002E534C">
        <w:t>possible joint activit</w:t>
      </w:r>
      <w:r>
        <w:t>y</w:t>
      </w:r>
      <w:r w:rsidRPr="002E534C">
        <w:t xml:space="preserve"> among all Sectors and/or bilaterally and on mechanisms to strengthen cooperation. </w:t>
      </w:r>
    </w:p>
    <w:p w14:paraId="652DA755" w14:textId="01FAB4E5" w:rsidR="00C42125" w:rsidRDefault="001F332D" w:rsidP="0015022E">
      <w:pPr>
        <w:jc w:val="both"/>
      </w:pPr>
      <w:r>
        <w:rPr>
          <w:rFonts w:cstheme="minorHAnsi"/>
        </w:rPr>
        <w:t xml:space="preserve">The next meeting of the ISCG will take place at the end of January or beginning of February 2022. </w:t>
      </w:r>
      <w:r w:rsidRPr="008C4EB1">
        <w:rPr>
          <w:rFonts w:cstheme="minorHAnsi"/>
        </w:rPr>
        <w:t>The Secretary to coordinate and inform.</w:t>
      </w:r>
      <w:r>
        <w:rPr>
          <w:rFonts w:cstheme="minorHAnsi"/>
        </w:rPr>
        <w:t xml:space="preserve"> </w:t>
      </w:r>
      <w:r>
        <w:t xml:space="preserve">Detailed information </w:t>
      </w:r>
      <w:proofErr w:type="gramStart"/>
      <w:r>
        <w:t>will be posted</w:t>
      </w:r>
      <w:proofErr w:type="gramEnd"/>
      <w:r>
        <w:t xml:space="preserve"> in the </w:t>
      </w:r>
      <w:hyperlink r:id="rId23" w:history="1">
        <w:r w:rsidRPr="00713B78">
          <w:rPr>
            <w:rStyle w:val="Hyperlink"/>
          </w:rPr>
          <w:t>ITU Events portal</w:t>
        </w:r>
      </w:hyperlink>
      <w:r>
        <w:t>.</w:t>
      </w: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2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8B45" w14:textId="77777777" w:rsidR="00A722E6" w:rsidRDefault="00A722E6" w:rsidP="00C42125">
      <w:pPr>
        <w:spacing w:before="0"/>
      </w:pPr>
      <w:r>
        <w:separator/>
      </w:r>
    </w:p>
  </w:endnote>
  <w:endnote w:type="continuationSeparator" w:id="0">
    <w:p w14:paraId="2D6DEFE2" w14:textId="77777777" w:rsidR="00A722E6" w:rsidRDefault="00A722E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2189D" w14:textId="77777777" w:rsidR="00A722E6" w:rsidRDefault="00A722E6" w:rsidP="00C42125">
      <w:pPr>
        <w:spacing w:before="0"/>
      </w:pPr>
      <w:r>
        <w:separator/>
      </w:r>
    </w:p>
  </w:footnote>
  <w:footnote w:type="continuationSeparator" w:id="0">
    <w:p w14:paraId="0722AC4F" w14:textId="77777777" w:rsidR="00A722E6" w:rsidRDefault="00A722E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303BBE76"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880FD7">
      <w:rPr>
        <w:noProof/>
      </w:rPr>
      <w:t>2</w:t>
    </w:r>
    <w:r w:rsidRPr="00C42125">
      <w:fldChar w:fldCharType="end"/>
    </w:r>
    <w:r w:rsidRPr="00C42125">
      <w:t xml:space="preserve"> -</w:t>
    </w:r>
  </w:p>
  <w:p w14:paraId="2360415B" w14:textId="39BA4622" w:rsidR="00C42125" w:rsidRPr="00C42125" w:rsidRDefault="00253DBE" w:rsidP="007E53E4">
    <w:pPr>
      <w:pStyle w:val="Header"/>
    </w:pPr>
    <w:r>
      <w:fldChar w:fldCharType="begin"/>
    </w:r>
    <w:r>
      <w:instrText xml:space="preserve"> STYLEREF  Docnumber  </w:instrText>
    </w:r>
    <w:r>
      <w:fldChar w:fldCharType="separate"/>
    </w:r>
    <w:r w:rsidR="00880FD7">
      <w:rPr>
        <w:noProof/>
      </w:rPr>
      <w:t>TSAG-TD1150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03D8"/>
    <w:rsid w:val="00023D9A"/>
    <w:rsid w:val="0002490E"/>
    <w:rsid w:val="0003609B"/>
    <w:rsid w:val="00037538"/>
    <w:rsid w:val="00043D75"/>
    <w:rsid w:val="00057000"/>
    <w:rsid w:val="000640E0"/>
    <w:rsid w:val="00075A37"/>
    <w:rsid w:val="000A5CA2"/>
    <w:rsid w:val="000B25B1"/>
    <w:rsid w:val="00102276"/>
    <w:rsid w:val="00106388"/>
    <w:rsid w:val="001251DA"/>
    <w:rsid w:val="00125432"/>
    <w:rsid w:val="00137F40"/>
    <w:rsid w:val="0015022E"/>
    <w:rsid w:val="001871EC"/>
    <w:rsid w:val="001A670F"/>
    <w:rsid w:val="001C62B8"/>
    <w:rsid w:val="001C795C"/>
    <w:rsid w:val="001D6D84"/>
    <w:rsid w:val="001E7B0E"/>
    <w:rsid w:val="001F141D"/>
    <w:rsid w:val="001F332D"/>
    <w:rsid w:val="00200A06"/>
    <w:rsid w:val="00241832"/>
    <w:rsid w:val="00253DBE"/>
    <w:rsid w:val="002622FA"/>
    <w:rsid w:val="00263518"/>
    <w:rsid w:val="002759E7"/>
    <w:rsid w:val="00275ED1"/>
    <w:rsid w:val="00277326"/>
    <w:rsid w:val="00297F93"/>
    <w:rsid w:val="002A49E0"/>
    <w:rsid w:val="002C015C"/>
    <w:rsid w:val="002C240F"/>
    <w:rsid w:val="002C26C0"/>
    <w:rsid w:val="002C2BC5"/>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42514"/>
    <w:rsid w:val="00443878"/>
    <w:rsid w:val="004539A8"/>
    <w:rsid w:val="004712CA"/>
    <w:rsid w:val="0047422E"/>
    <w:rsid w:val="0049674B"/>
    <w:rsid w:val="004C0673"/>
    <w:rsid w:val="004C4E4E"/>
    <w:rsid w:val="004C7293"/>
    <w:rsid w:val="004F3816"/>
    <w:rsid w:val="00543D41"/>
    <w:rsid w:val="00552142"/>
    <w:rsid w:val="0055782F"/>
    <w:rsid w:val="00566EDA"/>
    <w:rsid w:val="00572654"/>
    <w:rsid w:val="00583CED"/>
    <w:rsid w:val="005B3023"/>
    <w:rsid w:val="005B5629"/>
    <w:rsid w:val="005C0300"/>
    <w:rsid w:val="005F4B6A"/>
    <w:rsid w:val="006010F3"/>
    <w:rsid w:val="00615A0A"/>
    <w:rsid w:val="006333D4"/>
    <w:rsid w:val="006369B2"/>
    <w:rsid w:val="00647525"/>
    <w:rsid w:val="006570B0"/>
    <w:rsid w:val="006721EF"/>
    <w:rsid w:val="00675735"/>
    <w:rsid w:val="00683A7E"/>
    <w:rsid w:val="00691C94"/>
    <w:rsid w:val="0069210B"/>
    <w:rsid w:val="006A4055"/>
    <w:rsid w:val="006C5641"/>
    <w:rsid w:val="006D1089"/>
    <w:rsid w:val="006D1B86"/>
    <w:rsid w:val="006D7355"/>
    <w:rsid w:val="006F2ACE"/>
    <w:rsid w:val="007134B8"/>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128CE"/>
    <w:rsid w:val="00841217"/>
    <w:rsid w:val="00842137"/>
    <w:rsid w:val="00880FD7"/>
    <w:rsid w:val="0089088E"/>
    <w:rsid w:val="00892297"/>
    <w:rsid w:val="008B6F4A"/>
    <w:rsid w:val="008C1843"/>
    <w:rsid w:val="008D4E33"/>
    <w:rsid w:val="008E0172"/>
    <w:rsid w:val="00914912"/>
    <w:rsid w:val="009406B5"/>
    <w:rsid w:val="00946166"/>
    <w:rsid w:val="00983164"/>
    <w:rsid w:val="009972EF"/>
    <w:rsid w:val="009B75B3"/>
    <w:rsid w:val="009C3160"/>
    <w:rsid w:val="009E38CF"/>
    <w:rsid w:val="009E766E"/>
    <w:rsid w:val="009F1960"/>
    <w:rsid w:val="009F715E"/>
    <w:rsid w:val="00A10DBB"/>
    <w:rsid w:val="00A31D47"/>
    <w:rsid w:val="00A4013E"/>
    <w:rsid w:val="00A4045F"/>
    <w:rsid w:val="00A41A15"/>
    <w:rsid w:val="00A427CD"/>
    <w:rsid w:val="00A4600B"/>
    <w:rsid w:val="00A50506"/>
    <w:rsid w:val="00A51EF0"/>
    <w:rsid w:val="00A67A81"/>
    <w:rsid w:val="00A722E6"/>
    <w:rsid w:val="00A730A6"/>
    <w:rsid w:val="00A971A0"/>
    <w:rsid w:val="00AA1F22"/>
    <w:rsid w:val="00AB0B51"/>
    <w:rsid w:val="00AB7B0F"/>
    <w:rsid w:val="00B05821"/>
    <w:rsid w:val="00B2510D"/>
    <w:rsid w:val="00B26C28"/>
    <w:rsid w:val="00B4174C"/>
    <w:rsid w:val="00B422C2"/>
    <w:rsid w:val="00B453F5"/>
    <w:rsid w:val="00B61624"/>
    <w:rsid w:val="00B718A5"/>
    <w:rsid w:val="00B815E1"/>
    <w:rsid w:val="00BC1FAE"/>
    <w:rsid w:val="00BC3A3F"/>
    <w:rsid w:val="00BC62E2"/>
    <w:rsid w:val="00C161B5"/>
    <w:rsid w:val="00C3534D"/>
    <w:rsid w:val="00C42125"/>
    <w:rsid w:val="00C62814"/>
    <w:rsid w:val="00C74937"/>
    <w:rsid w:val="00D57D7F"/>
    <w:rsid w:val="00D73137"/>
    <w:rsid w:val="00D965C5"/>
    <w:rsid w:val="00DB1307"/>
    <w:rsid w:val="00DD50DE"/>
    <w:rsid w:val="00DE3062"/>
    <w:rsid w:val="00E204DD"/>
    <w:rsid w:val="00E2145E"/>
    <w:rsid w:val="00E353EC"/>
    <w:rsid w:val="00E53C24"/>
    <w:rsid w:val="00E625BC"/>
    <w:rsid w:val="00E74134"/>
    <w:rsid w:val="00EA6552"/>
    <w:rsid w:val="00EA6B0A"/>
    <w:rsid w:val="00EB444D"/>
    <w:rsid w:val="00EF32E9"/>
    <w:rsid w:val="00F02294"/>
    <w:rsid w:val="00F25254"/>
    <w:rsid w:val="00F35C36"/>
    <w:rsid w:val="00F35F57"/>
    <w:rsid w:val="00F50467"/>
    <w:rsid w:val="00F562A0"/>
    <w:rsid w:val="00F706D4"/>
    <w:rsid w:val="00F867D0"/>
    <w:rsid w:val="00FA2177"/>
    <w:rsid w:val="00FB0A28"/>
    <w:rsid w:val="00FB2397"/>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character" w:customStyle="1" w:styleId="UnresolvedMention">
    <w:name w:val="Unresolved Mention"/>
    <w:basedOn w:val="DefaultParagraphFont"/>
    <w:uiPriority w:val="99"/>
    <w:semiHidden/>
    <w:unhideWhenUsed/>
    <w:rsid w:val="009E38CF"/>
    <w:rPr>
      <w:color w:val="605E5C"/>
      <w:shd w:val="clear" w:color="auto" w:fill="E1DFDD"/>
    </w:rPr>
  </w:style>
  <w:style w:type="paragraph" w:styleId="ListParagraph">
    <w:name w:val="List Paragraph"/>
    <w:basedOn w:val="Normal"/>
    <w:link w:val="ListParagraphChar"/>
    <w:uiPriority w:val="34"/>
    <w:qFormat/>
    <w:rsid w:val="001F332D"/>
    <w:pPr>
      <w:tabs>
        <w:tab w:val="left" w:pos="1134"/>
        <w:tab w:val="left" w:pos="1871"/>
        <w:tab w:val="left" w:pos="2268"/>
      </w:tabs>
      <w:overflowPunct w:val="0"/>
      <w:autoSpaceDE w:val="0"/>
      <w:autoSpaceDN w:val="0"/>
      <w:adjustRightInd w:val="0"/>
      <w:ind w:left="720"/>
      <w:contextualSpacing/>
      <w:textAlignment w:val="baseline"/>
    </w:pPr>
    <w:rPr>
      <w:rFonts w:asciiTheme="minorHAnsi" w:eastAsia="Times New Roman" w:hAnsiTheme="minorHAnsi"/>
      <w:szCs w:val="20"/>
      <w:lang w:eastAsia="en-US"/>
    </w:rPr>
  </w:style>
  <w:style w:type="character" w:customStyle="1" w:styleId="ListParagraphChar">
    <w:name w:val="List Paragraph Char"/>
    <w:basedOn w:val="DefaultParagraphFont"/>
    <w:link w:val="ListParagraph"/>
    <w:uiPriority w:val="34"/>
    <w:rsid w:val="001F332D"/>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general-secretariat/Pages/ISCG/default.aspx" TargetMode="External"/><Relationship Id="rId18" Type="http://schemas.openxmlformats.org/officeDocument/2006/relationships/hyperlink" Target="https://www.itu.int/en/general-secretariat/Pages/ISCG/default.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en/general-secretariat/ties/ISCGDocumentLibrary/2nd%20Meeting%202021/ISCG-21-2-INF-1-Greening%20ITU.docx" TargetMode="External"/><Relationship Id="rId7" Type="http://schemas.openxmlformats.org/officeDocument/2006/relationships/webSettings" Target="webSettings.xml"/><Relationship Id="rId12" Type="http://schemas.openxmlformats.org/officeDocument/2006/relationships/hyperlink" Target="mailto:Fabio.bigi@virgilio.it" TargetMode="External"/><Relationship Id="rId17" Type="http://schemas.openxmlformats.org/officeDocument/2006/relationships/hyperlink" Target="https://www.itu.int/en/general-secretariat/ties/ISCGDocumentLibrary/2nd%20Meeting%202021/ISCG-21-2-04-1-E-Mapping%20Tabl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general-secretariat/ties/ISCGDocumentLibrary/2nd%20Meeting%202021/ISCG-21-2-03-1-ETD%20AI.docx" TargetMode="External"/><Relationship Id="rId20" Type="http://schemas.openxmlformats.org/officeDocument/2006/relationships/hyperlink" Target="https://www.itu.int/clim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cg@itu.in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general-secretariat/Pages/intersectoral-coordination.aspx" TargetMode="External"/><Relationship Id="rId23" Type="http://schemas.openxmlformats.org/officeDocument/2006/relationships/hyperlink" Target="https://www.itu.int/en/events/Pages/default.aspx" TargetMode="External"/><Relationship Id="rId10" Type="http://schemas.openxmlformats.org/officeDocument/2006/relationships/image" Target="media/image1.gif"/><Relationship Id="rId19" Type="http://schemas.openxmlformats.org/officeDocument/2006/relationships/hyperlink" Target="mailto:iscg@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RES-191-E.pdf" TargetMode="External"/><Relationship Id="rId22" Type="http://schemas.openxmlformats.org/officeDocument/2006/relationships/hyperlink" Target="https://www.itu.int/en/general-secretariat/ties/ISCGDocumentLibrary/2nd%20Meeting%202021/ISCG-21-2-04-2-Accessibility.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70C31"/>
    <w:rsid w:val="0099071C"/>
    <w:rsid w:val="00A33DD7"/>
    <w:rsid w:val="00A3586C"/>
    <w:rsid w:val="00AC7F00"/>
    <w:rsid w:val="00AF3CAC"/>
    <w:rsid w:val="00C537FF"/>
    <w:rsid w:val="00C7519D"/>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25-29 October 2021</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This document presents the report of the Inter-Sector Coordination Group (ISCG) on Issues of Mutual Interest. Last meeting of the ISCG was held on 1st September 2021.
The ISCG was established jointly by the Radiocommunication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TSAG-TD1150</ShortName>
    <Place xmlns="3f6fad35-1f81-480e-a4e5-6e5474dcfb96">E-meeting </Place>
    <IsTooLateSubmitted xmlns="3f6fad35-1f81-480e-a4e5-6e5474dcfb96">false</IsTooLateSubmitted>
    <Observations xmlns="3f6fad35-1f81-480e-a4e5-6e5474dcfb96" xsi:nil="true"/>
    <DocumentSource xmlns="3f6fad35-1f81-480e-a4e5-6e5474dcfb96">Chairman, Inter-Sector Coordination Group (ISCG)</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3f6fad35-1f81-480e-a4e5-6e5474dcfb96"/>
    <ds:schemaRef ds:uri="http://schemas.microsoft.com/sharepoint.v3"/>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Progress Report of the ISCG</vt:lpstr>
    </vt:vector>
  </TitlesOfParts>
  <Company>ITU</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ISCG</dc:title>
  <dc:subject/>
  <dc:creator>Guy, Florence</dc:creator>
  <cp:keywords>ISCG; inter-sector coordination group;</cp:keywords>
  <dc:description/>
  <cp:lastModifiedBy>Al-Mnini, Lara</cp:lastModifiedBy>
  <cp:revision>3</cp:revision>
  <cp:lastPrinted>2017-02-22T09:55:00Z</cp:lastPrinted>
  <dcterms:created xsi:type="dcterms:W3CDTF">2021-10-13T08:59:00Z</dcterms:created>
  <dcterms:modified xsi:type="dcterms:W3CDTF">2021-10-13T08:59:00Z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