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A8B25" w14:textId="12F6B647" w:rsidR="00560C43" w:rsidRPr="008F69C5" w:rsidRDefault="00560C43" w:rsidP="00000D1C">
      <w:pPr>
        <w:rPr>
          <w:rFonts w:ascii="Arial" w:hAnsi="Arial"/>
          <w:b/>
          <w:sz w:val="22"/>
          <w:lang w:val="en-GB"/>
        </w:rPr>
      </w:pPr>
      <w:bookmarkStart w:id="0" w:name="dtableau"/>
    </w:p>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738"/>
        <w:gridCol w:w="3632"/>
      </w:tblGrid>
      <w:tr w:rsidR="00BE79F5" w:rsidRPr="008F69C5" w14:paraId="265B3FD1" w14:textId="77777777" w:rsidTr="00960F43">
        <w:trPr>
          <w:cantSplit/>
          <w:trHeight w:val="20"/>
        </w:trPr>
        <w:tc>
          <w:tcPr>
            <w:tcW w:w="1192" w:type="dxa"/>
            <w:vMerge w:val="restart"/>
            <w:tcBorders>
              <w:top w:val="nil"/>
              <w:left w:val="nil"/>
              <w:bottom w:val="single" w:sz="12" w:space="0" w:color="auto"/>
              <w:right w:val="nil"/>
            </w:tcBorders>
            <w:hideMark/>
          </w:tcPr>
          <w:p w14:paraId="3530F316" w14:textId="33F2A8B1" w:rsidR="00BE79F5" w:rsidRPr="008F69C5" w:rsidRDefault="00BE79F5" w:rsidP="00960F43">
            <w:pPr>
              <w:spacing w:before="120"/>
              <w:rPr>
                <w:b/>
                <w:bCs/>
                <w:sz w:val="26"/>
                <w:lang w:val="en-GB"/>
              </w:rPr>
            </w:pPr>
            <w:bookmarkStart w:id="1" w:name="dnum" w:colFirst="2" w:colLast="2"/>
            <w:bookmarkStart w:id="2" w:name="dsg" w:colFirst="1" w:colLast="1"/>
            <w:r w:rsidRPr="008F69C5">
              <w:rPr>
                <w:noProof/>
                <w:lang w:val="en-US" w:eastAsia="en-US"/>
              </w:rPr>
              <w:drawing>
                <wp:inline distT="0" distB="0" distL="0" distR="0" wp14:anchorId="5464AC40" wp14:editId="414CA21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ITU logo"/>
                          <pic:cNvPicPr>
                            <a:picLocks noChangeAspect="1" noChangeArrowheads="1"/>
                          </pic:cNvPicPr>
                        </pic:nvPicPr>
                        <pic:blipFill rotWithShape="1">
                          <a:blip r:embed="rId11" cstate="print"/>
                          <a:srcRect t="-1" b="-12987"/>
                          <a:stretch/>
                        </pic:blipFill>
                        <pic:spPr bwMode="auto">
                          <a:xfrm>
                            <a:off x="0" y="0"/>
                            <a:ext cx="647700" cy="828675"/>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31EA52AF" w14:textId="77777777" w:rsidR="00BE79F5" w:rsidRPr="008F69C5" w:rsidRDefault="00BE79F5" w:rsidP="00960F43">
            <w:pPr>
              <w:spacing w:before="120"/>
              <w:rPr>
                <w:lang w:val="en-GB"/>
              </w:rPr>
            </w:pPr>
            <w:r w:rsidRPr="008F69C5">
              <w:rPr>
                <w:lang w:val="en-GB"/>
              </w:rPr>
              <w:t>INTERNATIONAL TELECOMMUNICATION UNION</w:t>
            </w:r>
          </w:p>
          <w:p w14:paraId="0572C630" w14:textId="77777777" w:rsidR="00BE79F5" w:rsidRPr="008F69C5" w:rsidRDefault="00BE79F5" w:rsidP="00960F43">
            <w:pPr>
              <w:spacing w:before="120"/>
              <w:rPr>
                <w:b/>
                <w:bCs/>
                <w:sz w:val="26"/>
                <w:lang w:val="en-GB"/>
              </w:rPr>
            </w:pPr>
            <w:r w:rsidRPr="008F69C5">
              <w:rPr>
                <w:b/>
                <w:bCs/>
                <w:sz w:val="26"/>
                <w:lang w:val="en-GB"/>
              </w:rPr>
              <w:t>TELECOMMUNICATION STANDARDIZATION SECTOR</w:t>
            </w:r>
          </w:p>
          <w:p w14:paraId="1F29E546" w14:textId="77777777" w:rsidR="00BE79F5" w:rsidRPr="008F69C5" w:rsidRDefault="00BE79F5" w:rsidP="00960F43">
            <w:pPr>
              <w:spacing w:before="120"/>
              <w:rPr>
                <w:lang w:val="en-GB"/>
              </w:rPr>
            </w:pPr>
            <w:r w:rsidRPr="008F69C5">
              <w:rPr>
                <w:lang w:val="en-GB"/>
              </w:rPr>
              <w:t>STUDY PERIOD 2017-2020</w:t>
            </w:r>
          </w:p>
        </w:tc>
        <w:tc>
          <w:tcPr>
            <w:tcW w:w="3632" w:type="dxa"/>
            <w:hideMark/>
          </w:tcPr>
          <w:p w14:paraId="254D6CFF" w14:textId="7396E771" w:rsidR="00BE79F5" w:rsidRPr="008F69C5" w:rsidRDefault="00BE79F5" w:rsidP="00960F43">
            <w:pPr>
              <w:pStyle w:val="Docnumber"/>
              <w:rPr>
                <w:lang w:val="en-GB"/>
              </w:rPr>
            </w:pPr>
            <w:r w:rsidRPr="008F69C5">
              <w:rPr>
                <w:sz w:val="32"/>
                <w:lang w:val="en-GB"/>
              </w:rPr>
              <w:t>TSAG-TD</w:t>
            </w:r>
            <w:r w:rsidR="00D56B22">
              <w:rPr>
                <w:sz w:val="32"/>
                <w:lang w:val="en-GB"/>
              </w:rPr>
              <w:t>1165</w:t>
            </w:r>
          </w:p>
        </w:tc>
      </w:tr>
      <w:bookmarkEnd w:id="1"/>
      <w:tr w:rsidR="00BE79F5" w:rsidRPr="008F69C5" w14:paraId="08B4A705" w14:textId="77777777" w:rsidTr="00960F43">
        <w:trPr>
          <w:cantSplit/>
          <w:trHeight w:val="20"/>
        </w:trPr>
        <w:tc>
          <w:tcPr>
            <w:tcW w:w="1192" w:type="dxa"/>
            <w:vMerge/>
            <w:tcBorders>
              <w:top w:val="nil"/>
              <w:left w:val="nil"/>
              <w:bottom w:val="single" w:sz="12" w:space="0" w:color="auto"/>
              <w:right w:val="nil"/>
            </w:tcBorders>
            <w:vAlign w:val="center"/>
            <w:hideMark/>
          </w:tcPr>
          <w:p w14:paraId="15ABEBDA" w14:textId="77777777" w:rsidR="00BE79F5" w:rsidRPr="008F69C5" w:rsidRDefault="00BE79F5" w:rsidP="00960F43">
            <w:pPr>
              <w:spacing w:before="120"/>
              <w:rPr>
                <w:b/>
                <w:bCs/>
                <w:sz w:val="26"/>
                <w:lang w:val="en-GB"/>
              </w:rPr>
            </w:pPr>
          </w:p>
        </w:tc>
        <w:tc>
          <w:tcPr>
            <w:tcW w:w="5106" w:type="dxa"/>
            <w:gridSpan w:val="3"/>
            <w:vMerge/>
            <w:tcBorders>
              <w:top w:val="nil"/>
              <w:left w:val="nil"/>
              <w:bottom w:val="single" w:sz="12" w:space="0" w:color="auto"/>
              <w:right w:val="nil"/>
            </w:tcBorders>
            <w:vAlign w:val="center"/>
            <w:hideMark/>
          </w:tcPr>
          <w:p w14:paraId="7F83C323" w14:textId="77777777" w:rsidR="00BE79F5" w:rsidRPr="008F69C5" w:rsidRDefault="00BE79F5" w:rsidP="00960F43">
            <w:pPr>
              <w:spacing w:before="120"/>
              <w:rPr>
                <w:lang w:val="en-GB"/>
              </w:rPr>
            </w:pPr>
          </w:p>
        </w:tc>
        <w:tc>
          <w:tcPr>
            <w:tcW w:w="3632" w:type="dxa"/>
            <w:hideMark/>
          </w:tcPr>
          <w:p w14:paraId="7CE217B6" w14:textId="77777777" w:rsidR="00BE79F5" w:rsidRPr="008F69C5" w:rsidRDefault="00BE79F5" w:rsidP="00960F43">
            <w:pPr>
              <w:spacing w:before="120"/>
              <w:jc w:val="right"/>
              <w:rPr>
                <w:b/>
                <w:bCs/>
                <w:sz w:val="28"/>
                <w:lang w:val="en-GB"/>
              </w:rPr>
            </w:pPr>
            <w:r w:rsidRPr="008F69C5">
              <w:rPr>
                <w:b/>
                <w:bCs/>
                <w:sz w:val="28"/>
                <w:lang w:val="en-GB"/>
              </w:rPr>
              <w:t>TSAG</w:t>
            </w:r>
          </w:p>
        </w:tc>
      </w:tr>
      <w:tr w:rsidR="00BE79F5" w:rsidRPr="008F69C5" w14:paraId="670040E3" w14:textId="77777777" w:rsidTr="00960F43">
        <w:trPr>
          <w:cantSplit/>
          <w:trHeight w:val="20"/>
        </w:trPr>
        <w:tc>
          <w:tcPr>
            <w:tcW w:w="1192" w:type="dxa"/>
            <w:vMerge/>
            <w:tcBorders>
              <w:top w:val="nil"/>
              <w:left w:val="nil"/>
              <w:bottom w:val="single" w:sz="12" w:space="0" w:color="auto"/>
              <w:right w:val="nil"/>
            </w:tcBorders>
            <w:vAlign w:val="center"/>
            <w:hideMark/>
          </w:tcPr>
          <w:p w14:paraId="15780EB6" w14:textId="77777777" w:rsidR="00BE79F5" w:rsidRPr="008F69C5" w:rsidRDefault="00BE79F5" w:rsidP="00960F43">
            <w:pPr>
              <w:spacing w:before="120"/>
              <w:rPr>
                <w:b/>
                <w:bCs/>
                <w:sz w:val="26"/>
                <w:lang w:val="en-GB"/>
              </w:rPr>
            </w:pPr>
          </w:p>
        </w:tc>
        <w:tc>
          <w:tcPr>
            <w:tcW w:w="5106" w:type="dxa"/>
            <w:gridSpan w:val="3"/>
            <w:vMerge/>
            <w:tcBorders>
              <w:top w:val="nil"/>
              <w:left w:val="nil"/>
              <w:bottom w:val="single" w:sz="12" w:space="0" w:color="auto"/>
              <w:right w:val="nil"/>
            </w:tcBorders>
            <w:vAlign w:val="center"/>
            <w:hideMark/>
          </w:tcPr>
          <w:p w14:paraId="39D90FD2" w14:textId="77777777" w:rsidR="00BE79F5" w:rsidRPr="008F69C5" w:rsidRDefault="00BE79F5" w:rsidP="00960F43">
            <w:pPr>
              <w:spacing w:before="120"/>
              <w:rPr>
                <w:lang w:val="en-GB"/>
              </w:rPr>
            </w:pPr>
          </w:p>
        </w:tc>
        <w:tc>
          <w:tcPr>
            <w:tcW w:w="3632" w:type="dxa"/>
            <w:tcBorders>
              <w:top w:val="nil"/>
              <w:left w:val="nil"/>
              <w:bottom w:val="single" w:sz="12" w:space="0" w:color="auto"/>
              <w:right w:val="nil"/>
            </w:tcBorders>
            <w:hideMark/>
          </w:tcPr>
          <w:p w14:paraId="5740AB80" w14:textId="77777777" w:rsidR="00BE79F5" w:rsidRPr="008F69C5" w:rsidRDefault="00BE79F5" w:rsidP="00960F43">
            <w:pPr>
              <w:spacing w:before="120"/>
              <w:jc w:val="right"/>
              <w:rPr>
                <w:b/>
                <w:bCs/>
                <w:sz w:val="28"/>
                <w:lang w:val="en-GB"/>
              </w:rPr>
            </w:pPr>
            <w:r w:rsidRPr="008F69C5">
              <w:rPr>
                <w:b/>
                <w:bCs/>
                <w:sz w:val="28"/>
                <w:lang w:val="en-GB"/>
              </w:rPr>
              <w:t>Original: English</w:t>
            </w:r>
          </w:p>
        </w:tc>
      </w:tr>
      <w:tr w:rsidR="00BE79F5" w:rsidRPr="009117FD" w14:paraId="59E74E8D" w14:textId="77777777" w:rsidTr="00960F43">
        <w:trPr>
          <w:cantSplit/>
          <w:trHeight w:val="20"/>
        </w:trPr>
        <w:tc>
          <w:tcPr>
            <w:tcW w:w="1551" w:type="dxa"/>
            <w:gridSpan w:val="2"/>
            <w:hideMark/>
          </w:tcPr>
          <w:p w14:paraId="0FC63A2E" w14:textId="77777777" w:rsidR="00BE79F5" w:rsidRPr="009117FD" w:rsidRDefault="00BE79F5" w:rsidP="00960F43">
            <w:pPr>
              <w:spacing w:before="120"/>
              <w:rPr>
                <w:b/>
                <w:bCs/>
                <w:sz w:val="24"/>
                <w:szCs w:val="24"/>
                <w:lang w:val="en-GB"/>
              </w:rPr>
            </w:pPr>
            <w:bookmarkStart w:id="3" w:name="dbluepink" w:colFirst="1" w:colLast="1"/>
            <w:bookmarkStart w:id="4" w:name="dmeeting" w:colFirst="2" w:colLast="2"/>
            <w:bookmarkEnd w:id="2"/>
            <w:r w:rsidRPr="009117FD">
              <w:rPr>
                <w:b/>
                <w:bCs/>
                <w:sz w:val="24"/>
                <w:szCs w:val="24"/>
                <w:lang w:val="en-GB"/>
              </w:rPr>
              <w:t>Question(s):</w:t>
            </w:r>
          </w:p>
        </w:tc>
        <w:tc>
          <w:tcPr>
            <w:tcW w:w="4747" w:type="dxa"/>
            <w:gridSpan w:val="2"/>
            <w:hideMark/>
          </w:tcPr>
          <w:p w14:paraId="42B2B7E6" w14:textId="77777777" w:rsidR="00BE79F5" w:rsidRPr="009117FD" w:rsidRDefault="00BE79F5" w:rsidP="00960F43">
            <w:pPr>
              <w:spacing w:before="120"/>
              <w:rPr>
                <w:sz w:val="24"/>
                <w:szCs w:val="24"/>
                <w:lang w:val="en-GB"/>
              </w:rPr>
            </w:pPr>
            <w:r w:rsidRPr="009117FD">
              <w:rPr>
                <w:sz w:val="24"/>
                <w:szCs w:val="24"/>
                <w:lang w:val="en-GB"/>
              </w:rPr>
              <w:t>N/A</w:t>
            </w:r>
          </w:p>
        </w:tc>
        <w:tc>
          <w:tcPr>
            <w:tcW w:w="3632" w:type="dxa"/>
            <w:hideMark/>
          </w:tcPr>
          <w:p w14:paraId="5D45CD71" w14:textId="56DB8501" w:rsidR="00BE79F5" w:rsidRPr="009117FD" w:rsidRDefault="00084ABF" w:rsidP="00960F43">
            <w:pPr>
              <w:spacing w:before="120"/>
              <w:jc w:val="right"/>
              <w:rPr>
                <w:sz w:val="24"/>
                <w:szCs w:val="24"/>
                <w:lang w:val="en-GB"/>
              </w:rPr>
            </w:pPr>
            <w:r w:rsidRPr="009117FD">
              <w:rPr>
                <w:sz w:val="24"/>
                <w:szCs w:val="24"/>
                <w:lang w:val="en-GB"/>
              </w:rPr>
              <w:t>Virtual, 25-29 October 2021</w:t>
            </w:r>
          </w:p>
        </w:tc>
      </w:tr>
      <w:tr w:rsidR="00BE79F5" w:rsidRPr="009117FD" w14:paraId="11A4846A" w14:textId="77777777" w:rsidTr="00960F43">
        <w:trPr>
          <w:cantSplit/>
          <w:trHeight w:val="20"/>
        </w:trPr>
        <w:tc>
          <w:tcPr>
            <w:tcW w:w="9930" w:type="dxa"/>
            <w:gridSpan w:val="5"/>
            <w:hideMark/>
          </w:tcPr>
          <w:p w14:paraId="19BD63A6" w14:textId="0BFDCEFE" w:rsidR="00BE79F5" w:rsidRPr="009117FD" w:rsidRDefault="00BE79F5" w:rsidP="00960F43">
            <w:pPr>
              <w:spacing w:before="120"/>
              <w:jc w:val="center"/>
              <w:rPr>
                <w:b/>
                <w:bCs/>
                <w:sz w:val="24"/>
                <w:szCs w:val="24"/>
                <w:lang w:val="en-GB"/>
              </w:rPr>
            </w:pPr>
            <w:bookmarkStart w:id="5" w:name="dtitle" w:colFirst="0" w:colLast="0"/>
            <w:bookmarkEnd w:id="3"/>
            <w:bookmarkEnd w:id="4"/>
            <w:r w:rsidRPr="009117FD">
              <w:rPr>
                <w:b/>
                <w:bCs/>
                <w:sz w:val="24"/>
                <w:szCs w:val="24"/>
                <w:lang w:val="en-GB"/>
              </w:rPr>
              <w:t>TD</w:t>
            </w:r>
          </w:p>
        </w:tc>
      </w:tr>
      <w:tr w:rsidR="00BE79F5" w:rsidRPr="009117FD" w14:paraId="65519045" w14:textId="77777777" w:rsidTr="00960F43">
        <w:trPr>
          <w:cantSplit/>
          <w:trHeight w:val="20"/>
        </w:trPr>
        <w:tc>
          <w:tcPr>
            <w:tcW w:w="1551" w:type="dxa"/>
            <w:gridSpan w:val="2"/>
            <w:hideMark/>
          </w:tcPr>
          <w:p w14:paraId="6F789751" w14:textId="77777777" w:rsidR="00BE79F5" w:rsidRPr="009117FD" w:rsidRDefault="00BE79F5" w:rsidP="00960F43">
            <w:pPr>
              <w:spacing w:before="120"/>
              <w:rPr>
                <w:b/>
                <w:bCs/>
                <w:sz w:val="24"/>
                <w:szCs w:val="24"/>
                <w:lang w:val="en-GB"/>
              </w:rPr>
            </w:pPr>
            <w:bookmarkStart w:id="6" w:name="dsource" w:colFirst="1" w:colLast="1"/>
            <w:bookmarkEnd w:id="5"/>
            <w:r w:rsidRPr="009117FD">
              <w:rPr>
                <w:b/>
                <w:bCs/>
                <w:sz w:val="24"/>
                <w:szCs w:val="24"/>
                <w:lang w:val="en-GB"/>
              </w:rPr>
              <w:t>Source:</w:t>
            </w:r>
          </w:p>
        </w:tc>
        <w:tc>
          <w:tcPr>
            <w:tcW w:w="8379" w:type="dxa"/>
            <w:gridSpan w:val="3"/>
            <w:hideMark/>
          </w:tcPr>
          <w:p w14:paraId="00520334" w14:textId="066A836A" w:rsidR="00BE79F5" w:rsidRPr="009117FD" w:rsidRDefault="00D53CF1" w:rsidP="00960F43">
            <w:pPr>
              <w:spacing w:before="120"/>
              <w:rPr>
                <w:sz w:val="24"/>
                <w:szCs w:val="24"/>
                <w:lang w:val="en-GB"/>
              </w:rPr>
            </w:pPr>
            <w:r w:rsidRPr="009117FD">
              <w:rPr>
                <w:sz w:val="24"/>
                <w:szCs w:val="24"/>
                <w:lang w:val="en-GB"/>
              </w:rPr>
              <w:t>Rapporteur</w:t>
            </w:r>
            <w:r w:rsidR="00080137" w:rsidRPr="009117FD">
              <w:rPr>
                <w:sz w:val="24"/>
                <w:szCs w:val="24"/>
                <w:lang w:val="en-GB"/>
              </w:rPr>
              <w:t>s of the TSAG ad hoc group meeting</w:t>
            </w:r>
            <w:r w:rsidR="00F610D5" w:rsidRPr="009117FD">
              <w:rPr>
                <w:sz w:val="24"/>
                <w:szCs w:val="24"/>
                <w:lang w:val="en-GB"/>
              </w:rPr>
              <w:t xml:space="preserve"> on IPR matters</w:t>
            </w:r>
            <w:r w:rsidRPr="009117FD">
              <w:rPr>
                <w:sz w:val="24"/>
                <w:szCs w:val="24"/>
                <w:lang w:val="en-GB"/>
              </w:rPr>
              <w:t xml:space="preserve"> </w:t>
            </w:r>
            <w:r w:rsidR="00F610D5" w:rsidRPr="009117FD">
              <w:rPr>
                <w:sz w:val="24"/>
                <w:szCs w:val="24"/>
                <w:lang w:val="en-GB"/>
              </w:rPr>
              <w:t>in Contributions C195 and C197</w:t>
            </w:r>
          </w:p>
        </w:tc>
      </w:tr>
      <w:tr w:rsidR="00BE79F5" w:rsidRPr="009117FD" w14:paraId="33D32FD2" w14:textId="77777777" w:rsidTr="00960F43">
        <w:trPr>
          <w:cantSplit/>
          <w:trHeight w:val="20"/>
        </w:trPr>
        <w:tc>
          <w:tcPr>
            <w:tcW w:w="1551" w:type="dxa"/>
            <w:gridSpan w:val="2"/>
            <w:hideMark/>
          </w:tcPr>
          <w:p w14:paraId="0518919F" w14:textId="77777777" w:rsidR="00BE79F5" w:rsidRPr="009117FD" w:rsidRDefault="00BE79F5" w:rsidP="00960F43">
            <w:pPr>
              <w:spacing w:before="120"/>
              <w:rPr>
                <w:b/>
                <w:bCs/>
                <w:sz w:val="24"/>
                <w:szCs w:val="24"/>
                <w:lang w:val="en-GB"/>
              </w:rPr>
            </w:pPr>
            <w:bookmarkStart w:id="7" w:name="dtitle1" w:colFirst="1" w:colLast="1"/>
            <w:bookmarkEnd w:id="6"/>
            <w:r w:rsidRPr="009117FD">
              <w:rPr>
                <w:b/>
                <w:bCs/>
                <w:sz w:val="24"/>
                <w:szCs w:val="24"/>
                <w:lang w:val="en-GB"/>
              </w:rPr>
              <w:t>Title:</w:t>
            </w:r>
          </w:p>
        </w:tc>
        <w:tc>
          <w:tcPr>
            <w:tcW w:w="8379" w:type="dxa"/>
            <w:gridSpan w:val="3"/>
            <w:hideMark/>
          </w:tcPr>
          <w:p w14:paraId="1A972781" w14:textId="1A40EF41" w:rsidR="00BE79F5" w:rsidRPr="009117FD" w:rsidRDefault="009117FD" w:rsidP="009117FD">
            <w:pPr>
              <w:rPr>
                <w:rFonts w:ascii="Calibri" w:hAnsi="Calibri" w:cs="Calibri"/>
                <w:sz w:val="24"/>
                <w:szCs w:val="24"/>
                <w:lang w:val="en-GB" w:eastAsia="en-GB"/>
              </w:rPr>
            </w:pPr>
            <w:r w:rsidRPr="009117FD">
              <w:rPr>
                <w:sz w:val="24"/>
                <w:szCs w:val="24"/>
                <w:lang w:val="en-GB"/>
              </w:rPr>
              <w:t>Report of the TSAG ad hoc group meeting on IPR matters in Contributions C195 and C197 (26 October 2021)</w:t>
            </w:r>
            <w:bookmarkStart w:id="8" w:name="_GoBack"/>
            <w:bookmarkEnd w:id="8"/>
          </w:p>
        </w:tc>
      </w:tr>
      <w:tr w:rsidR="00BE79F5" w:rsidRPr="009117FD" w14:paraId="231B7AC5" w14:textId="77777777" w:rsidTr="00960F43">
        <w:trPr>
          <w:cantSplit/>
          <w:trHeight w:val="20"/>
        </w:trPr>
        <w:tc>
          <w:tcPr>
            <w:tcW w:w="1551" w:type="dxa"/>
            <w:gridSpan w:val="2"/>
            <w:hideMark/>
          </w:tcPr>
          <w:p w14:paraId="47DE485B" w14:textId="77777777" w:rsidR="00BE79F5" w:rsidRPr="009117FD" w:rsidRDefault="00BE79F5" w:rsidP="00960F43">
            <w:pPr>
              <w:spacing w:before="120"/>
              <w:rPr>
                <w:b/>
                <w:bCs/>
                <w:sz w:val="24"/>
                <w:szCs w:val="24"/>
                <w:lang w:val="en-GB"/>
              </w:rPr>
            </w:pPr>
            <w:bookmarkStart w:id="9" w:name="dpurpose" w:colFirst="1" w:colLast="1"/>
            <w:bookmarkEnd w:id="7"/>
            <w:r w:rsidRPr="009117FD">
              <w:rPr>
                <w:b/>
                <w:bCs/>
                <w:sz w:val="24"/>
                <w:szCs w:val="24"/>
                <w:lang w:val="en-GB"/>
              </w:rPr>
              <w:t>Purpose:</w:t>
            </w:r>
          </w:p>
        </w:tc>
        <w:tc>
          <w:tcPr>
            <w:tcW w:w="8379" w:type="dxa"/>
            <w:gridSpan w:val="3"/>
          </w:tcPr>
          <w:p w14:paraId="358AA652" w14:textId="125C665F" w:rsidR="00BE79F5" w:rsidRPr="009117FD" w:rsidRDefault="00D53CF1" w:rsidP="00960F43">
            <w:pPr>
              <w:spacing w:before="120"/>
              <w:rPr>
                <w:sz w:val="24"/>
                <w:szCs w:val="24"/>
                <w:lang w:val="en-GB"/>
              </w:rPr>
            </w:pPr>
            <w:r w:rsidRPr="009117FD">
              <w:rPr>
                <w:sz w:val="24"/>
                <w:szCs w:val="24"/>
                <w:lang w:val="en-GB"/>
              </w:rPr>
              <w:t>Information</w:t>
            </w:r>
          </w:p>
        </w:tc>
      </w:tr>
      <w:bookmarkEnd w:id="0"/>
      <w:bookmarkEnd w:id="9"/>
      <w:tr w:rsidR="00D53CF1" w:rsidRPr="009117FD" w14:paraId="0E54BF69" w14:textId="77777777" w:rsidTr="00115E9B">
        <w:trPr>
          <w:trHeight w:val="20"/>
        </w:trPr>
        <w:tc>
          <w:tcPr>
            <w:tcW w:w="1560" w:type="dxa"/>
            <w:gridSpan w:val="3"/>
            <w:tcBorders>
              <w:top w:val="nil"/>
              <w:left w:val="nil"/>
              <w:bottom w:val="nil"/>
              <w:right w:val="nil"/>
            </w:tcBorders>
            <w:hideMark/>
          </w:tcPr>
          <w:p w14:paraId="69A2D6D6" w14:textId="77777777" w:rsidR="00D53CF1" w:rsidRPr="009117FD" w:rsidRDefault="00D53CF1" w:rsidP="00115E9B">
            <w:pPr>
              <w:spacing w:before="120"/>
              <w:rPr>
                <w:b/>
                <w:bCs/>
                <w:sz w:val="24"/>
                <w:szCs w:val="24"/>
                <w:lang w:val="en-GB"/>
              </w:rPr>
            </w:pPr>
            <w:r w:rsidRPr="009117FD">
              <w:rPr>
                <w:b/>
                <w:bCs/>
                <w:sz w:val="24"/>
                <w:szCs w:val="24"/>
                <w:lang w:val="en-GB"/>
              </w:rPr>
              <w:t>Contact:</w:t>
            </w:r>
          </w:p>
        </w:tc>
        <w:tc>
          <w:tcPr>
            <w:tcW w:w="4738" w:type="dxa"/>
            <w:tcBorders>
              <w:top w:val="nil"/>
              <w:left w:val="nil"/>
              <w:bottom w:val="nil"/>
              <w:right w:val="nil"/>
            </w:tcBorders>
            <w:hideMark/>
          </w:tcPr>
          <w:p w14:paraId="2718C54E" w14:textId="069CC4CD" w:rsidR="00D53CF1" w:rsidRPr="009117FD" w:rsidRDefault="00D53CF1" w:rsidP="00115E9B">
            <w:pPr>
              <w:spacing w:before="120"/>
              <w:rPr>
                <w:sz w:val="24"/>
                <w:szCs w:val="24"/>
                <w:lang w:val="en-GB"/>
              </w:rPr>
            </w:pPr>
            <w:r w:rsidRPr="009117FD">
              <w:rPr>
                <w:sz w:val="24"/>
                <w:szCs w:val="24"/>
                <w:lang w:val="en-GB"/>
              </w:rPr>
              <w:t xml:space="preserve">Serge </w:t>
            </w:r>
            <w:proofErr w:type="spellStart"/>
            <w:r w:rsidRPr="009117FD">
              <w:rPr>
                <w:sz w:val="24"/>
                <w:szCs w:val="24"/>
                <w:lang w:val="en-GB"/>
              </w:rPr>
              <w:t>Raes</w:t>
            </w:r>
            <w:proofErr w:type="spellEnd"/>
            <w:r w:rsidRPr="009117FD">
              <w:rPr>
                <w:sz w:val="24"/>
                <w:szCs w:val="24"/>
                <w:lang w:val="en-GB"/>
              </w:rPr>
              <w:br/>
              <w:t>Orange</w:t>
            </w:r>
          </w:p>
        </w:tc>
        <w:tc>
          <w:tcPr>
            <w:tcW w:w="3632" w:type="dxa"/>
            <w:tcBorders>
              <w:top w:val="nil"/>
              <w:left w:val="nil"/>
              <w:bottom w:val="nil"/>
              <w:right w:val="nil"/>
            </w:tcBorders>
            <w:hideMark/>
          </w:tcPr>
          <w:p w14:paraId="7C561AF2" w14:textId="5BAA923F" w:rsidR="00D53CF1" w:rsidRPr="009117FD" w:rsidRDefault="00D53CF1" w:rsidP="00115E9B">
            <w:pPr>
              <w:spacing w:before="120"/>
              <w:rPr>
                <w:sz w:val="24"/>
                <w:szCs w:val="24"/>
                <w:lang w:val="fr-CH"/>
              </w:rPr>
            </w:pPr>
            <w:r w:rsidRPr="009117FD">
              <w:rPr>
                <w:rFonts w:asciiTheme="majorBidi" w:hAnsiTheme="majorBidi" w:cstheme="majorBidi"/>
                <w:sz w:val="24"/>
                <w:szCs w:val="24"/>
                <w:lang w:val="fr-CH"/>
              </w:rPr>
              <w:t>E-mail:</w:t>
            </w:r>
            <w:r w:rsidRPr="009117FD">
              <w:rPr>
                <w:sz w:val="24"/>
                <w:szCs w:val="24"/>
              </w:rPr>
              <w:t xml:space="preserve"> </w:t>
            </w:r>
            <w:hyperlink r:id="rId12" w:history="1">
              <w:r w:rsidRPr="009117FD">
                <w:rPr>
                  <w:rStyle w:val="Hyperlink"/>
                  <w:rFonts w:asciiTheme="majorBidi" w:hAnsiTheme="majorBidi" w:cstheme="majorBidi"/>
                  <w:sz w:val="24"/>
                  <w:szCs w:val="24"/>
                  <w:lang w:val="fr-CH"/>
                </w:rPr>
                <w:t>serge.raes@orange.com</w:t>
              </w:r>
            </w:hyperlink>
            <w:r w:rsidRPr="009117FD">
              <w:rPr>
                <w:rFonts w:asciiTheme="majorBidi" w:hAnsiTheme="majorBidi" w:cstheme="majorBidi"/>
                <w:sz w:val="24"/>
                <w:szCs w:val="24"/>
                <w:lang w:val="fr-CH"/>
              </w:rPr>
              <w:t xml:space="preserve"> </w:t>
            </w:r>
          </w:p>
        </w:tc>
      </w:tr>
      <w:tr w:rsidR="00960F43" w:rsidRPr="009117FD" w14:paraId="3E35D1FA" w14:textId="77777777" w:rsidTr="00D53CF1">
        <w:trPr>
          <w:trHeight w:val="20"/>
        </w:trPr>
        <w:tc>
          <w:tcPr>
            <w:tcW w:w="1560" w:type="dxa"/>
            <w:gridSpan w:val="3"/>
            <w:tcBorders>
              <w:top w:val="nil"/>
              <w:left w:val="nil"/>
              <w:bottom w:val="nil"/>
              <w:right w:val="nil"/>
            </w:tcBorders>
            <w:hideMark/>
          </w:tcPr>
          <w:p w14:paraId="547A8347" w14:textId="77777777" w:rsidR="00960F43" w:rsidRPr="009117FD" w:rsidRDefault="00960F43" w:rsidP="00960F43">
            <w:pPr>
              <w:spacing w:before="120"/>
              <w:rPr>
                <w:b/>
                <w:bCs/>
                <w:sz w:val="24"/>
                <w:szCs w:val="24"/>
                <w:lang w:val="en-GB"/>
              </w:rPr>
            </w:pPr>
            <w:r w:rsidRPr="009117FD">
              <w:rPr>
                <w:b/>
                <w:bCs/>
                <w:sz w:val="24"/>
                <w:szCs w:val="24"/>
                <w:lang w:val="en-GB"/>
              </w:rPr>
              <w:t>Contact:</w:t>
            </w:r>
          </w:p>
        </w:tc>
        <w:tc>
          <w:tcPr>
            <w:tcW w:w="4738" w:type="dxa"/>
            <w:tcBorders>
              <w:top w:val="nil"/>
              <w:left w:val="nil"/>
              <w:bottom w:val="nil"/>
              <w:right w:val="nil"/>
            </w:tcBorders>
            <w:hideMark/>
          </w:tcPr>
          <w:p w14:paraId="7B0B1B99" w14:textId="6CA7B3F4" w:rsidR="00080137" w:rsidRPr="009117FD" w:rsidRDefault="00D53CF1" w:rsidP="00080137">
            <w:pPr>
              <w:spacing w:before="120"/>
              <w:rPr>
                <w:sz w:val="24"/>
                <w:szCs w:val="24"/>
                <w:lang w:val="en-GB"/>
              </w:rPr>
            </w:pPr>
            <w:r w:rsidRPr="009117FD">
              <w:rPr>
                <w:sz w:val="24"/>
                <w:szCs w:val="24"/>
                <w:lang w:val="en-GB"/>
              </w:rPr>
              <w:t>Hung Ling</w:t>
            </w:r>
            <w:r w:rsidR="00080137" w:rsidRPr="009117FD">
              <w:rPr>
                <w:sz w:val="24"/>
                <w:szCs w:val="24"/>
                <w:lang w:val="en-GB"/>
              </w:rPr>
              <w:br/>
              <w:t>Nokia</w:t>
            </w:r>
          </w:p>
        </w:tc>
        <w:tc>
          <w:tcPr>
            <w:tcW w:w="3632" w:type="dxa"/>
            <w:tcBorders>
              <w:top w:val="nil"/>
              <w:left w:val="nil"/>
              <w:bottom w:val="nil"/>
              <w:right w:val="nil"/>
            </w:tcBorders>
            <w:hideMark/>
          </w:tcPr>
          <w:p w14:paraId="742EB07E" w14:textId="6F3D47CE" w:rsidR="00960F43" w:rsidRPr="009117FD" w:rsidRDefault="00960F43" w:rsidP="00960F43">
            <w:pPr>
              <w:spacing w:before="120"/>
              <w:rPr>
                <w:sz w:val="24"/>
                <w:szCs w:val="24"/>
                <w:lang w:val="fr-CH"/>
              </w:rPr>
            </w:pPr>
            <w:r w:rsidRPr="009117FD">
              <w:rPr>
                <w:rFonts w:asciiTheme="majorBidi" w:hAnsiTheme="majorBidi" w:cstheme="majorBidi"/>
                <w:sz w:val="24"/>
                <w:szCs w:val="24"/>
                <w:lang w:val="fr-CH"/>
              </w:rPr>
              <w:t>E-mail:</w:t>
            </w:r>
            <w:r w:rsidR="00D53CF1" w:rsidRPr="009117FD">
              <w:rPr>
                <w:rFonts w:asciiTheme="majorBidi" w:hAnsiTheme="majorBidi" w:cstheme="majorBidi"/>
                <w:sz w:val="24"/>
                <w:szCs w:val="24"/>
                <w:lang w:val="fr-CH"/>
              </w:rPr>
              <w:t xml:space="preserve"> </w:t>
            </w:r>
            <w:hyperlink r:id="rId13" w:history="1">
              <w:r w:rsidR="00080137" w:rsidRPr="009117FD">
                <w:rPr>
                  <w:rStyle w:val="Hyperlink"/>
                  <w:rFonts w:asciiTheme="majorBidi" w:hAnsiTheme="majorBidi" w:cstheme="majorBidi"/>
                  <w:sz w:val="24"/>
                  <w:szCs w:val="24"/>
                  <w:lang w:val="fr-CH"/>
                </w:rPr>
                <w:t>hung.ling@nokia.com</w:t>
              </w:r>
            </w:hyperlink>
            <w:r w:rsidR="00080137" w:rsidRPr="009117FD">
              <w:rPr>
                <w:rFonts w:asciiTheme="majorBidi" w:hAnsiTheme="majorBidi" w:cstheme="majorBidi"/>
                <w:sz w:val="24"/>
                <w:szCs w:val="24"/>
                <w:lang w:val="fr-CH"/>
              </w:rPr>
              <w:t xml:space="preserve"> </w:t>
            </w:r>
          </w:p>
        </w:tc>
      </w:tr>
    </w:tbl>
    <w:p w14:paraId="5BB49D9E" w14:textId="77777777" w:rsidR="004B1D26" w:rsidRPr="009117FD" w:rsidRDefault="004B1D26">
      <w:pPr>
        <w:rPr>
          <w:rFonts w:ascii="Arial" w:hAnsi="Arial"/>
          <w:b/>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4B1D26" w:rsidRPr="009117FD" w14:paraId="02B57F9F" w14:textId="77777777" w:rsidTr="004B1D26">
        <w:trPr>
          <w:cantSplit/>
        </w:trPr>
        <w:tc>
          <w:tcPr>
            <w:tcW w:w="1616" w:type="dxa"/>
          </w:tcPr>
          <w:p w14:paraId="3B0F9CAD" w14:textId="77777777" w:rsidR="004B1D26" w:rsidRPr="009117FD" w:rsidRDefault="004B1D26" w:rsidP="00DF16BF">
            <w:pPr>
              <w:spacing w:before="120" w:after="60"/>
              <w:rPr>
                <w:rFonts w:asciiTheme="majorBidi" w:hAnsiTheme="majorBidi" w:cstheme="majorBidi"/>
                <w:b/>
                <w:bCs/>
                <w:sz w:val="24"/>
                <w:szCs w:val="24"/>
                <w:highlight w:val="yellow"/>
                <w:lang w:val="en-GB"/>
              </w:rPr>
            </w:pPr>
            <w:r w:rsidRPr="009117FD">
              <w:rPr>
                <w:rFonts w:asciiTheme="majorBidi" w:hAnsiTheme="majorBidi" w:cstheme="majorBidi"/>
                <w:b/>
                <w:bCs/>
                <w:sz w:val="24"/>
                <w:szCs w:val="24"/>
                <w:lang w:val="en-GB"/>
              </w:rPr>
              <w:t>Keywords:</w:t>
            </w:r>
          </w:p>
        </w:tc>
        <w:tc>
          <w:tcPr>
            <w:tcW w:w="8307" w:type="dxa"/>
          </w:tcPr>
          <w:p w14:paraId="60FA705D" w14:textId="14C52A73" w:rsidR="004B1D26" w:rsidRPr="009117FD" w:rsidRDefault="00080137" w:rsidP="006A5075">
            <w:pPr>
              <w:spacing w:before="120" w:after="60"/>
              <w:rPr>
                <w:rFonts w:asciiTheme="majorBidi" w:hAnsiTheme="majorBidi" w:cstheme="majorBidi"/>
                <w:sz w:val="24"/>
                <w:szCs w:val="24"/>
                <w:lang w:val="en-GB"/>
              </w:rPr>
            </w:pPr>
            <w:r w:rsidRPr="009117FD">
              <w:rPr>
                <w:rFonts w:asciiTheme="majorBidi" w:hAnsiTheme="majorBidi" w:cstheme="majorBidi"/>
                <w:sz w:val="24"/>
                <w:szCs w:val="24"/>
                <w:lang w:val="en-GB"/>
              </w:rPr>
              <w:t>IPR</w:t>
            </w:r>
            <w:r w:rsidR="006A5075" w:rsidRPr="009117FD">
              <w:rPr>
                <w:rFonts w:asciiTheme="majorBidi" w:hAnsiTheme="majorBidi" w:cstheme="majorBidi"/>
                <w:sz w:val="24"/>
                <w:szCs w:val="24"/>
                <w:lang w:val="en-GB"/>
              </w:rPr>
              <w:t>;</w:t>
            </w:r>
            <w:r w:rsidRPr="009117FD">
              <w:rPr>
                <w:rFonts w:asciiTheme="majorBidi" w:hAnsiTheme="majorBidi" w:cstheme="majorBidi"/>
                <w:sz w:val="24"/>
                <w:szCs w:val="24"/>
                <w:lang w:val="en-GB"/>
              </w:rPr>
              <w:t xml:space="preserve"> marks guidelines</w:t>
            </w:r>
            <w:r w:rsidR="006A5075" w:rsidRPr="009117FD">
              <w:rPr>
                <w:rFonts w:asciiTheme="majorBidi" w:hAnsiTheme="majorBidi" w:cstheme="majorBidi"/>
                <w:sz w:val="24"/>
                <w:szCs w:val="24"/>
                <w:lang w:val="en-GB"/>
              </w:rPr>
              <w:t>;</w:t>
            </w:r>
          </w:p>
        </w:tc>
      </w:tr>
      <w:tr w:rsidR="003F35AE" w:rsidRPr="009117FD" w14:paraId="4FEEC65B" w14:textId="77777777" w:rsidTr="004B1D26">
        <w:trPr>
          <w:cantSplit/>
        </w:trPr>
        <w:tc>
          <w:tcPr>
            <w:tcW w:w="1616" w:type="dxa"/>
          </w:tcPr>
          <w:p w14:paraId="04C2E8A8" w14:textId="398DC838" w:rsidR="003F35AE" w:rsidRPr="009117FD" w:rsidRDefault="003F35AE" w:rsidP="00DF16BF">
            <w:pPr>
              <w:spacing w:before="120" w:after="60"/>
              <w:rPr>
                <w:rFonts w:asciiTheme="majorBidi" w:hAnsiTheme="majorBidi" w:cstheme="majorBidi"/>
                <w:b/>
                <w:bCs/>
                <w:sz w:val="24"/>
                <w:szCs w:val="24"/>
                <w:lang w:val="en-GB"/>
              </w:rPr>
            </w:pPr>
            <w:r w:rsidRPr="009117FD">
              <w:rPr>
                <w:rFonts w:asciiTheme="majorBidi" w:hAnsiTheme="majorBidi" w:cstheme="majorBidi"/>
                <w:b/>
                <w:bCs/>
                <w:sz w:val="24"/>
                <w:szCs w:val="24"/>
                <w:lang w:val="en-GB"/>
              </w:rPr>
              <w:t>Abstract:</w:t>
            </w:r>
          </w:p>
        </w:tc>
        <w:tc>
          <w:tcPr>
            <w:tcW w:w="8307" w:type="dxa"/>
          </w:tcPr>
          <w:p w14:paraId="44641E64" w14:textId="6AFA35D2" w:rsidR="003F35AE" w:rsidRPr="009117FD" w:rsidRDefault="003F35AE" w:rsidP="00DF16BF">
            <w:pPr>
              <w:spacing w:before="120" w:after="60"/>
              <w:rPr>
                <w:rFonts w:asciiTheme="majorBidi" w:hAnsiTheme="majorBidi" w:cstheme="majorBidi"/>
                <w:sz w:val="24"/>
                <w:szCs w:val="24"/>
                <w:lang w:val="en-GB"/>
              </w:rPr>
            </w:pPr>
            <w:r w:rsidRPr="009117FD">
              <w:rPr>
                <w:rFonts w:asciiTheme="majorBidi" w:hAnsiTheme="majorBidi" w:cstheme="majorBidi"/>
                <w:sz w:val="24"/>
                <w:szCs w:val="24"/>
                <w:lang w:val="en-GB"/>
              </w:rPr>
              <w:t>This TD contain the report of the meeting of the ad hoc group on IPR matters in TSAG contributions C195 and C197 (26 October 2021)</w:t>
            </w:r>
            <w:r w:rsidR="006A5075" w:rsidRPr="009117FD">
              <w:rPr>
                <w:rFonts w:asciiTheme="majorBidi" w:hAnsiTheme="majorBidi" w:cstheme="majorBidi"/>
                <w:sz w:val="24"/>
                <w:szCs w:val="24"/>
                <w:lang w:val="en-GB"/>
              </w:rPr>
              <w:t>.</w:t>
            </w:r>
          </w:p>
        </w:tc>
      </w:tr>
    </w:tbl>
    <w:p w14:paraId="67F374BD" w14:textId="4A6556AD" w:rsidR="00C108BD" w:rsidRPr="00B7711E" w:rsidRDefault="003F35AE" w:rsidP="003F35AE">
      <w:pPr>
        <w:pStyle w:val="Heading1"/>
        <w:rPr>
          <w:sz w:val="24"/>
          <w:szCs w:val="24"/>
          <w:lang w:val="en-GB"/>
        </w:rPr>
      </w:pPr>
      <w:r w:rsidRPr="00B7711E">
        <w:rPr>
          <w:sz w:val="24"/>
          <w:szCs w:val="24"/>
          <w:lang w:val="en-GB"/>
        </w:rPr>
        <w:t>Introduction</w:t>
      </w:r>
    </w:p>
    <w:p w14:paraId="7F63F8F8" w14:textId="1CF00020" w:rsidR="00B7711E" w:rsidRDefault="003F35AE" w:rsidP="00E817A3">
      <w:pPr>
        <w:spacing w:before="120"/>
        <w:jc w:val="both"/>
        <w:rPr>
          <w:sz w:val="24"/>
          <w:szCs w:val="24"/>
          <w:lang w:val="en-GB"/>
        </w:rPr>
      </w:pPr>
      <w:r>
        <w:rPr>
          <w:sz w:val="24"/>
          <w:szCs w:val="24"/>
          <w:lang w:val="en-GB"/>
        </w:rPr>
        <w:t>The first plenary meeting of TSAG, which took place on 25 October 2021</w:t>
      </w:r>
      <w:r w:rsidR="00B7711E">
        <w:rPr>
          <w:sz w:val="24"/>
          <w:szCs w:val="24"/>
          <w:lang w:val="en-GB"/>
        </w:rPr>
        <w:t>,</w:t>
      </w:r>
      <w:r>
        <w:rPr>
          <w:sz w:val="24"/>
          <w:szCs w:val="24"/>
          <w:lang w:val="en-GB"/>
        </w:rPr>
        <w:t xml:space="preserve"> created an ad hoc group that would address the </w:t>
      </w:r>
      <w:r w:rsidR="00B7711E">
        <w:rPr>
          <w:sz w:val="24"/>
          <w:szCs w:val="24"/>
          <w:lang w:val="en-GB"/>
        </w:rPr>
        <w:t xml:space="preserve">proposal to modify the IPR section on the covers of A-series Recommendations as described in </w:t>
      </w:r>
      <w:hyperlink r:id="rId14" w:history="1">
        <w:r w:rsidR="00B7711E" w:rsidRPr="00822838">
          <w:rPr>
            <w:rStyle w:val="Hyperlink"/>
            <w:sz w:val="24"/>
            <w:szCs w:val="24"/>
            <w:lang w:val="en-GB"/>
          </w:rPr>
          <w:t>TSAG</w:t>
        </w:r>
        <w:r w:rsidR="00822838" w:rsidRPr="00822838">
          <w:rPr>
            <w:rStyle w:val="Hyperlink"/>
            <w:sz w:val="24"/>
            <w:szCs w:val="24"/>
            <w:lang w:val="en-GB"/>
          </w:rPr>
          <w:t>-C-1</w:t>
        </w:r>
        <w:r w:rsidRPr="00822838">
          <w:rPr>
            <w:rStyle w:val="Hyperlink"/>
            <w:sz w:val="24"/>
            <w:szCs w:val="24"/>
            <w:lang w:val="en-GB"/>
          </w:rPr>
          <w:t>95</w:t>
        </w:r>
      </w:hyperlink>
      <w:r w:rsidR="00B7711E">
        <w:rPr>
          <w:sz w:val="24"/>
          <w:szCs w:val="24"/>
          <w:lang w:val="en-GB"/>
        </w:rPr>
        <w:t xml:space="preserve">, as well as the proposal of modification of the ITU Marks Guidelines as contained in </w:t>
      </w:r>
      <w:hyperlink r:id="rId15" w:history="1">
        <w:r w:rsidR="00822838" w:rsidRPr="00822838">
          <w:rPr>
            <w:rStyle w:val="Hyperlink"/>
            <w:sz w:val="24"/>
            <w:szCs w:val="24"/>
            <w:lang w:val="en-GB"/>
          </w:rPr>
          <w:t>TSAG-C-1</w:t>
        </w:r>
        <w:r w:rsidRPr="00822838">
          <w:rPr>
            <w:rStyle w:val="Hyperlink"/>
            <w:sz w:val="24"/>
            <w:szCs w:val="24"/>
            <w:lang w:val="en-GB"/>
          </w:rPr>
          <w:t>97</w:t>
        </w:r>
      </w:hyperlink>
      <w:r>
        <w:rPr>
          <w:sz w:val="24"/>
          <w:szCs w:val="24"/>
          <w:lang w:val="en-GB"/>
        </w:rPr>
        <w:t xml:space="preserve">. </w:t>
      </w:r>
    </w:p>
    <w:p w14:paraId="2CBB183F" w14:textId="48A59B17" w:rsidR="003F35AE" w:rsidRDefault="00B7711E" w:rsidP="00E817A3">
      <w:pPr>
        <w:spacing w:before="120"/>
        <w:jc w:val="both"/>
        <w:rPr>
          <w:sz w:val="24"/>
          <w:szCs w:val="24"/>
          <w:lang w:val="en-GB"/>
        </w:rPr>
      </w:pPr>
      <w:r>
        <w:rPr>
          <w:sz w:val="24"/>
          <w:szCs w:val="24"/>
          <w:lang w:val="en-GB"/>
        </w:rPr>
        <w:t>The</w:t>
      </w:r>
      <w:r w:rsidR="00822838">
        <w:rPr>
          <w:sz w:val="24"/>
          <w:szCs w:val="24"/>
          <w:lang w:val="en-GB"/>
        </w:rPr>
        <w:t xml:space="preserve"> </w:t>
      </w:r>
      <w:r>
        <w:rPr>
          <w:sz w:val="24"/>
          <w:szCs w:val="24"/>
          <w:lang w:val="en-GB"/>
        </w:rPr>
        <w:t xml:space="preserve">meeting </w:t>
      </w:r>
      <w:r w:rsidR="00822838">
        <w:rPr>
          <w:sz w:val="24"/>
          <w:szCs w:val="24"/>
          <w:lang w:val="en-GB"/>
        </w:rPr>
        <w:t xml:space="preserve">took place </w:t>
      </w:r>
      <w:r w:rsidR="00F76C5C" w:rsidRPr="00822838">
        <w:rPr>
          <w:sz w:val="24"/>
          <w:szCs w:val="24"/>
          <w:lang w:val="en-GB"/>
        </w:rPr>
        <w:t>on Tuesday 26 October, 2021, 16h30-17h30</w:t>
      </w:r>
      <w:r w:rsidR="00F76C5C">
        <w:rPr>
          <w:sz w:val="24"/>
          <w:szCs w:val="24"/>
          <w:lang w:val="en-GB"/>
        </w:rPr>
        <w:t xml:space="preserve">, and </w:t>
      </w:r>
      <w:r>
        <w:rPr>
          <w:sz w:val="24"/>
          <w:szCs w:val="24"/>
          <w:lang w:val="en-GB"/>
        </w:rPr>
        <w:t xml:space="preserve">was chaired by Mr. Serge </w:t>
      </w:r>
      <w:proofErr w:type="spellStart"/>
      <w:r>
        <w:rPr>
          <w:sz w:val="24"/>
          <w:szCs w:val="24"/>
          <w:lang w:val="en-GB"/>
        </w:rPr>
        <w:t>Raes</w:t>
      </w:r>
      <w:proofErr w:type="spellEnd"/>
      <w:r>
        <w:rPr>
          <w:sz w:val="24"/>
          <w:szCs w:val="24"/>
          <w:lang w:val="en-GB"/>
        </w:rPr>
        <w:t xml:space="preserve"> (Orange) for the issue on the IPR section, and by Mr Hung Ling (Nokia) for the Marks Guidelines. This TD reflects the conclusions of the meeting. </w:t>
      </w:r>
    </w:p>
    <w:p w14:paraId="528B31EF" w14:textId="0574A1BA" w:rsidR="00B7711E" w:rsidRPr="00B7711E" w:rsidRDefault="00822838" w:rsidP="00E817A3">
      <w:pPr>
        <w:pStyle w:val="Heading1"/>
        <w:jc w:val="both"/>
        <w:rPr>
          <w:sz w:val="24"/>
          <w:szCs w:val="24"/>
          <w:lang w:val="en-GB"/>
        </w:rPr>
      </w:pPr>
      <w:r>
        <w:rPr>
          <w:sz w:val="24"/>
          <w:szCs w:val="24"/>
          <w:lang w:val="en-GB"/>
        </w:rPr>
        <w:t xml:space="preserve">Discussion and </w:t>
      </w:r>
      <w:r w:rsidR="00B7711E" w:rsidRPr="00B7711E">
        <w:rPr>
          <w:sz w:val="24"/>
          <w:szCs w:val="24"/>
          <w:lang w:val="en-GB"/>
        </w:rPr>
        <w:t>Conclusions</w:t>
      </w:r>
    </w:p>
    <w:p w14:paraId="25E9100B" w14:textId="31E86857" w:rsidR="00B7711E" w:rsidRPr="00822838" w:rsidRDefault="00822838" w:rsidP="00E817A3">
      <w:pPr>
        <w:spacing w:before="120"/>
        <w:jc w:val="both"/>
        <w:rPr>
          <w:b/>
          <w:bCs/>
          <w:sz w:val="24"/>
          <w:szCs w:val="24"/>
          <w:lang w:val="en-GB"/>
        </w:rPr>
      </w:pPr>
      <w:r w:rsidRPr="00822838">
        <w:rPr>
          <w:b/>
          <w:bCs/>
          <w:sz w:val="24"/>
          <w:szCs w:val="24"/>
          <w:lang w:val="en-GB"/>
        </w:rPr>
        <w:t xml:space="preserve">1. IPR section as described in TSAG Contribution </w:t>
      </w:r>
      <w:hyperlink r:id="rId16" w:history="1">
        <w:r w:rsidRPr="00822838">
          <w:rPr>
            <w:rStyle w:val="Hyperlink"/>
            <w:b/>
            <w:bCs/>
            <w:sz w:val="24"/>
            <w:szCs w:val="24"/>
            <w:lang w:val="en-GB"/>
          </w:rPr>
          <w:t>TSAG-C-195</w:t>
        </w:r>
      </w:hyperlink>
    </w:p>
    <w:p w14:paraId="1FF81EFC" w14:textId="64642288" w:rsidR="00622EE7" w:rsidRPr="00622EE7" w:rsidRDefault="00622EE7" w:rsidP="00E817A3">
      <w:pPr>
        <w:spacing w:before="120"/>
        <w:jc w:val="both"/>
        <w:rPr>
          <w:b/>
          <w:bCs/>
          <w:sz w:val="24"/>
          <w:szCs w:val="24"/>
          <w:lang w:val="en-GB"/>
        </w:rPr>
      </w:pPr>
      <w:r>
        <w:rPr>
          <w:sz w:val="24"/>
          <w:szCs w:val="24"/>
          <w:lang w:val="en-GB"/>
        </w:rPr>
        <w:t xml:space="preserve">Chaired by Mr Serge </w:t>
      </w:r>
      <w:proofErr w:type="spellStart"/>
      <w:r>
        <w:rPr>
          <w:sz w:val="24"/>
          <w:szCs w:val="24"/>
          <w:lang w:val="en-GB"/>
        </w:rPr>
        <w:t>Raes</w:t>
      </w:r>
      <w:proofErr w:type="spellEnd"/>
      <w:r>
        <w:rPr>
          <w:sz w:val="24"/>
          <w:szCs w:val="24"/>
          <w:lang w:val="en-GB"/>
        </w:rPr>
        <w:t xml:space="preserve"> (Orange), rapporteur for patents issues of the TSB Director’s AHG on IPRs.</w:t>
      </w:r>
    </w:p>
    <w:p w14:paraId="2B020818" w14:textId="35A42CBF" w:rsidR="00822838" w:rsidRPr="00822838" w:rsidRDefault="00822838" w:rsidP="00E817A3">
      <w:pPr>
        <w:spacing w:before="120"/>
        <w:jc w:val="both"/>
        <w:rPr>
          <w:sz w:val="24"/>
          <w:szCs w:val="24"/>
          <w:lang w:val="en-GB"/>
        </w:rPr>
      </w:pPr>
      <w:r w:rsidRPr="00822838">
        <w:rPr>
          <w:sz w:val="24"/>
          <w:szCs w:val="24"/>
          <w:lang w:val="en-GB"/>
        </w:rPr>
        <w:t xml:space="preserve">The proposal to remove the boilerplate on Intellectual Property Rights at the bottom of the first page in the A-series of Recommendations, as shown in Contribution </w:t>
      </w:r>
      <w:hyperlink r:id="rId17" w:history="1">
        <w:r w:rsidRPr="00822838">
          <w:rPr>
            <w:rStyle w:val="Hyperlink"/>
            <w:sz w:val="24"/>
            <w:szCs w:val="24"/>
            <w:lang w:val="en-GB"/>
          </w:rPr>
          <w:t>TSAG-C-195</w:t>
        </w:r>
      </w:hyperlink>
      <w:r w:rsidRPr="00822838">
        <w:rPr>
          <w:sz w:val="24"/>
          <w:szCs w:val="24"/>
          <w:lang w:val="en-GB"/>
        </w:rPr>
        <w:t>, or in its entirety</w:t>
      </w:r>
      <w:r w:rsidR="00E817A3">
        <w:rPr>
          <w:sz w:val="24"/>
          <w:szCs w:val="24"/>
          <w:lang w:val="en-GB"/>
        </w:rPr>
        <w:t>,</w:t>
      </w:r>
      <w:r w:rsidRPr="00822838">
        <w:rPr>
          <w:sz w:val="24"/>
          <w:szCs w:val="24"/>
          <w:lang w:val="en-GB"/>
        </w:rPr>
        <w:t xml:space="preserve"> as suggested during the meeting, was discussed during </w:t>
      </w:r>
      <w:r>
        <w:rPr>
          <w:sz w:val="24"/>
          <w:szCs w:val="24"/>
          <w:lang w:val="en-GB"/>
        </w:rPr>
        <w:t xml:space="preserve">the first </w:t>
      </w:r>
      <w:r w:rsidRPr="00822838">
        <w:rPr>
          <w:sz w:val="24"/>
          <w:szCs w:val="24"/>
          <w:lang w:val="en-GB"/>
        </w:rPr>
        <w:t xml:space="preserve">half of the </w:t>
      </w:r>
      <w:r>
        <w:rPr>
          <w:sz w:val="24"/>
          <w:szCs w:val="24"/>
          <w:lang w:val="en-GB"/>
        </w:rPr>
        <w:t>meeting</w:t>
      </w:r>
      <w:r w:rsidR="00F76C5C">
        <w:rPr>
          <w:sz w:val="24"/>
          <w:szCs w:val="24"/>
          <w:lang w:val="en-GB"/>
        </w:rPr>
        <w:t>.</w:t>
      </w:r>
      <w:r>
        <w:rPr>
          <w:sz w:val="24"/>
          <w:szCs w:val="24"/>
          <w:lang w:val="en-GB"/>
        </w:rPr>
        <w:t xml:space="preserve"> </w:t>
      </w:r>
    </w:p>
    <w:p w14:paraId="07FD3B64" w14:textId="1CAC917A" w:rsidR="00822838" w:rsidRPr="00822838" w:rsidRDefault="00431311" w:rsidP="00E817A3">
      <w:pPr>
        <w:spacing w:before="120"/>
        <w:jc w:val="both"/>
        <w:rPr>
          <w:sz w:val="24"/>
          <w:szCs w:val="24"/>
          <w:lang w:val="en-GB"/>
        </w:rPr>
      </w:pPr>
      <w:r>
        <w:rPr>
          <w:sz w:val="24"/>
          <w:szCs w:val="24"/>
          <w:lang w:val="en-GB"/>
        </w:rPr>
        <w:t xml:space="preserve">It was recalled that TSAG has no authority to change this boilerplate, which is found in Resolution 1, and that it can only be amended by WTSA. </w:t>
      </w:r>
    </w:p>
    <w:p w14:paraId="18DC276C" w14:textId="76557872" w:rsidR="00822838" w:rsidRPr="00822838" w:rsidRDefault="00431311" w:rsidP="00E817A3">
      <w:pPr>
        <w:spacing w:before="120"/>
        <w:jc w:val="both"/>
        <w:rPr>
          <w:sz w:val="24"/>
          <w:szCs w:val="24"/>
          <w:lang w:val="en-GB"/>
        </w:rPr>
      </w:pPr>
      <w:r>
        <w:rPr>
          <w:sz w:val="24"/>
          <w:szCs w:val="24"/>
          <w:lang w:val="en-GB"/>
        </w:rPr>
        <w:t>Certain</w:t>
      </w:r>
      <w:r w:rsidRPr="00822838">
        <w:rPr>
          <w:sz w:val="24"/>
          <w:szCs w:val="24"/>
          <w:lang w:val="en-GB"/>
        </w:rPr>
        <w:t xml:space="preserve"> </w:t>
      </w:r>
      <w:r w:rsidR="00822838" w:rsidRPr="00822838">
        <w:rPr>
          <w:sz w:val="24"/>
          <w:szCs w:val="24"/>
          <w:lang w:val="en-GB"/>
        </w:rPr>
        <w:t>meeting participants acknowledge</w:t>
      </w:r>
      <w:r>
        <w:rPr>
          <w:sz w:val="24"/>
          <w:szCs w:val="24"/>
          <w:lang w:val="en-GB"/>
        </w:rPr>
        <w:t>d</w:t>
      </w:r>
      <w:r w:rsidR="00822838" w:rsidRPr="00822838">
        <w:rPr>
          <w:sz w:val="24"/>
          <w:szCs w:val="24"/>
          <w:lang w:val="en-GB"/>
        </w:rPr>
        <w:t xml:space="preserve"> that there is strictly speaking no need to have the boiler plate on Intellectual Property Rights (IPR boiler plate) </w:t>
      </w:r>
      <w:r w:rsidR="00F76C5C">
        <w:rPr>
          <w:sz w:val="24"/>
          <w:szCs w:val="24"/>
          <w:lang w:val="en-GB"/>
        </w:rPr>
        <w:t xml:space="preserve">in the covers </w:t>
      </w:r>
      <w:r w:rsidR="00822838" w:rsidRPr="00822838">
        <w:rPr>
          <w:sz w:val="24"/>
          <w:szCs w:val="24"/>
          <w:lang w:val="en-GB"/>
        </w:rPr>
        <w:t>of the A-series Recommendations because working methods and processes are not subject to technical patents rights</w:t>
      </w:r>
      <w:r>
        <w:rPr>
          <w:sz w:val="24"/>
          <w:szCs w:val="24"/>
          <w:lang w:val="en-GB"/>
        </w:rPr>
        <w:t>. T</w:t>
      </w:r>
      <w:r w:rsidR="00822838" w:rsidRPr="00822838">
        <w:rPr>
          <w:sz w:val="24"/>
          <w:szCs w:val="24"/>
          <w:lang w:val="en-GB"/>
        </w:rPr>
        <w:t xml:space="preserve">wo </w:t>
      </w:r>
      <w:r>
        <w:rPr>
          <w:sz w:val="24"/>
          <w:szCs w:val="24"/>
          <w:lang w:val="en-GB"/>
        </w:rPr>
        <w:t>options</w:t>
      </w:r>
      <w:r w:rsidRPr="00822838">
        <w:rPr>
          <w:sz w:val="24"/>
          <w:szCs w:val="24"/>
          <w:lang w:val="en-GB"/>
        </w:rPr>
        <w:t xml:space="preserve"> </w:t>
      </w:r>
      <w:r w:rsidR="00822838" w:rsidRPr="00822838">
        <w:rPr>
          <w:sz w:val="24"/>
          <w:szCs w:val="24"/>
          <w:lang w:val="en-GB"/>
        </w:rPr>
        <w:t xml:space="preserve">were </w:t>
      </w:r>
      <w:r>
        <w:rPr>
          <w:sz w:val="24"/>
          <w:szCs w:val="24"/>
          <w:lang w:val="en-GB"/>
        </w:rPr>
        <w:t>discussed</w:t>
      </w:r>
      <w:r w:rsidR="00822838" w:rsidRPr="00822838">
        <w:rPr>
          <w:sz w:val="24"/>
          <w:szCs w:val="24"/>
          <w:lang w:val="en-GB"/>
        </w:rPr>
        <w:t xml:space="preserve">: </w:t>
      </w:r>
    </w:p>
    <w:p w14:paraId="50E127A2" w14:textId="77777777" w:rsidR="00822838" w:rsidRPr="00822838" w:rsidRDefault="00822838" w:rsidP="00E817A3">
      <w:pPr>
        <w:spacing w:before="120"/>
        <w:jc w:val="both"/>
        <w:rPr>
          <w:sz w:val="24"/>
          <w:szCs w:val="24"/>
          <w:lang w:val="en-GB"/>
        </w:rPr>
      </w:pPr>
      <w:r w:rsidRPr="00822838">
        <w:rPr>
          <w:sz w:val="24"/>
          <w:szCs w:val="24"/>
          <w:lang w:val="en-GB"/>
        </w:rPr>
        <w:t xml:space="preserve"> </w:t>
      </w:r>
    </w:p>
    <w:p w14:paraId="519CCCF1" w14:textId="783B7962" w:rsidR="00822838" w:rsidRPr="00822838" w:rsidRDefault="00822838" w:rsidP="00E817A3">
      <w:pPr>
        <w:spacing w:before="120"/>
        <w:jc w:val="both"/>
        <w:rPr>
          <w:sz w:val="24"/>
          <w:szCs w:val="24"/>
          <w:lang w:val="en-GB"/>
        </w:rPr>
      </w:pPr>
      <w:r w:rsidRPr="00822838">
        <w:rPr>
          <w:sz w:val="24"/>
          <w:szCs w:val="24"/>
          <w:lang w:val="en-GB"/>
        </w:rPr>
        <w:lastRenderedPageBreak/>
        <w:t xml:space="preserve">Option 1: Status quo </w:t>
      </w:r>
      <w:r w:rsidR="00F76C5C">
        <w:rPr>
          <w:sz w:val="24"/>
          <w:szCs w:val="24"/>
          <w:lang w:val="en-GB"/>
        </w:rPr>
        <w:t>–</w:t>
      </w:r>
      <w:r w:rsidR="00431311">
        <w:rPr>
          <w:sz w:val="24"/>
          <w:szCs w:val="24"/>
          <w:lang w:val="en-GB"/>
        </w:rPr>
        <w:t xml:space="preserve"> no change to the current text.</w:t>
      </w:r>
      <w:r w:rsidRPr="00822838">
        <w:rPr>
          <w:sz w:val="24"/>
          <w:szCs w:val="24"/>
          <w:lang w:val="en-GB"/>
        </w:rPr>
        <w:t xml:space="preserve"> </w:t>
      </w:r>
    </w:p>
    <w:p w14:paraId="4BB7CFF5" w14:textId="47FA9E2E" w:rsidR="00822838" w:rsidRPr="00822838" w:rsidRDefault="00822838" w:rsidP="00E817A3">
      <w:pPr>
        <w:spacing w:before="120"/>
        <w:jc w:val="both"/>
        <w:rPr>
          <w:sz w:val="24"/>
          <w:szCs w:val="24"/>
          <w:lang w:val="en-GB"/>
        </w:rPr>
      </w:pPr>
      <w:r w:rsidRPr="00822838">
        <w:rPr>
          <w:sz w:val="24"/>
          <w:szCs w:val="24"/>
          <w:lang w:val="en-GB"/>
        </w:rPr>
        <w:t>Option 2: Remov</w:t>
      </w:r>
      <w:r w:rsidR="00431311">
        <w:rPr>
          <w:sz w:val="24"/>
          <w:szCs w:val="24"/>
          <w:lang w:val="en-GB"/>
        </w:rPr>
        <w:t>al of</w:t>
      </w:r>
      <w:r w:rsidRPr="00822838">
        <w:rPr>
          <w:sz w:val="24"/>
          <w:szCs w:val="24"/>
          <w:lang w:val="en-GB"/>
        </w:rPr>
        <w:t xml:space="preserve"> the entire IPR boiler plate </w:t>
      </w:r>
      <w:r w:rsidR="00431311">
        <w:rPr>
          <w:sz w:val="24"/>
          <w:szCs w:val="24"/>
          <w:lang w:val="en-GB"/>
        </w:rPr>
        <w:t>or adoption of a revised template for the A-series</w:t>
      </w:r>
      <w:r w:rsidR="00E817A3">
        <w:rPr>
          <w:sz w:val="24"/>
          <w:szCs w:val="24"/>
          <w:lang w:val="en-GB"/>
        </w:rPr>
        <w:t xml:space="preserve"> </w:t>
      </w:r>
      <w:r w:rsidR="00F76C5C">
        <w:rPr>
          <w:sz w:val="24"/>
          <w:szCs w:val="24"/>
          <w:lang w:val="en-GB"/>
        </w:rPr>
        <w:t>–</w:t>
      </w:r>
      <w:r w:rsidRPr="00822838">
        <w:rPr>
          <w:sz w:val="24"/>
          <w:szCs w:val="24"/>
          <w:lang w:val="en-GB"/>
        </w:rPr>
        <w:t xml:space="preserve"> </w:t>
      </w:r>
      <w:r w:rsidR="00F76C5C">
        <w:rPr>
          <w:sz w:val="24"/>
          <w:szCs w:val="24"/>
          <w:lang w:val="en-GB"/>
        </w:rPr>
        <w:t>T</w:t>
      </w:r>
      <w:r w:rsidRPr="00822838">
        <w:rPr>
          <w:sz w:val="24"/>
          <w:szCs w:val="24"/>
          <w:lang w:val="en-GB"/>
        </w:rPr>
        <w:t xml:space="preserve">his would require </w:t>
      </w:r>
      <w:r w:rsidR="00431311">
        <w:rPr>
          <w:sz w:val="24"/>
          <w:szCs w:val="24"/>
          <w:lang w:val="en-GB"/>
        </w:rPr>
        <w:t>a</w:t>
      </w:r>
      <w:r w:rsidR="00F76C5C">
        <w:rPr>
          <w:sz w:val="24"/>
          <w:szCs w:val="24"/>
          <w:lang w:val="en-GB"/>
        </w:rPr>
        <w:t xml:space="preserve"> </w:t>
      </w:r>
      <w:r w:rsidRPr="00822838">
        <w:rPr>
          <w:sz w:val="24"/>
          <w:szCs w:val="24"/>
          <w:lang w:val="en-GB"/>
        </w:rPr>
        <w:t xml:space="preserve">change to Resolution 1.  </w:t>
      </w:r>
    </w:p>
    <w:p w14:paraId="697C4E2A" w14:textId="53364DF7" w:rsidR="00431311" w:rsidRDefault="00431311" w:rsidP="00E817A3">
      <w:pPr>
        <w:spacing w:before="120"/>
        <w:jc w:val="both"/>
        <w:rPr>
          <w:sz w:val="24"/>
          <w:szCs w:val="24"/>
          <w:lang w:val="en-GB"/>
        </w:rPr>
      </w:pPr>
      <w:r>
        <w:rPr>
          <w:sz w:val="24"/>
          <w:szCs w:val="24"/>
          <w:lang w:val="en-GB"/>
        </w:rPr>
        <w:t>C</w:t>
      </w:r>
      <w:r w:rsidR="0038642D">
        <w:rPr>
          <w:sz w:val="24"/>
          <w:szCs w:val="24"/>
          <w:lang w:val="en-GB"/>
        </w:rPr>
        <w:t xml:space="preserve">oncern was expressed </w:t>
      </w:r>
      <w:r w:rsidR="00822838" w:rsidRPr="00822838">
        <w:rPr>
          <w:sz w:val="24"/>
          <w:szCs w:val="24"/>
          <w:lang w:val="en-GB"/>
        </w:rPr>
        <w:t xml:space="preserve">that the removal </w:t>
      </w:r>
      <w:r w:rsidR="0038642D">
        <w:rPr>
          <w:sz w:val="24"/>
          <w:szCs w:val="24"/>
          <w:lang w:val="en-GB"/>
        </w:rPr>
        <w:t xml:space="preserve">of the IPR section from the covers of the A-series Recommendations </w:t>
      </w:r>
      <w:r w:rsidR="00822838" w:rsidRPr="00822838">
        <w:rPr>
          <w:sz w:val="24"/>
          <w:szCs w:val="24"/>
          <w:lang w:val="en-GB"/>
        </w:rPr>
        <w:t xml:space="preserve">could </w:t>
      </w:r>
      <w:r w:rsidR="0038642D">
        <w:rPr>
          <w:sz w:val="24"/>
          <w:szCs w:val="24"/>
          <w:lang w:val="en-GB"/>
        </w:rPr>
        <w:t xml:space="preserve">propagate to other series, and that </w:t>
      </w:r>
      <w:r w:rsidR="00822838" w:rsidRPr="00822838">
        <w:rPr>
          <w:sz w:val="24"/>
          <w:szCs w:val="24"/>
          <w:lang w:val="en-GB"/>
        </w:rPr>
        <w:t xml:space="preserve">could create unexpected difficulties. </w:t>
      </w:r>
    </w:p>
    <w:p w14:paraId="65B1BC20" w14:textId="7E1E9C43" w:rsidR="00822838" w:rsidRPr="00822838" w:rsidRDefault="00431311" w:rsidP="00E817A3">
      <w:pPr>
        <w:spacing w:before="120"/>
        <w:jc w:val="both"/>
        <w:rPr>
          <w:sz w:val="24"/>
          <w:szCs w:val="24"/>
          <w:lang w:val="en-GB"/>
        </w:rPr>
      </w:pPr>
      <w:r>
        <w:rPr>
          <w:sz w:val="24"/>
          <w:szCs w:val="24"/>
          <w:lang w:val="en-GB"/>
        </w:rPr>
        <w:t>To conclude, t</w:t>
      </w:r>
      <w:r w:rsidR="00822838" w:rsidRPr="00822838">
        <w:rPr>
          <w:sz w:val="24"/>
          <w:szCs w:val="24"/>
          <w:lang w:val="en-GB"/>
        </w:rPr>
        <w:t xml:space="preserve">here was no consensus </w:t>
      </w:r>
      <w:r>
        <w:rPr>
          <w:sz w:val="24"/>
          <w:szCs w:val="24"/>
          <w:lang w:val="en-GB"/>
        </w:rPr>
        <w:t>on the proposal.</w:t>
      </w:r>
      <w:r w:rsidR="00822838" w:rsidRPr="00822838">
        <w:rPr>
          <w:sz w:val="24"/>
          <w:szCs w:val="24"/>
          <w:lang w:val="en-GB"/>
        </w:rPr>
        <w:t xml:space="preserve"> </w:t>
      </w:r>
    </w:p>
    <w:p w14:paraId="37890A38" w14:textId="095F4A62" w:rsidR="00B7711E" w:rsidRDefault="00B7711E" w:rsidP="00E817A3">
      <w:pPr>
        <w:spacing w:before="120"/>
        <w:jc w:val="both"/>
        <w:rPr>
          <w:sz w:val="24"/>
          <w:szCs w:val="24"/>
          <w:lang w:val="en-GB"/>
        </w:rPr>
      </w:pPr>
    </w:p>
    <w:p w14:paraId="4C430F98" w14:textId="77777777" w:rsidR="00622EE7" w:rsidRDefault="0038642D" w:rsidP="00E817A3">
      <w:pPr>
        <w:spacing w:before="120"/>
        <w:jc w:val="both"/>
        <w:rPr>
          <w:sz w:val="24"/>
          <w:szCs w:val="24"/>
          <w:lang w:val="en-GB"/>
        </w:rPr>
      </w:pPr>
      <w:r w:rsidRPr="0038642D">
        <w:rPr>
          <w:b/>
          <w:bCs/>
          <w:sz w:val="24"/>
          <w:szCs w:val="24"/>
          <w:lang w:val="en-GB"/>
        </w:rPr>
        <w:t xml:space="preserve">2. </w:t>
      </w:r>
      <w:hyperlink r:id="rId18" w:history="1">
        <w:r w:rsidRPr="0038642D">
          <w:rPr>
            <w:rStyle w:val="Hyperlink"/>
            <w:b/>
            <w:bCs/>
            <w:sz w:val="24"/>
            <w:szCs w:val="24"/>
            <w:lang w:val="en-GB"/>
          </w:rPr>
          <w:t>TSAG-C-197</w:t>
        </w:r>
      </w:hyperlink>
      <w:r w:rsidR="00622EE7">
        <w:rPr>
          <w:sz w:val="24"/>
          <w:szCs w:val="24"/>
          <w:lang w:val="en-GB"/>
        </w:rPr>
        <w:t xml:space="preserve"> </w:t>
      </w:r>
    </w:p>
    <w:p w14:paraId="27B55470" w14:textId="708D96BE" w:rsidR="0038642D" w:rsidRPr="00622EE7" w:rsidRDefault="00622EE7" w:rsidP="00E817A3">
      <w:pPr>
        <w:spacing w:before="120"/>
        <w:jc w:val="both"/>
        <w:rPr>
          <w:b/>
          <w:bCs/>
          <w:sz w:val="24"/>
          <w:szCs w:val="24"/>
          <w:lang w:val="en-GB"/>
        </w:rPr>
      </w:pPr>
      <w:r>
        <w:rPr>
          <w:sz w:val="24"/>
          <w:szCs w:val="24"/>
          <w:lang w:val="en-GB"/>
        </w:rPr>
        <w:t>Chaired by Mr Hung Ling (Nokia), rapporteur for marks issues of the TSB Director’s AHG on IPRs.</w:t>
      </w:r>
    </w:p>
    <w:p w14:paraId="58F2BF1D" w14:textId="521AF270" w:rsidR="0038642D" w:rsidRPr="0038642D" w:rsidRDefault="0038642D" w:rsidP="00E817A3">
      <w:pPr>
        <w:spacing w:before="120"/>
        <w:jc w:val="both"/>
        <w:rPr>
          <w:sz w:val="24"/>
          <w:szCs w:val="24"/>
          <w:lang w:val="en-GB"/>
        </w:rPr>
      </w:pPr>
      <w:r>
        <w:rPr>
          <w:sz w:val="24"/>
          <w:szCs w:val="24"/>
          <w:lang w:val="en-GB"/>
        </w:rPr>
        <w:t>During the Plenary meeting on Monday 2</w:t>
      </w:r>
      <w:r w:rsidR="009336EF">
        <w:rPr>
          <w:sz w:val="24"/>
          <w:szCs w:val="24"/>
          <w:lang w:val="en-GB"/>
        </w:rPr>
        <w:t>5</w:t>
      </w:r>
      <w:r>
        <w:rPr>
          <w:sz w:val="24"/>
          <w:szCs w:val="24"/>
          <w:lang w:val="en-GB"/>
        </w:rPr>
        <w:t xml:space="preserve"> October, </w:t>
      </w:r>
      <w:r w:rsidRPr="0038642D">
        <w:rPr>
          <w:sz w:val="24"/>
          <w:szCs w:val="24"/>
          <w:lang w:val="en-GB"/>
        </w:rPr>
        <w:t xml:space="preserve">Mr Gracie provided a response to the questions posted in </w:t>
      </w:r>
      <w:hyperlink r:id="rId19" w:history="1">
        <w:r w:rsidRPr="0038642D">
          <w:rPr>
            <w:rStyle w:val="Hyperlink"/>
            <w:sz w:val="24"/>
            <w:szCs w:val="24"/>
            <w:lang w:val="en-GB"/>
          </w:rPr>
          <w:t>TSAG-C-197</w:t>
        </w:r>
      </w:hyperlink>
      <w:r w:rsidRPr="0038642D">
        <w:rPr>
          <w:sz w:val="24"/>
          <w:szCs w:val="24"/>
          <w:lang w:val="en-GB"/>
        </w:rPr>
        <w:t>.</w:t>
      </w:r>
    </w:p>
    <w:p w14:paraId="5DCDEFCE" w14:textId="77777777" w:rsidR="00E817A3" w:rsidRDefault="0038642D" w:rsidP="00E817A3">
      <w:pPr>
        <w:spacing w:before="120"/>
        <w:jc w:val="both"/>
        <w:rPr>
          <w:sz w:val="24"/>
          <w:szCs w:val="24"/>
          <w:lang w:val="en-GB"/>
        </w:rPr>
      </w:pPr>
      <w:r w:rsidRPr="0038642D">
        <w:rPr>
          <w:sz w:val="24"/>
          <w:szCs w:val="24"/>
          <w:lang w:val="en-GB"/>
        </w:rPr>
        <w:t xml:space="preserve">For the Russian contribution to the IPR AHG on Marks issues, Russia was offered the opportunity to speak and elaborate on its concerns raised in its contribution to a TSAG audience. Two highlighted proposals were: </w:t>
      </w:r>
    </w:p>
    <w:p w14:paraId="7BA9B8EB" w14:textId="07BE5F9B" w:rsidR="00E817A3" w:rsidRDefault="0038642D" w:rsidP="00E817A3">
      <w:pPr>
        <w:spacing w:before="120"/>
        <w:jc w:val="both"/>
        <w:rPr>
          <w:sz w:val="24"/>
          <w:szCs w:val="24"/>
          <w:lang w:val="en-GB"/>
        </w:rPr>
      </w:pPr>
      <w:r w:rsidRPr="0038642D">
        <w:rPr>
          <w:sz w:val="24"/>
          <w:szCs w:val="24"/>
          <w:lang w:val="en-GB"/>
        </w:rPr>
        <w:t xml:space="preserve">(1) Section 2/paragraph 2: Russia proposes to change “should” to “shall” in “if the use of a mark is such that it would require a license, then it should not be included in the Recommendation.”; and </w:t>
      </w:r>
    </w:p>
    <w:p w14:paraId="0B811FA3" w14:textId="4B17E170" w:rsidR="0038642D" w:rsidRPr="0038642D" w:rsidRDefault="0038642D" w:rsidP="00E817A3">
      <w:pPr>
        <w:spacing w:before="120"/>
        <w:jc w:val="both"/>
        <w:rPr>
          <w:sz w:val="24"/>
          <w:szCs w:val="24"/>
          <w:lang w:val="en-GB"/>
        </w:rPr>
      </w:pPr>
      <w:r w:rsidRPr="0038642D">
        <w:rPr>
          <w:sz w:val="24"/>
          <w:szCs w:val="24"/>
          <w:lang w:val="en-GB"/>
        </w:rPr>
        <w:t>(2) Section 2/paragraph 1: Russia believes there is not alignment in the sentence of “The appearance that a Recommendation endorses any particular products, services or companies/organizations must be avoided” and the following sentence where the word “should” is used in “Therefore, proper names, trademarks, service marks or certification marks of specific companies/organizations, products or services should not be included in the text of an ITU-T Recommendation or in an appendix (or the equivalent) if it appears that they might cause this effect on a reader of an ITU-T Recommendation</w:t>
      </w:r>
      <w:r w:rsidR="00E817A3">
        <w:rPr>
          <w:sz w:val="24"/>
          <w:szCs w:val="24"/>
          <w:lang w:val="en-GB"/>
        </w:rPr>
        <w:t>”</w:t>
      </w:r>
      <w:r w:rsidRPr="0038642D">
        <w:rPr>
          <w:sz w:val="24"/>
          <w:szCs w:val="24"/>
          <w:lang w:val="en-GB"/>
        </w:rPr>
        <w:t>.</w:t>
      </w:r>
    </w:p>
    <w:p w14:paraId="79C4B6A8" w14:textId="7AAEF571" w:rsidR="0038642D" w:rsidRPr="0038642D" w:rsidRDefault="0038642D" w:rsidP="00E817A3">
      <w:pPr>
        <w:spacing w:before="120"/>
        <w:jc w:val="both"/>
        <w:rPr>
          <w:sz w:val="24"/>
          <w:szCs w:val="24"/>
          <w:lang w:val="en-GB"/>
        </w:rPr>
      </w:pPr>
      <w:r w:rsidRPr="0038642D">
        <w:rPr>
          <w:sz w:val="24"/>
          <w:szCs w:val="24"/>
          <w:lang w:val="en-GB"/>
        </w:rPr>
        <w:t xml:space="preserve">There was no opinion expressed to support those concerns in the session, while a number of opinions </w:t>
      </w:r>
      <w:r w:rsidR="00E817A3">
        <w:rPr>
          <w:sz w:val="24"/>
          <w:szCs w:val="24"/>
          <w:lang w:val="en-GB"/>
        </w:rPr>
        <w:t>were</w:t>
      </w:r>
      <w:r w:rsidRPr="0038642D">
        <w:rPr>
          <w:sz w:val="24"/>
          <w:szCs w:val="24"/>
          <w:lang w:val="en-GB"/>
        </w:rPr>
        <w:t xml:space="preserve"> expressed to support NO change to the Marks Guidelines document (other than a minor correction to a link embedded in the document).  The reasons vary from op</w:t>
      </w:r>
      <w:r w:rsidR="00622EE7">
        <w:rPr>
          <w:sz w:val="24"/>
          <w:szCs w:val="24"/>
          <w:lang w:val="en-GB"/>
        </w:rPr>
        <w:t>t</w:t>
      </w:r>
      <w:r w:rsidRPr="0038642D">
        <w:rPr>
          <w:sz w:val="24"/>
          <w:szCs w:val="24"/>
          <w:lang w:val="en-GB"/>
        </w:rPr>
        <w:t xml:space="preserve">ing to give ITU flexibility and possibility to negotiate for a “no license needed” to concern about unintended consequences from such proposed changes.  </w:t>
      </w:r>
    </w:p>
    <w:p w14:paraId="72EF2C05" w14:textId="2355A5F3" w:rsidR="0038642D" w:rsidRDefault="0038642D" w:rsidP="00E817A3">
      <w:pPr>
        <w:spacing w:before="120"/>
        <w:jc w:val="both"/>
        <w:rPr>
          <w:sz w:val="24"/>
          <w:szCs w:val="24"/>
          <w:lang w:val="en-GB"/>
        </w:rPr>
      </w:pPr>
      <w:r w:rsidRPr="0038642D">
        <w:rPr>
          <w:sz w:val="24"/>
          <w:szCs w:val="24"/>
          <w:lang w:val="en-GB"/>
        </w:rPr>
        <w:t>The Chair concluded as such, and as the IPR AHG is the guardian of the Marks Guidelines, will bring the topic and collective comments from the TSAG session back to the IPR AHG one more time to see if there is consensus to continue such discussion on the mailing list or via an e-meeting.</w:t>
      </w:r>
    </w:p>
    <w:p w14:paraId="27CC30B3" w14:textId="5F74F933" w:rsidR="00D56B22" w:rsidRDefault="00D56B22" w:rsidP="0038642D">
      <w:pPr>
        <w:spacing w:before="120"/>
        <w:rPr>
          <w:sz w:val="24"/>
          <w:szCs w:val="24"/>
          <w:lang w:val="en-GB"/>
        </w:rPr>
      </w:pPr>
    </w:p>
    <w:p w14:paraId="2588FFE2" w14:textId="13CD393A" w:rsidR="00D56B22" w:rsidRDefault="00D56B22" w:rsidP="0038642D">
      <w:pPr>
        <w:spacing w:before="120"/>
        <w:rPr>
          <w:sz w:val="24"/>
          <w:szCs w:val="24"/>
          <w:lang w:val="en-GB"/>
        </w:rPr>
      </w:pPr>
    </w:p>
    <w:p w14:paraId="43191B6B" w14:textId="2F2875B9" w:rsidR="00D56B22" w:rsidRPr="008F69C5" w:rsidRDefault="00D56B22" w:rsidP="00D56B22">
      <w:pPr>
        <w:spacing w:before="120"/>
        <w:jc w:val="center"/>
        <w:rPr>
          <w:sz w:val="24"/>
          <w:szCs w:val="24"/>
          <w:lang w:val="en-GB"/>
        </w:rPr>
      </w:pPr>
      <w:r>
        <w:rPr>
          <w:sz w:val="24"/>
          <w:szCs w:val="24"/>
          <w:lang w:val="en-GB"/>
        </w:rPr>
        <w:t>__________</w:t>
      </w:r>
      <w:r w:rsidR="004F03A1">
        <w:rPr>
          <w:sz w:val="24"/>
          <w:szCs w:val="24"/>
          <w:lang w:val="en-GB"/>
        </w:rPr>
        <w:t>____</w:t>
      </w:r>
    </w:p>
    <w:sectPr w:rsidR="00D56B22" w:rsidRPr="008F69C5" w:rsidSect="00BE79F5">
      <w:headerReference w:type="default" r:id="rId20"/>
      <w:footerReference w:type="default" r:id="rId21"/>
      <w:headerReference w:type="first" r:id="rId22"/>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16F7" w14:textId="77777777" w:rsidR="00EA3700" w:rsidRDefault="00EA3700">
      <w:r>
        <w:separator/>
      </w:r>
    </w:p>
  </w:endnote>
  <w:endnote w:type="continuationSeparator" w:id="0">
    <w:p w14:paraId="723AADBD" w14:textId="77777777" w:rsidR="00EA3700" w:rsidRDefault="00E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åv¬"/>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88867"/>
      <w:docPartObj>
        <w:docPartGallery w:val="Page Numbers (Bottom of Page)"/>
        <w:docPartUnique/>
      </w:docPartObj>
    </w:sdtPr>
    <w:sdtEndPr>
      <w:rPr>
        <w:noProof/>
      </w:rPr>
    </w:sdtEndPr>
    <w:sdtContent>
      <w:p w14:paraId="7D911D58" w14:textId="7BC4DF18" w:rsidR="00DF1126" w:rsidRDefault="009117FD">
        <w:pPr>
          <w:pStyle w:val="Footer"/>
          <w:jc w:val="center"/>
        </w:pPr>
      </w:p>
    </w:sdtContent>
  </w:sdt>
  <w:p w14:paraId="07E7C3DD"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A842" w14:textId="77777777" w:rsidR="00EA3700" w:rsidRDefault="00EA3700">
      <w:r>
        <w:separator/>
      </w:r>
    </w:p>
  </w:footnote>
  <w:footnote w:type="continuationSeparator" w:id="0">
    <w:p w14:paraId="49DCD097" w14:textId="77777777" w:rsidR="00EA3700" w:rsidRDefault="00E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7407" w14:textId="77777777" w:rsidR="00BE79F5" w:rsidRDefault="00BE79F5">
    <w:pPr>
      <w:pStyle w:val="Header"/>
      <w:jc w:val="center"/>
    </w:pPr>
  </w:p>
  <w:p w14:paraId="4DCE4BCF" w14:textId="77777777" w:rsidR="00BE79F5" w:rsidRDefault="00BE79F5">
    <w:pPr>
      <w:pStyle w:val="Header"/>
      <w:jc w:val="center"/>
    </w:pPr>
  </w:p>
  <w:sdt>
    <w:sdtPr>
      <w:id w:val="-1133717877"/>
      <w:docPartObj>
        <w:docPartGallery w:val="Page Numbers (Top of Page)"/>
        <w:docPartUnique/>
      </w:docPartObj>
    </w:sdtPr>
    <w:sdtEndPr>
      <w:rPr>
        <w:noProof/>
      </w:rPr>
    </w:sdtEndPr>
    <w:sdtContent>
      <w:p w14:paraId="631DE558" w14:textId="17555C7D" w:rsidR="00BE79F5" w:rsidRDefault="00BE79F5">
        <w:pPr>
          <w:pStyle w:val="Header"/>
          <w:jc w:val="center"/>
        </w:pPr>
        <w:r>
          <w:fldChar w:fldCharType="begin"/>
        </w:r>
        <w:r>
          <w:instrText xml:space="preserve"> PAGE   \* MERGEFORMAT </w:instrText>
        </w:r>
        <w:r>
          <w:fldChar w:fldCharType="separate"/>
        </w:r>
        <w:r w:rsidR="009117FD">
          <w:rPr>
            <w:noProof/>
          </w:rPr>
          <w:t>- 2 -</w:t>
        </w:r>
        <w:r>
          <w:rPr>
            <w:noProof/>
          </w:rPr>
          <w:fldChar w:fldCharType="end"/>
        </w:r>
        <w:r>
          <w:rPr>
            <w:noProof/>
          </w:rPr>
          <w:br/>
          <w:t>TSAG-TD</w:t>
        </w:r>
        <w:r w:rsidR="009336EF">
          <w:rPr>
            <w:noProof/>
          </w:rPr>
          <w:t>1165</w:t>
        </w:r>
      </w:p>
    </w:sdtContent>
  </w:sdt>
  <w:p w14:paraId="1F7900E4" w14:textId="77777777" w:rsidR="00BE79F5" w:rsidRDefault="00BE79F5" w:rsidP="00BE79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DB9B" w14:textId="77777777" w:rsidR="00A7389F" w:rsidRPr="00422C1F" w:rsidRDefault="00A7389F">
    <w:pPr>
      <w:pStyle w:val="Header"/>
      <w:rPr>
        <w:lang w:val="en-GB"/>
      </w:rPr>
    </w:pPr>
  </w:p>
  <w:p w14:paraId="26769AC2" w14:textId="77777777" w:rsidR="00A7389F" w:rsidRPr="00422C1F" w:rsidRDefault="00A7389F">
    <w:pPr>
      <w:pStyle w:val="Header"/>
      <w:rPr>
        <w:lang w:val="en-GB"/>
      </w:rPr>
    </w:pPr>
  </w:p>
  <w:p w14:paraId="2F1BC8F6" w14:textId="77777777" w:rsidR="00A7389F" w:rsidRPr="00422C1F" w:rsidRDefault="00A7389F">
    <w:pPr>
      <w:pStyle w:val="Header"/>
      <w:rPr>
        <w:lang w:val="en-GB"/>
      </w:rPr>
    </w:pPr>
  </w:p>
  <w:p w14:paraId="258EA6F0" w14:textId="77777777" w:rsidR="00A7389F" w:rsidRPr="00422C1F" w:rsidRDefault="00A7389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1F6"/>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 w15:restartNumberingAfterBreak="0">
    <w:nsid w:val="022748C0"/>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 w15:restartNumberingAfterBreak="0">
    <w:nsid w:val="03AD2468"/>
    <w:multiLevelType w:val="multilevel"/>
    <w:tmpl w:val="D13A4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93B50"/>
    <w:multiLevelType w:val="hybridMultilevel"/>
    <w:tmpl w:val="15B2C95A"/>
    <w:lvl w:ilvl="0" w:tplc="062AEA74">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3772"/>
    <w:multiLevelType w:val="hybridMultilevel"/>
    <w:tmpl w:val="C1320B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A4AA8"/>
    <w:multiLevelType w:val="multilevel"/>
    <w:tmpl w:val="AE06CAFC"/>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8E0A61"/>
    <w:multiLevelType w:val="hybridMultilevel"/>
    <w:tmpl w:val="C6BA6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8198F"/>
    <w:multiLevelType w:val="hybridMultilevel"/>
    <w:tmpl w:val="6FC4254A"/>
    <w:lvl w:ilvl="0" w:tplc="9064C1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9A7A43"/>
    <w:multiLevelType w:val="hybridMultilevel"/>
    <w:tmpl w:val="6FDC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AA274A"/>
    <w:multiLevelType w:val="hybridMultilevel"/>
    <w:tmpl w:val="77883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15A17"/>
    <w:multiLevelType w:val="hybridMultilevel"/>
    <w:tmpl w:val="BC44E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01A10"/>
    <w:multiLevelType w:val="multilevel"/>
    <w:tmpl w:val="10AE1E8A"/>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4E1752C"/>
    <w:multiLevelType w:val="hybridMultilevel"/>
    <w:tmpl w:val="368CFE70"/>
    <w:lvl w:ilvl="0" w:tplc="FCF85A86">
      <w:start w:val="1"/>
      <w:numFmt w:val="lowerLetter"/>
      <w:lvlText w:val="%1)"/>
      <w:lvlJc w:val="left"/>
      <w:pPr>
        <w:ind w:left="784" w:hanging="360"/>
      </w:pPr>
      <w:rPr>
        <w:rFonts w:hint="default"/>
        <w:b/>
        <w:i w:val="0"/>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3" w15:restartNumberingAfterBreak="0">
    <w:nsid w:val="27F9340F"/>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4" w15:restartNumberingAfterBreak="0">
    <w:nsid w:val="2BC31019"/>
    <w:multiLevelType w:val="multilevel"/>
    <w:tmpl w:val="87A2F670"/>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847"/>
        </w:tabs>
        <w:ind w:left="847"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D2527EA"/>
    <w:multiLevelType w:val="hybridMultilevel"/>
    <w:tmpl w:val="AF501F22"/>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6" w15:restartNumberingAfterBreak="0">
    <w:nsid w:val="2DEB595A"/>
    <w:multiLevelType w:val="hybridMultilevel"/>
    <w:tmpl w:val="39DE6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B26A8"/>
    <w:multiLevelType w:val="hybridMultilevel"/>
    <w:tmpl w:val="74B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55D51"/>
    <w:multiLevelType w:val="hybridMultilevel"/>
    <w:tmpl w:val="1D58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D1E80"/>
    <w:multiLevelType w:val="hybridMultilevel"/>
    <w:tmpl w:val="128CF456"/>
    <w:lvl w:ilvl="0" w:tplc="7C0C76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53E78"/>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1" w15:restartNumberingAfterBreak="0">
    <w:nsid w:val="3ECB363D"/>
    <w:multiLevelType w:val="hybridMultilevel"/>
    <w:tmpl w:val="7DB4C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DF2FC6"/>
    <w:multiLevelType w:val="hybridMultilevel"/>
    <w:tmpl w:val="32C8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F81896"/>
    <w:multiLevelType w:val="singleLevel"/>
    <w:tmpl w:val="C17654DE"/>
    <w:lvl w:ilvl="0">
      <w:start w:val="5"/>
      <w:numFmt w:val="decimal"/>
      <w:lvlText w:val="%1."/>
      <w:lvlJc w:val="left"/>
      <w:pPr>
        <w:tabs>
          <w:tab w:val="num" w:pos="570"/>
        </w:tabs>
        <w:ind w:left="570" w:hanging="570"/>
      </w:pPr>
      <w:rPr>
        <w:rFonts w:hint="default"/>
      </w:rPr>
    </w:lvl>
  </w:abstractNum>
  <w:abstractNum w:abstractNumId="24" w15:restartNumberingAfterBreak="0">
    <w:nsid w:val="493C3B58"/>
    <w:multiLevelType w:val="hybridMultilevel"/>
    <w:tmpl w:val="529C990A"/>
    <w:lvl w:ilvl="0" w:tplc="7C8A16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17D64"/>
    <w:multiLevelType w:val="hybridMultilevel"/>
    <w:tmpl w:val="52CE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DF6D32"/>
    <w:multiLevelType w:val="hybridMultilevel"/>
    <w:tmpl w:val="65A04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5615D5"/>
    <w:multiLevelType w:val="hybridMultilevel"/>
    <w:tmpl w:val="3362B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C81155"/>
    <w:multiLevelType w:val="hybridMultilevel"/>
    <w:tmpl w:val="23A4B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983243"/>
    <w:multiLevelType w:val="multilevel"/>
    <w:tmpl w:val="FA787C5A"/>
    <w:lvl w:ilvl="0">
      <w:start w:val="6"/>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83107F4"/>
    <w:multiLevelType w:val="multilevel"/>
    <w:tmpl w:val="9C7E07FE"/>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BFA40B3"/>
    <w:multiLevelType w:val="hybridMultilevel"/>
    <w:tmpl w:val="0B4A53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180D9FA">
      <w:start w:val="5"/>
      <w:numFmt w:val="bullet"/>
      <w:lvlText w:val="-"/>
      <w:lvlJc w:val="left"/>
      <w:pPr>
        <w:ind w:left="2340" w:hanging="360"/>
      </w:pPr>
      <w:rPr>
        <w:rFonts w:ascii="Arial" w:eastAsia="Times New Roman" w:hAnsi="Arial" w:cs="Arial" w:hint="default"/>
      </w:rPr>
    </w:lvl>
    <w:lvl w:ilvl="3" w:tplc="4F72552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9797A"/>
    <w:multiLevelType w:val="hybridMultilevel"/>
    <w:tmpl w:val="1E144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E078A"/>
    <w:multiLevelType w:val="hybridMultilevel"/>
    <w:tmpl w:val="ED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B5F9B"/>
    <w:multiLevelType w:val="multilevel"/>
    <w:tmpl w:val="2AB84364"/>
    <w:lvl w:ilvl="0">
      <w:start w:val="4"/>
      <w:numFmt w:val="decimal"/>
      <w:lvlText w:val="%1"/>
      <w:lvlJc w:val="left"/>
      <w:pPr>
        <w:tabs>
          <w:tab w:val="num" w:pos="564"/>
        </w:tabs>
        <w:ind w:left="564" w:hanging="564"/>
      </w:pPr>
      <w:rPr>
        <w:rFonts w:hint="default"/>
      </w:rPr>
    </w:lvl>
    <w:lvl w:ilvl="1">
      <w:start w:val="1"/>
      <w:numFmt w:val="decimal"/>
      <w:lvlText w:val="%1.%2"/>
      <w:lvlJc w:val="left"/>
      <w:pPr>
        <w:tabs>
          <w:tab w:val="num" w:pos="1128"/>
        </w:tabs>
        <w:ind w:left="1128" w:hanging="564"/>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35" w15:restartNumberingAfterBreak="0">
    <w:nsid w:val="67724626"/>
    <w:multiLevelType w:val="hybridMultilevel"/>
    <w:tmpl w:val="16E46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B298E"/>
    <w:multiLevelType w:val="hybridMultilevel"/>
    <w:tmpl w:val="D67E2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F401A"/>
    <w:multiLevelType w:val="multilevel"/>
    <w:tmpl w:val="EF74E7CA"/>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603"/>
        </w:tabs>
        <w:ind w:left="603" w:hanging="570"/>
      </w:pPr>
      <w:rPr>
        <w:rFonts w:hint="default"/>
        <w:b/>
      </w:rPr>
    </w:lvl>
    <w:lvl w:ilvl="2">
      <w:start w:val="1"/>
      <w:numFmt w:val="decimal"/>
      <w:lvlText w:val="%1.%2.%3"/>
      <w:lvlJc w:val="left"/>
      <w:pPr>
        <w:tabs>
          <w:tab w:val="num" w:pos="786"/>
        </w:tabs>
        <w:ind w:left="786" w:hanging="720"/>
      </w:pPr>
      <w:rPr>
        <w:rFonts w:hint="default"/>
        <w:b/>
      </w:rPr>
    </w:lvl>
    <w:lvl w:ilvl="3">
      <w:start w:val="1"/>
      <w:numFmt w:val="decimal"/>
      <w:lvlText w:val="%1.%2.%3.%4"/>
      <w:lvlJc w:val="left"/>
      <w:pPr>
        <w:tabs>
          <w:tab w:val="num" w:pos="819"/>
        </w:tabs>
        <w:ind w:left="819" w:hanging="720"/>
      </w:pPr>
      <w:rPr>
        <w:rFonts w:hint="default"/>
        <w:b/>
      </w:rPr>
    </w:lvl>
    <w:lvl w:ilvl="4">
      <w:start w:val="1"/>
      <w:numFmt w:val="decimal"/>
      <w:lvlText w:val="%1.%2.%3.%4.%5"/>
      <w:lvlJc w:val="left"/>
      <w:pPr>
        <w:tabs>
          <w:tab w:val="num" w:pos="1212"/>
        </w:tabs>
        <w:ind w:left="1212" w:hanging="1080"/>
      </w:pPr>
      <w:rPr>
        <w:rFonts w:hint="default"/>
        <w:b/>
      </w:rPr>
    </w:lvl>
    <w:lvl w:ilvl="5">
      <w:start w:val="1"/>
      <w:numFmt w:val="decimal"/>
      <w:lvlText w:val="%1.%2.%3.%4.%5.%6"/>
      <w:lvlJc w:val="left"/>
      <w:pPr>
        <w:tabs>
          <w:tab w:val="num" w:pos="1245"/>
        </w:tabs>
        <w:ind w:left="1245" w:hanging="1080"/>
      </w:pPr>
      <w:rPr>
        <w:rFonts w:hint="default"/>
        <w:b/>
      </w:rPr>
    </w:lvl>
    <w:lvl w:ilvl="6">
      <w:start w:val="1"/>
      <w:numFmt w:val="decimal"/>
      <w:lvlText w:val="%1.%2.%3.%4.%5.%6.%7"/>
      <w:lvlJc w:val="left"/>
      <w:pPr>
        <w:tabs>
          <w:tab w:val="num" w:pos="1638"/>
        </w:tabs>
        <w:ind w:left="1638" w:hanging="1440"/>
      </w:pPr>
      <w:rPr>
        <w:rFonts w:hint="default"/>
        <w:b/>
      </w:rPr>
    </w:lvl>
    <w:lvl w:ilvl="7">
      <w:start w:val="1"/>
      <w:numFmt w:val="decimal"/>
      <w:lvlText w:val="%1.%2.%3.%4.%5.%6.%7.%8"/>
      <w:lvlJc w:val="left"/>
      <w:pPr>
        <w:tabs>
          <w:tab w:val="num" w:pos="1671"/>
        </w:tabs>
        <w:ind w:left="1671" w:hanging="1440"/>
      </w:pPr>
      <w:rPr>
        <w:rFonts w:hint="default"/>
        <w:b/>
      </w:rPr>
    </w:lvl>
    <w:lvl w:ilvl="8">
      <w:start w:val="1"/>
      <w:numFmt w:val="decimal"/>
      <w:lvlText w:val="%1.%2.%3.%4.%5.%6.%7.%8.%9"/>
      <w:lvlJc w:val="left"/>
      <w:pPr>
        <w:tabs>
          <w:tab w:val="num" w:pos="2064"/>
        </w:tabs>
        <w:ind w:left="2064" w:hanging="1800"/>
      </w:pPr>
      <w:rPr>
        <w:rFonts w:hint="default"/>
        <w:b/>
      </w:rPr>
    </w:lvl>
  </w:abstractNum>
  <w:abstractNum w:abstractNumId="38" w15:restartNumberingAfterBreak="0">
    <w:nsid w:val="78356AC8"/>
    <w:multiLevelType w:val="hybridMultilevel"/>
    <w:tmpl w:val="7C5EAF48"/>
    <w:lvl w:ilvl="0" w:tplc="BCE2D97C">
      <w:start w:val="1"/>
      <w:numFmt w:val="bullet"/>
      <w:lvlText w:val="-"/>
      <w:lvlJc w:val="left"/>
      <w:pPr>
        <w:tabs>
          <w:tab w:val="num" w:pos="924"/>
        </w:tabs>
        <w:ind w:left="924" w:hanging="360"/>
      </w:pPr>
      <w:rPr>
        <w:rFonts w:ascii="Times New Roman" w:eastAsia="Times New Roman" w:hAnsi="Times New Roman" w:cs="Times New Roman" w:hint="default"/>
      </w:rPr>
    </w:lvl>
    <w:lvl w:ilvl="1" w:tplc="04090003" w:tentative="1">
      <w:start w:val="1"/>
      <w:numFmt w:val="bullet"/>
      <w:lvlText w:val="o"/>
      <w:lvlJc w:val="left"/>
      <w:pPr>
        <w:tabs>
          <w:tab w:val="num" w:pos="2004"/>
        </w:tabs>
        <w:ind w:left="2004" w:hanging="360"/>
      </w:pPr>
      <w:rPr>
        <w:rFonts w:ascii="Courier New" w:hAnsi="Courier New" w:hint="default"/>
      </w:rPr>
    </w:lvl>
    <w:lvl w:ilvl="2" w:tplc="04090005" w:tentative="1">
      <w:start w:val="1"/>
      <w:numFmt w:val="bullet"/>
      <w:lvlText w:val=""/>
      <w:lvlJc w:val="left"/>
      <w:pPr>
        <w:tabs>
          <w:tab w:val="num" w:pos="2724"/>
        </w:tabs>
        <w:ind w:left="2724" w:hanging="360"/>
      </w:pPr>
      <w:rPr>
        <w:rFonts w:ascii="Wingdings" w:hAnsi="Wingdings" w:hint="default"/>
      </w:rPr>
    </w:lvl>
    <w:lvl w:ilvl="3" w:tplc="04090001" w:tentative="1">
      <w:start w:val="1"/>
      <w:numFmt w:val="bullet"/>
      <w:lvlText w:val=""/>
      <w:lvlJc w:val="left"/>
      <w:pPr>
        <w:tabs>
          <w:tab w:val="num" w:pos="3444"/>
        </w:tabs>
        <w:ind w:left="3444" w:hanging="360"/>
      </w:pPr>
      <w:rPr>
        <w:rFonts w:ascii="Symbol" w:hAnsi="Symbol" w:hint="default"/>
      </w:rPr>
    </w:lvl>
    <w:lvl w:ilvl="4" w:tplc="04090003" w:tentative="1">
      <w:start w:val="1"/>
      <w:numFmt w:val="bullet"/>
      <w:lvlText w:val="o"/>
      <w:lvlJc w:val="left"/>
      <w:pPr>
        <w:tabs>
          <w:tab w:val="num" w:pos="4164"/>
        </w:tabs>
        <w:ind w:left="4164" w:hanging="360"/>
      </w:pPr>
      <w:rPr>
        <w:rFonts w:ascii="Courier New" w:hAnsi="Courier New" w:hint="default"/>
      </w:rPr>
    </w:lvl>
    <w:lvl w:ilvl="5" w:tplc="04090005" w:tentative="1">
      <w:start w:val="1"/>
      <w:numFmt w:val="bullet"/>
      <w:lvlText w:val=""/>
      <w:lvlJc w:val="left"/>
      <w:pPr>
        <w:tabs>
          <w:tab w:val="num" w:pos="4884"/>
        </w:tabs>
        <w:ind w:left="4884" w:hanging="360"/>
      </w:pPr>
      <w:rPr>
        <w:rFonts w:ascii="Wingdings" w:hAnsi="Wingdings" w:hint="default"/>
      </w:rPr>
    </w:lvl>
    <w:lvl w:ilvl="6" w:tplc="04090001" w:tentative="1">
      <w:start w:val="1"/>
      <w:numFmt w:val="bullet"/>
      <w:lvlText w:val=""/>
      <w:lvlJc w:val="left"/>
      <w:pPr>
        <w:tabs>
          <w:tab w:val="num" w:pos="5604"/>
        </w:tabs>
        <w:ind w:left="5604" w:hanging="360"/>
      </w:pPr>
      <w:rPr>
        <w:rFonts w:ascii="Symbol" w:hAnsi="Symbol" w:hint="default"/>
      </w:rPr>
    </w:lvl>
    <w:lvl w:ilvl="7" w:tplc="04090003" w:tentative="1">
      <w:start w:val="1"/>
      <w:numFmt w:val="bullet"/>
      <w:lvlText w:val="o"/>
      <w:lvlJc w:val="left"/>
      <w:pPr>
        <w:tabs>
          <w:tab w:val="num" w:pos="6324"/>
        </w:tabs>
        <w:ind w:left="6324" w:hanging="360"/>
      </w:pPr>
      <w:rPr>
        <w:rFonts w:ascii="Courier New" w:hAnsi="Courier New" w:hint="default"/>
      </w:rPr>
    </w:lvl>
    <w:lvl w:ilvl="8" w:tplc="04090005" w:tentative="1">
      <w:start w:val="1"/>
      <w:numFmt w:val="bullet"/>
      <w:lvlText w:val=""/>
      <w:lvlJc w:val="left"/>
      <w:pPr>
        <w:tabs>
          <w:tab w:val="num" w:pos="7044"/>
        </w:tabs>
        <w:ind w:left="7044" w:hanging="360"/>
      </w:pPr>
      <w:rPr>
        <w:rFonts w:ascii="Wingdings" w:hAnsi="Wingdings" w:hint="default"/>
      </w:rPr>
    </w:lvl>
  </w:abstractNum>
  <w:abstractNum w:abstractNumId="39" w15:restartNumberingAfterBreak="0">
    <w:nsid w:val="7C272BA7"/>
    <w:multiLevelType w:val="multilevel"/>
    <w:tmpl w:val="ADDE907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077488"/>
    <w:multiLevelType w:val="hybridMultilevel"/>
    <w:tmpl w:val="DEB8DFC4"/>
    <w:lvl w:ilvl="0" w:tplc="C63681C2">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0"/>
  </w:num>
  <w:num w:numId="3">
    <w:abstractNumId w:val="1"/>
  </w:num>
  <w:num w:numId="4">
    <w:abstractNumId w:val="13"/>
  </w:num>
  <w:num w:numId="5">
    <w:abstractNumId w:val="0"/>
  </w:num>
  <w:num w:numId="6">
    <w:abstractNumId w:val="38"/>
  </w:num>
  <w:num w:numId="7">
    <w:abstractNumId w:val="34"/>
  </w:num>
  <w:num w:numId="8">
    <w:abstractNumId w:val="11"/>
  </w:num>
  <w:num w:numId="9">
    <w:abstractNumId w:val="5"/>
  </w:num>
  <w:num w:numId="10">
    <w:abstractNumId w:val="29"/>
  </w:num>
  <w:num w:numId="11">
    <w:abstractNumId w:val="14"/>
  </w:num>
  <w:num w:numId="12">
    <w:abstractNumId w:val="37"/>
  </w:num>
  <w:num w:numId="13">
    <w:abstractNumId w:val="30"/>
  </w:num>
  <w:num w:numId="14">
    <w:abstractNumId w:val="8"/>
  </w:num>
  <w:num w:numId="15">
    <w:abstractNumId w:val="7"/>
  </w:num>
  <w:num w:numId="16">
    <w:abstractNumId w:val="24"/>
  </w:num>
  <w:num w:numId="17">
    <w:abstractNumId w:val="12"/>
  </w:num>
  <w:num w:numId="18">
    <w:abstractNumId w:val="15"/>
  </w:num>
  <w:num w:numId="19">
    <w:abstractNumId w:val="10"/>
  </w:num>
  <w:num w:numId="20">
    <w:abstractNumId w:val="40"/>
  </w:num>
  <w:num w:numId="21">
    <w:abstractNumId w:val="19"/>
  </w:num>
  <w:num w:numId="22">
    <w:abstractNumId w:val="25"/>
  </w:num>
  <w:num w:numId="23">
    <w:abstractNumId w:val="31"/>
  </w:num>
  <w:num w:numId="24">
    <w:abstractNumId w:val="32"/>
  </w:num>
  <w:num w:numId="25">
    <w:abstractNumId w:val="16"/>
  </w:num>
  <w:num w:numId="26">
    <w:abstractNumId w:val="4"/>
  </w:num>
  <w:num w:numId="27">
    <w:abstractNumId w:val="21"/>
  </w:num>
  <w:num w:numId="28">
    <w:abstractNumId w:val="26"/>
  </w:num>
  <w:num w:numId="29">
    <w:abstractNumId w:val="9"/>
  </w:num>
  <w:num w:numId="30">
    <w:abstractNumId w:val="27"/>
  </w:num>
  <w:num w:numId="31">
    <w:abstractNumId w:val="18"/>
  </w:num>
  <w:num w:numId="32">
    <w:abstractNumId w:val="28"/>
  </w:num>
  <w:num w:numId="33">
    <w:abstractNumId w:val="6"/>
  </w:num>
  <w:num w:numId="34">
    <w:abstractNumId w:val="35"/>
  </w:num>
  <w:num w:numId="35">
    <w:abstractNumId w:val="36"/>
  </w:num>
  <w:num w:numId="36">
    <w:abstractNumId w:val="2"/>
  </w:num>
  <w:num w:numId="37">
    <w:abstractNumId w:val="17"/>
  </w:num>
  <w:num w:numId="38">
    <w:abstractNumId w:val="17"/>
  </w:num>
  <w:num w:numId="39">
    <w:abstractNumId w:val="39"/>
  </w:num>
  <w:num w:numId="40">
    <w:abstractNumId w:val="3"/>
  </w:num>
  <w:num w:numId="41">
    <w:abstractNumId w:val="3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0137"/>
    <w:rsid w:val="000813EB"/>
    <w:rsid w:val="00082ACE"/>
    <w:rsid w:val="0008409F"/>
    <w:rsid w:val="00084ABF"/>
    <w:rsid w:val="000879EF"/>
    <w:rsid w:val="00090B89"/>
    <w:rsid w:val="00096B34"/>
    <w:rsid w:val="0009713E"/>
    <w:rsid w:val="00097D43"/>
    <w:rsid w:val="000A4219"/>
    <w:rsid w:val="000A6C07"/>
    <w:rsid w:val="000B1999"/>
    <w:rsid w:val="000B1A15"/>
    <w:rsid w:val="000B2675"/>
    <w:rsid w:val="000B3E10"/>
    <w:rsid w:val="000C150E"/>
    <w:rsid w:val="000C20BC"/>
    <w:rsid w:val="000C3099"/>
    <w:rsid w:val="000C30AE"/>
    <w:rsid w:val="000C52BB"/>
    <w:rsid w:val="000C7EEA"/>
    <w:rsid w:val="000D5CC7"/>
    <w:rsid w:val="000D640F"/>
    <w:rsid w:val="000E0967"/>
    <w:rsid w:val="000E1518"/>
    <w:rsid w:val="000E2D8F"/>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8A2"/>
    <w:rsid w:val="00181012"/>
    <w:rsid w:val="00183FD2"/>
    <w:rsid w:val="001855E7"/>
    <w:rsid w:val="00187BE4"/>
    <w:rsid w:val="001952ED"/>
    <w:rsid w:val="001A3613"/>
    <w:rsid w:val="001A65B0"/>
    <w:rsid w:val="001B11E9"/>
    <w:rsid w:val="001B2058"/>
    <w:rsid w:val="001B65AA"/>
    <w:rsid w:val="001B78F9"/>
    <w:rsid w:val="001C35C9"/>
    <w:rsid w:val="001C3F07"/>
    <w:rsid w:val="001C449E"/>
    <w:rsid w:val="001C6B87"/>
    <w:rsid w:val="001D0CF4"/>
    <w:rsid w:val="001E0480"/>
    <w:rsid w:val="001E1043"/>
    <w:rsid w:val="001E56DF"/>
    <w:rsid w:val="001E74D0"/>
    <w:rsid w:val="001F098C"/>
    <w:rsid w:val="001F0AA6"/>
    <w:rsid w:val="001F2266"/>
    <w:rsid w:val="001F43C6"/>
    <w:rsid w:val="001F4CC0"/>
    <w:rsid w:val="002044DE"/>
    <w:rsid w:val="00206118"/>
    <w:rsid w:val="00212DF7"/>
    <w:rsid w:val="00215DBF"/>
    <w:rsid w:val="00216E2D"/>
    <w:rsid w:val="00220A85"/>
    <w:rsid w:val="00220C61"/>
    <w:rsid w:val="002228F6"/>
    <w:rsid w:val="00224BA0"/>
    <w:rsid w:val="0022547D"/>
    <w:rsid w:val="00225A58"/>
    <w:rsid w:val="00233899"/>
    <w:rsid w:val="002357E6"/>
    <w:rsid w:val="00235855"/>
    <w:rsid w:val="00236305"/>
    <w:rsid w:val="00237906"/>
    <w:rsid w:val="002430EF"/>
    <w:rsid w:val="0024457A"/>
    <w:rsid w:val="00244836"/>
    <w:rsid w:val="00246B81"/>
    <w:rsid w:val="00247628"/>
    <w:rsid w:val="00253710"/>
    <w:rsid w:val="002542A2"/>
    <w:rsid w:val="002633F4"/>
    <w:rsid w:val="00263F3F"/>
    <w:rsid w:val="00272623"/>
    <w:rsid w:val="00281E7C"/>
    <w:rsid w:val="002822F7"/>
    <w:rsid w:val="002823BE"/>
    <w:rsid w:val="002844F2"/>
    <w:rsid w:val="00285B98"/>
    <w:rsid w:val="00295038"/>
    <w:rsid w:val="002961BB"/>
    <w:rsid w:val="00296372"/>
    <w:rsid w:val="00296D1B"/>
    <w:rsid w:val="002A3877"/>
    <w:rsid w:val="002A4E7A"/>
    <w:rsid w:val="002B4D84"/>
    <w:rsid w:val="002C41DC"/>
    <w:rsid w:val="002C710D"/>
    <w:rsid w:val="002D02C6"/>
    <w:rsid w:val="002D16D3"/>
    <w:rsid w:val="002D2F8D"/>
    <w:rsid w:val="002D34A2"/>
    <w:rsid w:val="002D60B6"/>
    <w:rsid w:val="002D6891"/>
    <w:rsid w:val="002E0999"/>
    <w:rsid w:val="002E14B3"/>
    <w:rsid w:val="002E25BA"/>
    <w:rsid w:val="002E430D"/>
    <w:rsid w:val="002E46D1"/>
    <w:rsid w:val="002E5198"/>
    <w:rsid w:val="002F7DAC"/>
    <w:rsid w:val="00300277"/>
    <w:rsid w:val="00301101"/>
    <w:rsid w:val="0030369B"/>
    <w:rsid w:val="003044C8"/>
    <w:rsid w:val="00305558"/>
    <w:rsid w:val="00305B49"/>
    <w:rsid w:val="00306FD5"/>
    <w:rsid w:val="00314A5D"/>
    <w:rsid w:val="00322867"/>
    <w:rsid w:val="00322D03"/>
    <w:rsid w:val="00332A0A"/>
    <w:rsid w:val="0033335F"/>
    <w:rsid w:val="00336B67"/>
    <w:rsid w:val="003402DB"/>
    <w:rsid w:val="003466DC"/>
    <w:rsid w:val="00357BF0"/>
    <w:rsid w:val="00366F88"/>
    <w:rsid w:val="00370B7E"/>
    <w:rsid w:val="00374294"/>
    <w:rsid w:val="0037534E"/>
    <w:rsid w:val="003771C8"/>
    <w:rsid w:val="003822BB"/>
    <w:rsid w:val="0038512B"/>
    <w:rsid w:val="0038642D"/>
    <w:rsid w:val="00391165"/>
    <w:rsid w:val="003920FE"/>
    <w:rsid w:val="00394370"/>
    <w:rsid w:val="003A245E"/>
    <w:rsid w:val="003A2CDE"/>
    <w:rsid w:val="003A3099"/>
    <w:rsid w:val="003A79E8"/>
    <w:rsid w:val="003C5852"/>
    <w:rsid w:val="003D4718"/>
    <w:rsid w:val="003D6D8F"/>
    <w:rsid w:val="003E1EBD"/>
    <w:rsid w:val="003E2546"/>
    <w:rsid w:val="003E655E"/>
    <w:rsid w:val="003F35AE"/>
    <w:rsid w:val="003F50D8"/>
    <w:rsid w:val="003F5AE6"/>
    <w:rsid w:val="003F6331"/>
    <w:rsid w:val="003F65BF"/>
    <w:rsid w:val="00401904"/>
    <w:rsid w:val="00401F10"/>
    <w:rsid w:val="0040286A"/>
    <w:rsid w:val="004037F7"/>
    <w:rsid w:val="00413A69"/>
    <w:rsid w:val="00414190"/>
    <w:rsid w:val="00417288"/>
    <w:rsid w:val="00417E5D"/>
    <w:rsid w:val="00420EB1"/>
    <w:rsid w:val="00422C1F"/>
    <w:rsid w:val="00431311"/>
    <w:rsid w:val="004321A4"/>
    <w:rsid w:val="004336C6"/>
    <w:rsid w:val="00450305"/>
    <w:rsid w:val="004534DA"/>
    <w:rsid w:val="00453D65"/>
    <w:rsid w:val="004541FA"/>
    <w:rsid w:val="00454769"/>
    <w:rsid w:val="0045497B"/>
    <w:rsid w:val="0047001E"/>
    <w:rsid w:val="00473857"/>
    <w:rsid w:val="00477AC4"/>
    <w:rsid w:val="004833A5"/>
    <w:rsid w:val="0048452C"/>
    <w:rsid w:val="00487441"/>
    <w:rsid w:val="00493A97"/>
    <w:rsid w:val="00494672"/>
    <w:rsid w:val="00496E0D"/>
    <w:rsid w:val="004A0964"/>
    <w:rsid w:val="004A570C"/>
    <w:rsid w:val="004A7578"/>
    <w:rsid w:val="004B16BF"/>
    <w:rsid w:val="004B1D26"/>
    <w:rsid w:val="004B76E0"/>
    <w:rsid w:val="004B7AD8"/>
    <w:rsid w:val="004C1182"/>
    <w:rsid w:val="004C4C78"/>
    <w:rsid w:val="004C53EF"/>
    <w:rsid w:val="004C630F"/>
    <w:rsid w:val="004C7D99"/>
    <w:rsid w:val="004D1BF6"/>
    <w:rsid w:val="004D31BA"/>
    <w:rsid w:val="004E49F8"/>
    <w:rsid w:val="004E4AE9"/>
    <w:rsid w:val="004E610D"/>
    <w:rsid w:val="004E62A5"/>
    <w:rsid w:val="004F03A1"/>
    <w:rsid w:val="004F477B"/>
    <w:rsid w:val="004F5693"/>
    <w:rsid w:val="004F76A3"/>
    <w:rsid w:val="004F770B"/>
    <w:rsid w:val="00503796"/>
    <w:rsid w:val="00503B08"/>
    <w:rsid w:val="00504417"/>
    <w:rsid w:val="0050579B"/>
    <w:rsid w:val="005058C9"/>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2207"/>
    <w:rsid w:val="00552858"/>
    <w:rsid w:val="00557B5C"/>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E76"/>
    <w:rsid w:val="005969E5"/>
    <w:rsid w:val="005A027B"/>
    <w:rsid w:val="005A45CE"/>
    <w:rsid w:val="005B0BEC"/>
    <w:rsid w:val="005B14F7"/>
    <w:rsid w:val="005B3B4D"/>
    <w:rsid w:val="005C07AB"/>
    <w:rsid w:val="005C180C"/>
    <w:rsid w:val="005C3BE0"/>
    <w:rsid w:val="005D1258"/>
    <w:rsid w:val="005E018D"/>
    <w:rsid w:val="005E07D4"/>
    <w:rsid w:val="005E1863"/>
    <w:rsid w:val="005E4FBC"/>
    <w:rsid w:val="005F1541"/>
    <w:rsid w:val="005F6E5B"/>
    <w:rsid w:val="006001C3"/>
    <w:rsid w:val="00600A9E"/>
    <w:rsid w:val="006014F9"/>
    <w:rsid w:val="0060323E"/>
    <w:rsid w:val="006055AC"/>
    <w:rsid w:val="00606B9B"/>
    <w:rsid w:val="006127DA"/>
    <w:rsid w:val="00612837"/>
    <w:rsid w:val="00615BDD"/>
    <w:rsid w:val="00620799"/>
    <w:rsid w:val="00622EE7"/>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9273B"/>
    <w:rsid w:val="00693354"/>
    <w:rsid w:val="00693D57"/>
    <w:rsid w:val="0069478C"/>
    <w:rsid w:val="006962A4"/>
    <w:rsid w:val="00696DBF"/>
    <w:rsid w:val="00696EAB"/>
    <w:rsid w:val="006A1459"/>
    <w:rsid w:val="006A1954"/>
    <w:rsid w:val="006A1D7E"/>
    <w:rsid w:val="006A236A"/>
    <w:rsid w:val="006A2371"/>
    <w:rsid w:val="006A5075"/>
    <w:rsid w:val="006B138A"/>
    <w:rsid w:val="006B2886"/>
    <w:rsid w:val="006B312C"/>
    <w:rsid w:val="006B3F77"/>
    <w:rsid w:val="006C572E"/>
    <w:rsid w:val="006C6C97"/>
    <w:rsid w:val="006D031E"/>
    <w:rsid w:val="006D0704"/>
    <w:rsid w:val="006D1C94"/>
    <w:rsid w:val="006D3891"/>
    <w:rsid w:val="006D77F4"/>
    <w:rsid w:val="006E16D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52C67"/>
    <w:rsid w:val="007567B8"/>
    <w:rsid w:val="00760434"/>
    <w:rsid w:val="00764BB5"/>
    <w:rsid w:val="007668A7"/>
    <w:rsid w:val="00767E07"/>
    <w:rsid w:val="00771259"/>
    <w:rsid w:val="007730B6"/>
    <w:rsid w:val="007740AB"/>
    <w:rsid w:val="0077478D"/>
    <w:rsid w:val="0077793A"/>
    <w:rsid w:val="00780B4D"/>
    <w:rsid w:val="00781F90"/>
    <w:rsid w:val="007849B7"/>
    <w:rsid w:val="00785E0E"/>
    <w:rsid w:val="00790061"/>
    <w:rsid w:val="007918DD"/>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44F9"/>
    <w:rsid w:val="007E4B3F"/>
    <w:rsid w:val="007E7D22"/>
    <w:rsid w:val="007F178A"/>
    <w:rsid w:val="007F30D9"/>
    <w:rsid w:val="00800534"/>
    <w:rsid w:val="00804F84"/>
    <w:rsid w:val="00810169"/>
    <w:rsid w:val="0081298C"/>
    <w:rsid w:val="00812EA5"/>
    <w:rsid w:val="00816435"/>
    <w:rsid w:val="00820D1B"/>
    <w:rsid w:val="00820D2C"/>
    <w:rsid w:val="008211FA"/>
    <w:rsid w:val="008214B6"/>
    <w:rsid w:val="00822838"/>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6666"/>
    <w:rsid w:val="00880F20"/>
    <w:rsid w:val="00881396"/>
    <w:rsid w:val="00882201"/>
    <w:rsid w:val="0088362C"/>
    <w:rsid w:val="008846EB"/>
    <w:rsid w:val="00890C86"/>
    <w:rsid w:val="008931BC"/>
    <w:rsid w:val="00895014"/>
    <w:rsid w:val="00895490"/>
    <w:rsid w:val="008A3A83"/>
    <w:rsid w:val="008A5029"/>
    <w:rsid w:val="008A5233"/>
    <w:rsid w:val="008A629C"/>
    <w:rsid w:val="008A7E92"/>
    <w:rsid w:val="008C782D"/>
    <w:rsid w:val="008D2C40"/>
    <w:rsid w:val="008D3CEA"/>
    <w:rsid w:val="008E07DA"/>
    <w:rsid w:val="008E1DB1"/>
    <w:rsid w:val="008E252A"/>
    <w:rsid w:val="008E6676"/>
    <w:rsid w:val="008F69C5"/>
    <w:rsid w:val="00901933"/>
    <w:rsid w:val="009075D7"/>
    <w:rsid w:val="009117FD"/>
    <w:rsid w:val="00911DAD"/>
    <w:rsid w:val="00912F2B"/>
    <w:rsid w:val="00913170"/>
    <w:rsid w:val="00913D7C"/>
    <w:rsid w:val="00914C9E"/>
    <w:rsid w:val="009208C0"/>
    <w:rsid w:val="00922F86"/>
    <w:rsid w:val="009233C0"/>
    <w:rsid w:val="00925212"/>
    <w:rsid w:val="009260F8"/>
    <w:rsid w:val="00927B93"/>
    <w:rsid w:val="009324FE"/>
    <w:rsid w:val="00932B12"/>
    <w:rsid w:val="0093303C"/>
    <w:rsid w:val="009336EF"/>
    <w:rsid w:val="0093390C"/>
    <w:rsid w:val="009437B1"/>
    <w:rsid w:val="00943B02"/>
    <w:rsid w:val="009459B2"/>
    <w:rsid w:val="0095038D"/>
    <w:rsid w:val="009527D4"/>
    <w:rsid w:val="009537F3"/>
    <w:rsid w:val="009545D8"/>
    <w:rsid w:val="009570DB"/>
    <w:rsid w:val="00960F43"/>
    <w:rsid w:val="00962EA2"/>
    <w:rsid w:val="009733F9"/>
    <w:rsid w:val="00980363"/>
    <w:rsid w:val="00982979"/>
    <w:rsid w:val="00983ABF"/>
    <w:rsid w:val="00992161"/>
    <w:rsid w:val="00993C2C"/>
    <w:rsid w:val="00994C60"/>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373D"/>
    <w:rsid w:val="00A01206"/>
    <w:rsid w:val="00A04E15"/>
    <w:rsid w:val="00A120FE"/>
    <w:rsid w:val="00A12AAE"/>
    <w:rsid w:val="00A12B3A"/>
    <w:rsid w:val="00A15010"/>
    <w:rsid w:val="00A15EB8"/>
    <w:rsid w:val="00A21825"/>
    <w:rsid w:val="00A31D0D"/>
    <w:rsid w:val="00A400E3"/>
    <w:rsid w:val="00A42339"/>
    <w:rsid w:val="00A46414"/>
    <w:rsid w:val="00A46BE8"/>
    <w:rsid w:val="00A51E80"/>
    <w:rsid w:val="00A5212B"/>
    <w:rsid w:val="00A56E18"/>
    <w:rsid w:val="00A61F50"/>
    <w:rsid w:val="00A63806"/>
    <w:rsid w:val="00A7389F"/>
    <w:rsid w:val="00A73909"/>
    <w:rsid w:val="00A842A1"/>
    <w:rsid w:val="00A867AA"/>
    <w:rsid w:val="00A96E75"/>
    <w:rsid w:val="00A97E5E"/>
    <w:rsid w:val="00AA1B81"/>
    <w:rsid w:val="00AA6B2B"/>
    <w:rsid w:val="00AB12A4"/>
    <w:rsid w:val="00AB191E"/>
    <w:rsid w:val="00AB2B9F"/>
    <w:rsid w:val="00AB42B5"/>
    <w:rsid w:val="00AB43D8"/>
    <w:rsid w:val="00AB48E3"/>
    <w:rsid w:val="00AB6A4D"/>
    <w:rsid w:val="00AC119E"/>
    <w:rsid w:val="00AC37A8"/>
    <w:rsid w:val="00AC6A17"/>
    <w:rsid w:val="00AD1622"/>
    <w:rsid w:val="00AD3CBA"/>
    <w:rsid w:val="00AE02E0"/>
    <w:rsid w:val="00AE76EB"/>
    <w:rsid w:val="00B00D2C"/>
    <w:rsid w:val="00B03B73"/>
    <w:rsid w:val="00B069A6"/>
    <w:rsid w:val="00B11801"/>
    <w:rsid w:val="00B1275A"/>
    <w:rsid w:val="00B138AC"/>
    <w:rsid w:val="00B17731"/>
    <w:rsid w:val="00B24D3B"/>
    <w:rsid w:val="00B24F8B"/>
    <w:rsid w:val="00B27FFA"/>
    <w:rsid w:val="00B32393"/>
    <w:rsid w:val="00B34E78"/>
    <w:rsid w:val="00B35554"/>
    <w:rsid w:val="00B3779E"/>
    <w:rsid w:val="00B4283C"/>
    <w:rsid w:val="00B42DE3"/>
    <w:rsid w:val="00B431B8"/>
    <w:rsid w:val="00B449E2"/>
    <w:rsid w:val="00B50CBF"/>
    <w:rsid w:val="00B515A8"/>
    <w:rsid w:val="00B518E2"/>
    <w:rsid w:val="00B54513"/>
    <w:rsid w:val="00B560D8"/>
    <w:rsid w:val="00B66661"/>
    <w:rsid w:val="00B67EA5"/>
    <w:rsid w:val="00B7250D"/>
    <w:rsid w:val="00B73212"/>
    <w:rsid w:val="00B7711E"/>
    <w:rsid w:val="00B772F8"/>
    <w:rsid w:val="00B81644"/>
    <w:rsid w:val="00B83437"/>
    <w:rsid w:val="00B85B3C"/>
    <w:rsid w:val="00B9541A"/>
    <w:rsid w:val="00B97236"/>
    <w:rsid w:val="00BA0204"/>
    <w:rsid w:val="00BA02DE"/>
    <w:rsid w:val="00BA1AF3"/>
    <w:rsid w:val="00BA1B30"/>
    <w:rsid w:val="00BA1EAA"/>
    <w:rsid w:val="00BA2565"/>
    <w:rsid w:val="00BA278E"/>
    <w:rsid w:val="00BA4BF4"/>
    <w:rsid w:val="00BA577F"/>
    <w:rsid w:val="00BA6A88"/>
    <w:rsid w:val="00BB0565"/>
    <w:rsid w:val="00BD096F"/>
    <w:rsid w:val="00BD70F5"/>
    <w:rsid w:val="00BE4753"/>
    <w:rsid w:val="00BE53D9"/>
    <w:rsid w:val="00BE79F5"/>
    <w:rsid w:val="00BF40C2"/>
    <w:rsid w:val="00C015F5"/>
    <w:rsid w:val="00C031D8"/>
    <w:rsid w:val="00C06323"/>
    <w:rsid w:val="00C108BD"/>
    <w:rsid w:val="00C1138B"/>
    <w:rsid w:val="00C11DD1"/>
    <w:rsid w:val="00C157D4"/>
    <w:rsid w:val="00C17950"/>
    <w:rsid w:val="00C17F55"/>
    <w:rsid w:val="00C26334"/>
    <w:rsid w:val="00C31258"/>
    <w:rsid w:val="00C336B1"/>
    <w:rsid w:val="00C4054A"/>
    <w:rsid w:val="00C405FC"/>
    <w:rsid w:val="00C47314"/>
    <w:rsid w:val="00C536F8"/>
    <w:rsid w:val="00C5422C"/>
    <w:rsid w:val="00C554B2"/>
    <w:rsid w:val="00C62A02"/>
    <w:rsid w:val="00C654B7"/>
    <w:rsid w:val="00C67729"/>
    <w:rsid w:val="00C70CEB"/>
    <w:rsid w:val="00C744EE"/>
    <w:rsid w:val="00C81F1E"/>
    <w:rsid w:val="00C84EFD"/>
    <w:rsid w:val="00C86C59"/>
    <w:rsid w:val="00C914BD"/>
    <w:rsid w:val="00C93064"/>
    <w:rsid w:val="00C93279"/>
    <w:rsid w:val="00C93482"/>
    <w:rsid w:val="00C93A35"/>
    <w:rsid w:val="00C93CBC"/>
    <w:rsid w:val="00CA6B66"/>
    <w:rsid w:val="00CB1D65"/>
    <w:rsid w:val="00CC504C"/>
    <w:rsid w:val="00CC535F"/>
    <w:rsid w:val="00CC53FC"/>
    <w:rsid w:val="00CD035D"/>
    <w:rsid w:val="00CD1E0B"/>
    <w:rsid w:val="00CD27BF"/>
    <w:rsid w:val="00CF38B4"/>
    <w:rsid w:val="00CF3C54"/>
    <w:rsid w:val="00CF51AE"/>
    <w:rsid w:val="00CF5338"/>
    <w:rsid w:val="00CF55B1"/>
    <w:rsid w:val="00CF6839"/>
    <w:rsid w:val="00D006E0"/>
    <w:rsid w:val="00D01207"/>
    <w:rsid w:val="00D017D3"/>
    <w:rsid w:val="00D11A08"/>
    <w:rsid w:val="00D14794"/>
    <w:rsid w:val="00D14CF3"/>
    <w:rsid w:val="00D31C49"/>
    <w:rsid w:val="00D33312"/>
    <w:rsid w:val="00D33E68"/>
    <w:rsid w:val="00D345F0"/>
    <w:rsid w:val="00D3680F"/>
    <w:rsid w:val="00D37765"/>
    <w:rsid w:val="00D443D7"/>
    <w:rsid w:val="00D53CF1"/>
    <w:rsid w:val="00D56B22"/>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2CEB"/>
    <w:rsid w:val="00DB6C0A"/>
    <w:rsid w:val="00DD02C4"/>
    <w:rsid w:val="00DD600E"/>
    <w:rsid w:val="00DD75F1"/>
    <w:rsid w:val="00DE0A4D"/>
    <w:rsid w:val="00DF1126"/>
    <w:rsid w:val="00DF2E45"/>
    <w:rsid w:val="00DF5665"/>
    <w:rsid w:val="00DF7084"/>
    <w:rsid w:val="00E03494"/>
    <w:rsid w:val="00E04B15"/>
    <w:rsid w:val="00E04FD7"/>
    <w:rsid w:val="00E1166A"/>
    <w:rsid w:val="00E1172A"/>
    <w:rsid w:val="00E17BD6"/>
    <w:rsid w:val="00E21FEF"/>
    <w:rsid w:val="00E222E3"/>
    <w:rsid w:val="00E2798E"/>
    <w:rsid w:val="00E354CF"/>
    <w:rsid w:val="00E36027"/>
    <w:rsid w:val="00E40FDE"/>
    <w:rsid w:val="00E412F2"/>
    <w:rsid w:val="00E47409"/>
    <w:rsid w:val="00E47609"/>
    <w:rsid w:val="00E531CF"/>
    <w:rsid w:val="00E54E6F"/>
    <w:rsid w:val="00E5572B"/>
    <w:rsid w:val="00E57A7F"/>
    <w:rsid w:val="00E57FEE"/>
    <w:rsid w:val="00E731CD"/>
    <w:rsid w:val="00E800D3"/>
    <w:rsid w:val="00E817A3"/>
    <w:rsid w:val="00E9030A"/>
    <w:rsid w:val="00E9183F"/>
    <w:rsid w:val="00E94851"/>
    <w:rsid w:val="00E95AAB"/>
    <w:rsid w:val="00E967E2"/>
    <w:rsid w:val="00EA013E"/>
    <w:rsid w:val="00EA0D77"/>
    <w:rsid w:val="00EA3700"/>
    <w:rsid w:val="00EA3DFB"/>
    <w:rsid w:val="00EA5565"/>
    <w:rsid w:val="00EA6968"/>
    <w:rsid w:val="00EB19F1"/>
    <w:rsid w:val="00EC1E15"/>
    <w:rsid w:val="00EC5736"/>
    <w:rsid w:val="00EC60B1"/>
    <w:rsid w:val="00EC70CC"/>
    <w:rsid w:val="00ED2BD7"/>
    <w:rsid w:val="00ED7AA1"/>
    <w:rsid w:val="00ED7CB4"/>
    <w:rsid w:val="00EE5142"/>
    <w:rsid w:val="00EF150C"/>
    <w:rsid w:val="00EF3F8C"/>
    <w:rsid w:val="00EF4FD4"/>
    <w:rsid w:val="00EF6A2F"/>
    <w:rsid w:val="00F0419A"/>
    <w:rsid w:val="00F140CA"/>
    <w:rsid w:val="00F2139B"/>
    <w:rsid w:val="00F21A26"/>
    <w:rsid w:val="00F251A0"/>
    <w:rsid w:val="00F260C2"/>
    <w:rsid w:val="00F27FD7"/>
    <w:rsid w:val="00F3087F"/>
    <w:rsid w:val="00F34FAB"/>
    <w:rsid w:val="00F4033C"/>
    <w:rsid w:val="00F45112"/>
    <w:rsid w:val="00F45F60"/>
    <w:rsid w:val="00F50769"/>
    <w:rsid w:val="00F50E6F"/>
    <w:rsid w:val="00F53791"/>
    <w:rsid w:val="00F610D5"/>
    <w:rsid w:val="00F647BF"/>
    <w:rsid w:val="00F66EFA"/>
    <w:rsid w:val="00F72D4B"/>
    <w:rsid w:val="00F76C5C"/>
    <w:rsid w:val="00F81A9B"/>
    <w:rsid w:val="00F82442"/>
    <w:rsid w:val="00F82BE7"/>
    <w:rsid w:val="00F86019"/>
    <w:rsid w:val="00F90B85"/>
    <w:rsid w:val="00F9163F"/>
    <w:rsid w:val="00F968E6"/>
    <w:rsid w:val="00FA1676"/>
    <w:rsid w:val="00FA61C6"/>
    <w:rsid w:val="00FB043D"/>
    <w:rsid w:val="00FB3600"/>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E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customStyle="1" w:styleId="UnresolvedMention">
    <w:name w:val="Unresolved Mention"/>
    <w:basedOn w:val="DefaultParagraphFont"/>
    <w:uiPriority w:val="99"/>
    <w:semiHidden/>
    <w:unhideWhenUsed/>
    <w:rsid w:val="0023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11618073">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683291892">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ng.ling@nokia.com" TargetMode="External"/><Relationship Id="rId18" Type="http://schemas.openxmlformats.org/officeDocument/2006/relationships/hyperlink" Target="https://www.itu.int/md/meetingdoc.asp?lang=en&amp;parent=T17-TSAG-C-019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rge.raes@orange.com" TargetMode="External"/><Relationship Id="rId17" Type="http://schemas.openxmlformats.org/officeDocument/2006/relationships/hyperlink" Target="https://www.itu.int/md/T17-TSAG-C-0195/en" TargetMode="External"/><Relationship Id="rId2" Type="http://schemas.openxmlformats.org/officeDocument/2006/relationships/customXml" Target="../customXml/item2.xml"/><Relationship Id="rId16" Type="http://schemas.openxmlformats.org/officeDocument/2006/relationships/hyperlink" Target="https://www.itu.int/md/T17-TSAG-C-019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C-019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T17-TSAG-C-0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C-0195/en"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248-6311-4AEB-95D1-1403A598F198}">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ace4c6c-08d7-4276-8a58-3192ba9bb551"/>
    <ds:schemaRef ds:uri="e7475014-9825-4b19-8012-afbf711054e8"/>
    <ds:schemaRef ds:uri="http://www.w3.org/XML/1998/namespace"/>
    <ds:schemaRef ds:uri="http://purl.org/dc/elements/1.1/"/>
  </ds:schemaRefs>
</ds:datastoreItem>
</file>

<file path=customXml/itemProps2.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3.xml><?xml version="1.0" encoding="utf-8"?>
<ds:datastoreItem xmlns:ds="http://schemas.openxmlformats.org/officeDocument/2006/customXml" ds:itemID="{5E9A3D94-0C65-43D7-AC6A-237F6BA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D44DB-28C4-4D81-BFE5-7622FEE1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3LOGOS.DOT</Template>
  <TotalTime>6</TotalTime>
  <Pages>2</Pages>
  <Words>739</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Report of the 26 October meeting</vt:lpstr>
    </vt:vector>
  </TitlesOfParts>
  <Manager>ITU-T</Manager>
  <Company>International Telecommunication Union (ITU)</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26 October meeting</dc:title>
  <dc:creator>Rapporteurs of the TSAG ad hoc group meeting on IPR matters in Contributions C195 and C197</dc:creator>
  <dc:description>TSAG-TD1165  For: Virtual, 25-29 October 2021_x000d_Document date: _x000d_Saved by ITU51015586 at 13:54:27 on 27/10/2021</dc:description>
  <cp:lastModifiedBy>Al-Mnini, Lara</cp:lastModifiedBy>
  <cp:revision>5</cp:revision>
  <cp:lastPrinted>2020-01-17T07:16:00Z</cp:lastPrinted>
  <dcterms:created xsi:type="dcterms:W3CDTF">2021-10-27T12:16:00Z</dcterms:created>
  <dcterms:modified xsi:type="dcterms:W3CDTF">2021-10-27T12:28:00Z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0x0101006EE2011685E409408A5E886FA9500CDE</vt:lpwstr>
  </property>
  <property fmtid="{D5CDD505-2E9C-101B-9397-08002B2CF9AE}" pid="4" name="Docnum">
    <vt:lpwstr>TSAG-TD1165</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Virtual, 25-29 October 2021</vt:lpwstr>
  </property>
  <property fmtid="{D5CDD505-2E9C-101B-9397-08002B2CF9AE}" pid="9" name="Docauthor">
    <vt:lpwstr>Rapporteurs of the TSAG ad hoc group meeting on IPR matters in Contributions C195 and C197</vt:lpwstr>
  </property>
</Properties>
</file>