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562"/>
        <w:gridCol w:w="482"/>
        <w:gridCol w:w="3629"/>
      </w:tblGrid>
      <w:tr w:rsidR="002D1DE2" w14:paraId="0900374B" w14:textId="77777777" w:rsidTr="002C74DD">
        <w:trPr>
          <w:cantSplit/>
        </w:trPr>
        <w:tc>
          <w:tcPr>
            <w:tcW w:w="1191" w:type="dxa"/>
            <w:vMerge w:val="restart"/>
          </w:tcPr>
          <w:p w14:paraId="3C0307E1" w14:textId="77777777" w:rsidR="002D1DE2" w:rsidRDefault="002D1DE2" w:rsidP="002C74DD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577366">
              <w:rPr>
                <w:noProof/>
                <w:sz w:val="20"/>
                <w:lang w:val="en-US" w:eastAsia="en-US"/>
              </w:rPr>
              <w:drawing>
                <wp:inline distT="0" distB="0" distL="0" distR="0" wp14:anchorId="219DAA74" wp14:editId="38A0D8AB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B520E57" w14:textId="77777777" w:rsidR="002D1DE2" w:rsidRDefault="002D1DE2" w:rsidP="002C74DD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75FD0402" w14:textId="77777777" w:rsidR="002D1DE2" w:rsidRDefault="002D1DE2" w:rsidP="002C74D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68FA9DB" w14:textId="77777777" w:rsidR="002D1DE2" w:rsidRDefault="002D1DE2" w:rsidP="002C74DD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073E40A" w14:textId="77777777" w:rsidR="002D1DE2" w:rsidRDefault="002D1DE2" w:rsidP="002C74DD">
            <w:pPr>
              <w:pStyle w:val="Docnumber"/>
            </w:pPr>
            <w:r>
              <w:t>TSAG-TD1260</w:t>
            </w:r>
          </w:p>
        </w:tc>
      </w:tr>
      <w:tr w:rsidR="002D1DE2" w14:paraId="33B352D3" w14:textId="77777777" w:rsidTr="002C74DD">
        <w:trPr>
          <w:cantSplit/>
          <w:trHeight w:val="461"/>
        </w:trPr>
        <w:tc>
          <w:tcPr>
            <w:tcW w:w="1191" w:type="dxa"/>
            <w:vMerge/>
          </w:tcPr>
          <w:p w14:paraId="6855DBAF" w14:textId="77777777" w:rsidR="002D1DE2" w:rsidRDefault="002D1DE2" w:rsidP="002C74DD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40D9C58E" w14:textId="77777777" w:rsidR="002D1DE2" w:rsidRDefault="002D1DE2" w:rsidP="002C74DD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7D7CB186" w14:textId="77777777" w:rsidR="002D1DE2" w:rsidRDefault="002D1DE2" w:rsidP="002C74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2D1DE2" w14:paraId="31B8B8E9" w14:textId="77777777" w:rsidTr="002C74DD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17D26EC" w14:textId="77777777" w:rsidR="002D1DE2" w:rsidRDefault="002D1DE2" w:rsidP="002C74D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394ADD0A" w14:textId="77777777" w:rsidR="002D1DE2" w:rsidRDefault="002D1DE2" w:rsidP="002C74DD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80E900B" w14:textId="77777777" w:rsidR="002D1DE2" w:rsidRDefault="002D1DE2" w:rsidP="002C74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D1DE2" w14:paraId="1D53A780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169A7DFE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3FE0275B" w14:textId="355C1A6A" w:rsidR="002D1DE2" w:rsidRDefault="00AF6C7B" w:rsidP="002C74DD">
            <w:r>
              <w:t>N/</w:t>
            </w:r>
            <w:r w:rsidR="002D1DE2">
              <w:t>A</w:t>
            </w:r>
          </w:p>
        </w:tc>
        <w:tc>
          <w:tcPr>
            <w:tcW w:w="3629" w:type="dxa"/>
          </w:tcPr>
          <w:p w14:paraId="15529CBC" w14:textId="77777777" w:rsidR="002D1DE2" w:rsidRDefault="002D1DE2" w:rsidP="002C74DD">
            <w:pPr>
              <w:jc w:val="right"/>
            </w:pPr>
            <w:r>
              <w:t>E-Meeting, 10-17 January 2022</w:t>
            </w:r>
          </w:p>
        </w:tc>
      </w:tr>
      <w:tr w:rsidR="002D1DE2" w14:paraId="131D84E2" w14:textId="77777777" w:rsidTr="002C74DD">
        <w:trPr>
          <w:cantSplit/>
          <w:trHeight w:val="357"/>
        </w:trPr>
        <w:tc>
          <w:tcPr>
            <w:tcW w:w="9923" w:type="dxa"/>
            <w:gridSpan w:val="6"/>
          </w:tcPr>
          <w:p w14:paraId="2D4D8CC1" w14:textId="296E20A3" w:rsidR="002D1DE2" w:rsidRDefault="002D1DE2" w:rsidP="002C74D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AF6C7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SG5-LS230</w:t>
              </w:r>
            </w:hyperlink>
            <w:r>
              <w:t>)</w:t>
            </w:r>
          </w:p>
        </w:tc>
      </w:tr>
      <w:bookmarkEnd w:id="3"/>
      <w:tr w:rsidR="002D1DE2" w14:paraId="48BA76C4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6E7F917D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2EFD5BE0" w14:textId="77777777" w:rsidR="002D1DE2" w:rsidRDefault="002D1DE2" w:rsidP="002C74DD">
            <w:r>
              <w:t>ITU-T Study Group 5</w:t>
            </w:r>
          </w:p>
        </w:tc>
      </w:tr>
      <w:tr w:rsidR="002D1DE2" w14:paraId="28EB2D59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346B279A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0DDB1617" w14:textId="54E6D764" w:rsidR="002D1DE2" w:rsidRDefault="002D1DE2" w:rsidP="002C74DD">
            <w:pPr>
              <w:spacing w:after="120"/>
            </w:pPr>
            <w:r>
              <w:t xml:space="preserve">LS/r on requesting all ITU-T study groups to provide an update on Recommendations related to WTSA-16 Resolution 73 (Rev. </w:t>
            </w:r>
            <w:proofErr w:type="spellStart"/>
            <w:r>
              <w:t>Hammamet</w:t>
            </w:r>
            <w:proofErr w:type="spellEnd"/>
            <w:r>
              <w:t>, 2016) (reply to TSAG-LS45)</w:t>
            </w:r>
            <w:r w:rsidR="00052524">
              <w:t xml:space="preserve"> [from </w:t>
            </w:r>
            <w:r w:rsidR="00052524" w:rsidRPr="00052524">
              <w:t>ITU-T SG5</w:t>
            </w:r>
            <w:r w:rsidR="00052524">
              <w:t>]</w:t>
            </w:r>
          </w:p>
        </w:tc>
      </w:tr>
      <w:tr w:rsidR="002D1DE2" w14:paraId="7E2E2082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613783A0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9C1783A" w14:textId="253D77EC" w:rsidR="002D1DE2" w:rsidRDefault="00052524" w:rsidP="002C74DD">
            <w:r>
              <w:t>Action</w:t>
            </w:r>
          </w:p>
        </w:tc>
      </w:tr>
      <w:tr w:rsidR="002D1DE2" w14:paraId="47DDBE77" w14:textId="77777777" w:rsidTr="002C74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AA21A74" w14:textId="77777777" w:rsidR="002D1DE2" w:rsidRDefault="002D1DE2" w:rsidP="002C74D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D1DE2" w14:paraId="6CE3A61C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20E0AB68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61C75E4" w14:textId="77777777" w:rsidR="002D1DE2" w:rsidRDefault="002D1DE2" w:rsidP="002C74DD">
            <w:r>
              <w:t>TSAG</w:t>
            </w:r>
          </w:p>
        </w:tc>
      </w:tr>
      <w:tr w:rsidR="002D1DE2" w14:paraId="7B13F7AE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74686ACB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64D5D9DE" w14:textId="77777777" w:rsidR="002D1DE2" w:rsidRDefault="002D1DE2" w:rsidP="002C74DD">
            <w:r>
              <w:t>-</w:t>
            </w:r>
          </w:p>
        </w:tc>
      </w:tr>
      <w:tr w:rsidR="002D1DE2" w14:paraId="1888F024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4811CCD7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DEC2D0B" w14:textId="77777777" w:rsidR="002D1DE2" w:rsidRDefault="002D1DE2" w:rsidP="002C74DD">
            <w:r>
              <w:t>-</w:t>
            </w:r>
          </w:p>
        </w:tc>
      </w:tr>
      <w:tr w:rsidR="002D1DE2" w14:paraId="58E4EA9F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58715358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0E972EA3" w14:textId="77777777" w:rsidR="002D1DE2" w:rsidRDefault="002D1DE2" w:rsidP="002C74DD">
            <w:r>
              <w:t>ITU-T Study Group 5 meeting (Virtual, 10 December 2021)</w:t>
            </w:r>
          </w:p>
        </w:tc>
      </w:tr>
      <w:tr w:rsidR="002D1DE2" w14:paraId="078E0AFF" w14:textId="77777777" w:rsidTr="002C74DD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109B392" w14:textId="77777777" w:rsidR="002D1DE2" w:rsidRDefault="002D1DE2" w:rsidP="002C74DD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4C3AD1C3" w14:textId="77777777" w:rsidR="002D1DE2" w:rsidRDefault="002D1DE2" w:rsidP="002C74DD">
            <w:r>
              <w:t>N/A</w:t>
            </w:r>
          </w:p>
        </w:tc>
      </w:tr>
      <w:tr w:rsidR="002D1DE2" w:rsidRPr="00052524" w14:paraId="72C01678" w14:textId="77777777" w:rsidTr="00AF6C7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F48945A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4E7037FB" w14:textId="77777777" w:rsidR="002D1DE2" w:rsidRDefault="002D1DE2" w:rsidP="00AF6C7B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br/>
              <w:t>ITU-T SG5 Acting 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4220789E" w14:textId="6010FB6E" w:rsidR="002D1DE2" w:rsidRPr="00052524" w:rsidRDefault="002D1DE2" w:rsidP="00AF6C7B">
            <w:pPr>
              <w:rPr>
                <w:lang w:val="fr-CH"/>
              </w:rPr>
            </w:pPr>
            <w:r w:rsidRPr="00052524">
              <w:rPr>
                <w:lang w:val="fr-CH"/>
              </w:rPr>
              <w:t xml:space="preserve">E-mail: </w:t>
            </w:r>
            <w:hyperlink r:id="rId12" w:history="1">
              <w:r w:rsidR="00AF6C7B" w:rsidRPr="00D17A11">
                <w:rPr>
                  <w:rStyle w:val="Hyperlink"/>
                  <w:rFonts w:ascii="Times New Roman" w:hAnsi="Times New Roman"/>
                  <w:lang w:val="fr-CH"/>
                </w:rPr>
                <w:t>qishuguang@caict.ac.cn</w:t>
              </w:r>
            </w:hyperlink>
            <w:r w:rsidR="00AF6C7B">
              <w:rPr>
                <w:lang w:val="fr-CH"/>
              </w:rPr>
              <w:t xml:space="preserve"> </w:t>
            </w:r>
          </w:p>
        </w:tc>
      </w:tr>
      <w:tr w:rsidR="002D1DE2" w:rsidRPr="00052524" w14:paraId="40A35638" w14:textId="77777777" w:rsidTr="00AF6C7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E2AE7F6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5F11B7A2" w14:textId="77777777" w:rsidR="002D1DE2" w:rsidRDefault="002D1DE2" w:rsidP="00AF6C7B">
            <w:proofErr w:type="spellStart"/>
            <w:r>
              <w:t>Fyrderyk</w:t>
            </w:r>
            <w:proofErr w:type="spellEnd"/>
            <w:r>
              <w:t xml:space="preserve"> </w:t>
            </w:r>
            <w:proofErr w:type="spellStart"/>
            <w:r>
              <w:t>Lewicki</w:t>
            </w:r>
            <w:proofErr w:type="spellEnd"/>
            <w:r>
              <w:br/>
              <w:t>ITU-T SG5 WP1/5 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45BEB7F0" w14:textId="02009AB5" w:rsidR="002D1DE2" w:rsidRPr="00052524" w:rsidRDefault="002D1DE2" w:rsidP="00AF6C7B">
            <w:pPr>
              <w:rPr>
                <w:lang w:val="fr-CH"/>
              </w:rPr>
            </w:pPr>
            <w:r w:rsidRPr="00052524">
              <w:rPr>
                <w:lang w:val="fr-CH"/>
              </w:rPr>
              <w:t xml:space="preserve">E-mail: </w:t>
            </w:r>
            <w:hyperlink r:id="rId13" w:history="1">
              <w:r w:rsidR="00AF6C7B" w:rsidRPr="00D17A11">
                <w:rPr>
                  <w:rStyle w:val="Hyperlink"/>
                  <w:rFonts w:ascii="Times New Roman" w:hAnsi="Times New Roman"/>
                  <w:lang w:val="fr-CH"/>
                </w:rPr>
                <w:t>fryderyk.lewicki@orange.com</w:t>
              </w:r>
            </w:hyperlink>
            <w:r w:rsidR="00AF6C7B">
              <w:rPr>
                <w:lang w:val="fr-CH"/>
              </w:rPr>
              <w:t xml:space="preserve"> </w:t>
            </w:r>
          </w:p>
        </w:tc>
      </w:tr>
      <w:tr w:rsidR="002D1DE2" w:rsidRPr="00052524" w14:paraId="4B0E9B99" w14:textId="77777777" w:rsidTr="00AF6C7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52F68A0" w14:textId="77777777" w:rsidR="002D1DE2" w:rsidRDefault="002D1DE2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16CDAA81" w14:textId="77777777" w:rsidR="002D1DE2" w:rsidRPr="00052524" w:rsidRDefault="002D1DE2" w:rsidP="00AF6C7B">
            <w:pPr>
              <w:rPr>
                <w:lang w:val="fr-CH"/>
              </w:rPr>
            </w:pPr>
            <w:r w:rsidRPr="00052524">
              <w:rPr>
                <w:lang w:val="fr-CH"/>
              </w:rPr>
              <w:t>Paolo Gemma</w:t>
            </w:r>
            <w:r w:rsidRPr="00052524">
              <w:rPr>
                <w:lang w:val="fr-CH"/>
              </w:rPr>
              <w:br/>
              <w:t>ITU-T SG5 WP2/5 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6B12CB50" w14:textId="6E9430EB" w:rsidR="002D1DE2" w:rsidRPr="00052524" w:rsidRDefault="002D1DE2" w:rsidP="00AF6C7B">
            <w:pPr>
              <w:rPr>
                <w:lang w:val="fr-CH"/>
              </w:rPr>
            </w:pPr>
            <w:r w:rsidRPr="00052524">
              <w:rPr>
                <w:lang w:val="fr-CH"/>
              </w:rPr>
              <w:t xml:space="preserve">E-mail : </w:t>
            </w:r>
            <w:hyperlink r:id="rId14" w:history="1">
              <w:r w:rsidR="00AF6C7B" w:rsidRPr="00D17A11">
                <w:rPr>
                  <w:rStyle w:val="Hyperlink"/>
                  <w:rFonts w:ascii="Times New Roman" w:hAnsi="Times New Roman"/>
                  <w:lang w:val="fr-CH"/>
                </w:rPr>
                <w:t>paolo.gemma@huawei.com</w:t>
              </w:r>
            </w:hyperlink>
            <w:r w:rsidR="00AF6C7B">
              <w:rPr>
                <w:lang w:val="fr-CH"/>
              </w:rPr>
              <w:t xml:space="preserve"> </w:t>
            </w:r>
            <w:bookmarkStart w:id="4" w:name="_GoBack"/>
            <w:bookmarkEnd w:id="4"/>
          </w:p>
        </w:tc>
      </w:tr>
    </w:tbl>
    <w:p w14:paraId="0A7406D7" w14:textId="77777777" w:rsidR="002D1DE2" w:rsidRDefault="002D1DE2" w:rsidP="002D1DE2">
      <w:r>
        <w:t xml:space="preserve">This liaison statement answers </w:t>
      </w:r>
      <w:hyperlink r:id="rId15" w:history="1">
        <w:r>
          <w:rPr>
            <w:rStyle w:val="Hyperlink"/>
          </w:rPr>
          <w:t>TSAG-LS45</w:t>
        </w:r>
      </w:hyperlink>
      <w:r>
        <w:t>.</w:t>
      </w:r>
    </w:p>
    <w:p w14:paraId="203719CF" w14:textId="77777777" w:rsidR="002D1DE2" w:rsidRDefault="002D1DE2" w:rsidP="002D1DE2"/>
    <w:p w14:paraId="7CE5DA69" w14:textId="77777777" w:rsidR="002D1DE2" w:rsidRDefault="002D1DE2" w:rsidP="002D1DE2">
      <w:r>
        <w:t>A new liaison statement has been received from SG5.</w:t>
      </w:r>
    </w:p>
    <w:p w14:paraId="18F8E189" w14:textId="77777777" w:rsidR="002D1DE2" w:rsidRDefault="002D1DE2" w:rsidP="002D1DE2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http://handle.itu.int/11.1002/ls/sp16-sg5-oLS-00230.docx</w:t>
        </w:r>
      </w:hyperlink>
      <w:r>
        <w:t>.</w:t>
      </w:r>
    </w:p>
    <w:p w14:paraId="1EF1141F" w14:textId="77777777" w:rsidR="002D1DE2" w:rsidRDefault="002D1DE2" w:rsidP="002D1DE2">
      <w:pPr>
        <w:spacing w:before="0"/>
        <w:jc w:val="center"/>
      </w:pPr>
    </w:p>
    <w:p w14:paraId="389E9AFF" w14:textId="77777777" w:rsidR="002D1DE2" w:rsidRDefault="002D1DE2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1184"/>
        <w:gridCol w:w="413"/>
        <w:gridCol w:w="10"/>
        <w:gridCol w:w="507"/>
        <w:gridCol w:w="3095"/>
        <w:gridCol w:w="144"/>
        <w:gridCol w:w="4507"/>
        <w:gridCol w:w="57"/>
      </w:tblGrid>
      <w:tr w:rsidR="00A77B38" w:rsidRPr="00A77B38" w14:paraId="534BFDA5" w14:textId="77777777" w:rsidTr="00A77B38">
        <w:trPr>
          <w:gridBefore w:val="1"/>
          <w:wBefore w:w="6" w:type="dxa"/>
          <w:cantSplit/>
        </w:trPr>
        <w:tc>
          <w:tcPr>
            <w:tcW w:w="1184" w:type="dxa"/>
            <w:vMerge w:val="restart"/>
          </w:tcPr>
          <w:p w14:paraId="58486F57" w14:textId="0DD828B7" w:rsidR="00A77B38" w:rsidRPr="00A77B38" w:rsidRDefault="00A77B38" w:rsidP="00A77B38">
            <w:pPr>
              <w:rPr>
                <w:sz w:val="20"/>
                <w:szCs w:val="20"/>
              </w:rPr>
            </w:pPr>
            <w:r w:rsidRPr="00A77B38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1E60513A" wp14:editId="7018EAF2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gridSpan w:val="4"/>
            <w:vMerge w:val="restart"/>
          </w:tcPr>
          <w:p w14:paraId="6DE4353E" w14:textId="77777777" w:rsidR="00A77B38" w:rsidRPr="00A77B38" w:rsidRDefault="00A77B38" w:rsidP="00A77B38">
            <w:pPr>
              <w:rPr>
                <w:sz w:val="16"/>
                <w:szCs w:val="16"/>
              </w:rPr>
            </w:pPr>
            <w:r w:rsidRPr="00A77B38">
              <w:rPr>
                <w:sz w:val="16"/>
                <w:szCs w:val="16"/>
              </w:rPr>
              <w:t>INTERNATIONAL TELECOMMUNICATION UNION</w:t>
            </w:r>
          </w:p>
          <w:p w14:paraId="66DB8727" w14:textId="77777777" w:rsidR="00A77B38" w:rsidRPr="00A77B38" w:rsidRDefault="00A77B38" w:rsidP="00A77B38">
            <w:pPr>
              <w:rPr>
                <w:b/>
                <w:bCs/>
                <w:sz w:val="26"/>
                <w:szCs w:val="26"/>
              </w:rPr>
            </w:pPr>
            <w:r w:rsidRPr="00A77B38">
              <w:rPr>
                <w:b/>
                <w:bCs/>
                <w:sz w:val="26"/>
                <w:szCs w:val="26"/>
              </w:rPr>
              <w:t>TELECOMMUNICATION</w:t>
            </w:r>
            <w:r w:rsidRPr="00A77B3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EDCD849" w14:textId="77777777" w:rsidR="00A77B38" w:rsidRPr="00A77B38" w:rsidRDefault="00A77B38" w:rsidP="00A77B38">
            <w:pPr>
              <w:rPr>
                <w:sz w:val="20"/>
                <w:szCs w:val="20"/>
              </w:rPr>
            </w:pPr>
            <w:r w:rsidRPr="00A77B38">
              <w:rPr>
                <w:sz w:val="20"/>
                <w:szCs w:val="20"/>
              </w:rPr>
              <w:t xml:space="preserve">STUDY PERIOD </w:t>
            </w:r>
            <w:bookmarkStart w:id="5" w:name="dstudyperiod"/>
            <w:r w:rsidRPr="00A77B38">
              <w:rPr>
                <w:sz w:val="20"/>
                <w:szCs w:val="20"/>
              </w:rPr>
              <w:t>2017-2020</w:t>
            </w:r>
            <w:bookmarkEnd w:id="5"/>
          </w:p>
        </w:tc>
        <w:tc>
          <w:tcPr>
            <w:tcW w:w="4708" w:type="dxa"/>
            <w:gridSpan w:val="3"/>
            <w:vAlign w:val="center"/>
          </w:tcPr>
          <w:p w14:paraId="49621853" w14:textId="3F78B219" w:rsidR="00A77B38" w:rsidRPr="002D1DE2" w:rsidRDefault="00A77B38" w:rsidP="002D1DE2">
            <w:pPr>
              <w:jc w:val="right"/>
              <w:rPr>
                <w:b/>
                <w:sz w:val="28"/>
              </w:rPr>
            </w:pPr>
            <w:r w:rsidRPr="002D1DE2">
              <w:rPr>
                <w:b/>
                <w:sz w:val="28"/>
              </w:rPr>
              <w:t>SG5-LS230</w:t>
            </w:r>
          </w:p>
        </w:tc>
      </w:tr>
      <w:tr w:rsidR="00A77B38" w:rsidRPr="00A77B38" w14:paraId="447E55AA" w14:textId="77777777" w:rsidTr="00A77B38">
        <w:trPr>
          <w:gridBefore w:val="1"/>
          <w:wBefore w:w="6" w:type="dxa"/>
          <w:cantSplit/>
        </w:trPr>
        <w:tc>
          <w:tcPr>
            <w:tcW w:w="1184" w:type="dxa"/>
            <w:vMerge/>
          </w:tcPr>
          <w:p w14:paraId="254E8673" w14:textId="77777777" w:rsidR="00A77B38" w:rsidRPr="00A77B38" w:rsidRDefault="00A77B38" w:rsidP="00A77B38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25" w:type="dxa"/>
            <w:gridSpan w:val="4"/>
            <w:vMerge/>
          </w:tcPr>
          <w:p w14:paraId="5088A5A5" w14:textId="77777777" w:rsidR="00A77B38" w:rsidRPr="00A77B38" w:rsidRDefault="00A77B38" w:rsidP="00A77B38">
            <w:pPr>
              <w:rPr>
                <w:smallCaps/>
                <w:sz w:val="20"/>
              </w:rPr>
            </w:pPr>
          </w:p>
        </w:tc>
        <w:tc>
          <w:tcPr>
            <w:tcW w:w="4708" w:type="dxa"/>
            <w:gridSpan w:val="3"/>
          </w:tcPr>
          <w:p w14:paraId="254789CD" w14:textId="6B8DF18E" w:rsidR="00A77B38" w:rsidRPr="00A77B38" w:rsidRDefault="00A77B38" w:rsidP="00A77B3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6"/>
      <w:tr w:rsidR="00A77B38" w:rsidRPr="00A77B38" w14:paraId="60C844E4" w14:textId="77777777" w:rsidTr="00A77B38">
        <w:trPr>
          <w:gridBefore w:val="1"/>
          <w:wBefore w:w="6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3DA92C94" w14:textId="77777777" w:rsidR="00A77B38" w:rsidRPr="00A77B38" w:rsidRDefault="00A77B38" w:rsidP="00A77B38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gridSpan w:val="4"/>
            <w:vMerge/>
            <w:tcBorders>
              <w:bottom w:val="single" w:sz="12" w:space="0" w:color="auto"/>
            </w:tcBorders>
          </w:tcPr>
          <w:p w14:paraId="1E201118" w14:textId="77777777" w:rsidR="00A77B38" w:rsidRPr="00A77B38" w:rsidRDefault="00A77B38" w:rsidP="00A77B38">
            <w:pPr>
              <w:rPr>
                <w:b/>
                <w:bCs/>
                <w:sz w:val="26"/>
              </w:rPr>
            </w:pPr>
          </w:p>
        </w:tc>
        <w:tc>
          <w:tcPr>
            <w:tcW w:w="4708" w:type="dxa"/>
            <w:gridSpan w:val="3"/>
            <w:tcBorders>
              <w:bottom w:val="single" w:sz="12" w:space="0" w:color="auto"/>
            </w:tcBorders>
            <w:vAlign w:val="center"/>
          </w:tcPr>
          <w:p w14:paraId="4F3C8BB4" w14:textId="77777777" w:rsidR="00A77B38" w:rsidRPr="00A77B38" w:rsidRDefault="00A77B38" w:rsidP="00A77B38">
            <w:pPr>
              <w:jc w:val="right"/>
              <w:rPr>
                <w:b/>
                <w:bCs/>
                <w:sz w:val="28"/>
                <w:szCs w:val="28"/>
              </w:rPr>
            </w:pPr>
            <w:r w:rsidRPr="00A77B3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7B38" w:rsidRPr="00A77B38" w14:paraId="0E024E0F" w14:textId="77777777" w:rsidTr="00A77B38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7E07CA1F" w14:textId="77777777" w:rsidR="00A77B38" w:rsidRPr="00A77B38" w:rsidRDefault="00A77B38" w:rsidP="00A77B38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A77B38">
              <w:rPr>
                <w:b/>
                <w:bCs/>
              </w:rPr>
              <w:t>Question(s):</w:t>
            </w:r>
          </w:p>
        </w:tc>
        <w:tc>
          <w:tcPr>
            <w:tcW w:w="3602" w:type="dxa"/>
            <w:gridSpan w:val="2"/>
          </w:tcPr>
          <w:p w14:paraId="0BE20BAA" w14:textId="145536EF" w:rsidR="00A77B38" w:rsidRPr="00A77B38" w:rsidRDefault="00A77B38" w:rsidP="00A77B38">
            <w:r w:rsidRPr="00A77B38">
              <w:t>All/5</w:t>
            </w:r>
          </w:p>
        </w:tc>
        <w:tc>
          <w:tcPr>
            <w:tcW w:w="4708" w:type="dxa"/>
            <w:gridSpan w:val="3"/>
          </w:tcPr>
          <w:p w14:paraId="79E62ABB" w14:textId="54710973" w:rsidR="00A77B38" w:rsidRPr="00A77B38" w:rsidRDefault="00A77B38" w:rsidP="00A77B38">
            <w:pPr>
              <w:jc w:val="right"/>
            </w:pPr>
            <w:r w:rsidRPr="00A77B38">
              <w:t>Virtual, 30 November – 10 December 2021</w:t>
            </w:r>
          </w:p>
        </w:tc>
      </w:tr>
      <w:tr w:rsidR="00A77B38" w:rsidRPr="00A77B38" w14:paraId="0DBE7476" w14:textId="77777777" w:rsidTr="00A77B38">
        <w:trPr>
          <w:gridBefore w:val="1"/>
          <w:wBefore w:w="6" w:type="dxa"/>
          <w:cantSplit/>
        </w:trPr>
        <w:tc>
          <w:tcPr>
            <w:tcW w:w="9917" w:type="dxa"/>
            <w:gridSpan w:val="8"/>
          </w:tcPr>
          <w:p w14:paraId="09794E53" w14:textId="562A440B" w:rsidR="00A77B38" w:rsidRPr="00A77B38" w:rsidRDefault="00A77B38" w:rsidP="00A77B38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 w:rsidRPr="00A77B38">
              <w:rPr>
                <w:b/>
                <w:bCs/>
              </w:rPr>
              <w:t>Ref.: SG5-TD2119-R1</w:t>
            </w:r>
          </w:p>
        </w:tc>
      </w:tr>
      <w:tr w:rsidR="00A77B38" w:rsidRPr="00A77B38" w14:paraId="520CC5C1" w14:textId="77777777" w:rsidTr="00A77B38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5E869015" w14:textId="77777777" w:rsidR="00A77B38" w:rsidRPr="00A77B38" w:rsidRDefault="00A77B38" w:rsidP="00A77B38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A77B38">
              <w:rPr>
                <w:b/>
                <w:bCs/>
              </w:rPr>
              <w:t>Source:</w:t>
            </w:r>
          </w:p>
        </w:tc>
        <w:tc>
          <w:tcPr>
            <w:tcW w:w="8310" w:type="dxa"/>
            <w:gridSpan w:val="5"/>
          </w:tcPr>
          <w:p w14:paraId="6B525ED3" w14:textId="24293E1A" w:rsidR="00A77B38" w:rsidRPr="00A77B38" w:rsidRDefault="00A77B38" w:rsidP="00A77B38">
            <w:r w:rsidRPr="00A77B38">
              <w:t>ITU-T Study Group 5</w:t>
            </w:r>
          </w:p>
        </w:tc>
      </w:tr>
      <w:tr w:rsidR="00A77B38" w:rsidRPr="00A77B38" w14:paraId="04935835" w14:textId="77777777" w:rsidTr="00A77B38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4F0B55C1" w14:textId="77777777" w:rsidR="00A77B38" w:rsidRPr="00A77B38" w:rsidRDefault="00A77B38" w:rsidP="00A77B38">
            <w:bookmarkStart w:id="11" w:name="dtitle1" w:colFirst="1" w:colLast="1"/>
            <w:bookmarkEnd w:id="10"/>
            <w:r w:rsidRPr="00A77B38">
              <w:rPr>
                <w:b/>
                <w:bCs/>
              </w:rPr>
              <w:t>Title:</w:t>
            </w:r>
          </w:p>
        </w:tc>
        <w:tc>
          <w:tcPr>
            <w:tcW w:w="8310" w:type="dxa"/>
            <w:gridSpan w:val="5"/>
          </w:tcPr>
          <w:p w14:paraId="00E5A263" w14:textId="20E7F9D1" w:rsidR="00A77B38" w:rsidRPr="00A77B38" w:rsidRDefault="00A77B38" w:rsidP="00A77B38">
            <w:r w:rsidRPr="00A77B38">
              <w:t xml:space="preserve">LS/r on requesting all ITU-T study groups to provide an update on Recommendations related to WTSA-16 Resolution 73 (Rev. </w:t>
            </w:r>
            <w:proofErr w:type="spellStart"/>
            <w:r w:rsidRPr="00A77B38">
              <w:t>Hammamet</w:t>
            </w:r>
            <w:proofErr w:type="spellEnd"/>
            <w:r w:rsidRPr="00A77B38">
              <w:t xml:space="preserve">, 2016) (reply to TSAG-LS45) </w:t>
            </w:r>
          </w:p>
        </w:tc>
      </w:tr>
      <w:bookmarkEnd w:id="1"/>
      <w:bookmarkEnd w:id="11"/>
      <w:tr w:rsidR="00CD6848" w14:paraId="38A62C82" w14:textId="77777777" w:rsidTr="00A77B38"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A77B38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6" w:type="dxa"/>
            <w:gridSpan w:val="3"/>
          </w:tcPr>
          <w:p w14:paraId="3C2D8FB5" w14:textId="632C441D" w:rsidR="00CD6848" w:rsidRPr="00704629" w:rsidRDefault="00704629" w:rsidP="00F05E8B">
            <w:pPr>
              <w:pStyle w:val="LSForAction"/>
              <w:rPr>
                <w:b w:val="0"/>
                <w:bCs w:val="0"/>
              </w:rPr>
            </w:pPr>
            <w:r w:rsidRPr="00704629">
              <w:rPr>
                <w:b w:val="0"/>
                <w:bCs w:val="0"/>
              </w:rPr>
              <w:t>TSAG</w:t>
            </w:r>
          </w:p>
        </w:tc>
      </w:tr>
      <w:tr w:rsidR="00CD6848" w14:paraId="2973018F" w14:textId="77777777" w:rsidTr="00A77B38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6" w:type="dxa"/>
            <w:gridSpan w:val="3"/>
          </w:tcPr>
          <w:p w14:paraId="0BAA906B" w14:textId="343E052C" w:rsidR="00CD6848" w:rsidRDefault="00704629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A77B38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6" w:type="dxa"/>
            <w:gridSpan w:val="3"/>
          </w:tcPr>
          <w:p w14:paraId="3D12637F" w14:textId="4A592D65" w:rsidR="00CD6848" w:rsidRDefault="00704629" w:rsidP="00F05E8B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A77B38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6" w:type="dxa"/>
            <w:gridSpan w:val="3"/>
          </w:tcPr>
          <w:p w14:paraId="7DE81CDE" w14:textId="4CFC9F3E" w:rsidR="00CD6848" w:rsidRPr="003869CD" w:rsidRDefault="004670D7" w:rsidP="000477B1">
            <w:pPr>
              <w:rPr>
                <w:b/>
                <w:bCs/>
              </w:rPr>
            </w:pPr>
            <w:r>
              <w:rPr>
                <w:lang w:eastAsia="zh-CN"/>
              </w:rPr>
              <w:t xml:space="preserve">ITU-T Study Group </w:t>
            </w:r>
            <w:r w:rsidR="00A56FF6">
              <w:rPr>
                <w:lang w:eastAsia="zh-CN"/>
              </w:rPr>
              <w:t>5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</w:t>
            </w:r>
            <w:r w:rsidR="00AE4FD0">
              <w:t xml:space="preserve">Virtual, </w:t>
            </w:r>
            <w:r w:rsidR="00A56FF6">
              <w:t xml:space="preserve">10 December </w:t>
            </w:r>
            <w:r w:rsidR="00807211">
              <w:rPr>
                <w:lang w:eastAsia="zh-CN"/>
              </w:rPr>
              <w:t>2021</w:t>
            </w:r>
            <w:r>
              <w:rPr>
                <w:lang w:eastAsia="zh-CN"/>
              </w:rPr>
              <w:t>)</w:t>
            </w:r>
          </w:p>
        </w:tc>
      </w:tr>
      <w:tr w:rsidR="00CD6848" w14:paraId="18D69991" w14:textId="77777777" w:rsidTr="00A77B38">
        <w:trPr>
          <w:gridAfter w:val="1"/>
          <w:wAfter w:w="57" w:type="dxa"/>
          <w:cantSplit/>
          <w:trHeight w:val="357"/>
        </w:trPr>
        <w:tc>
          <w:tcPr>
            <w:tcW w:w="2120" w:type="dxa"/>
            <w:gridSpan w:val="5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6" w:type="dxa"/>
            <w:gridSpan w:val="3"/>
            <w:tcBorders>
              <w:bottom w:val="single" w:sz="12" w:space="0" w:color="auto"/>
            </w:tcBorders>
          </w:tcPr>
          <w:p w14:paraId="6F833D61" w14:textId="4EC7C7BB" w:rsidR="00CD6848" w:rsidRPr="00704629" w:rsidRDefault="00704629" w:rsidP="00F05E8B">
            <w:pPr>
              <w:pStyle w:val="LSDeadline"/>
              <w:rPr>
                <w:b w:val="0"/>
                <w:bCs w:val="0"/>
              </w:rPr>
            </w:pPr>
            <w:r w:rsidRPr="00704629">
              <w:rPr>
                <w:b w:val="0"/>
                <w:bCs w:val="0"/>
              </w:rPr>
              <w:t>N/A</w:t>
            </w:r>
          </w:p>
        </w:tc>
      </w:tr>
      <w:tr w:rsidR="002A11C4" w:rsidRPr="00052524" w14:paraId="574D4B2C" w14:textId="77777777" w:rsidTr="00A77B38">
        <w:trPr>
          <w:gridAfter w:val="1"/>
          <w:wAfter w:w="57" w:type="dxa"/>
          <w:cantSplit/>
        </w:trPr>
        <w:tc>
          <w:tcPr>
            <w:tcW w:w="16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48F909DE" w:rsidR="002A11C4" w:rsidRPr="00704629" w:rsidRDefault="00AF6C7B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704629" w:rsidRPr="00704629">
                  <w:t xml:space="preserve">Qi </w:t>
                </w:r>
                <w:proofErr w:type="spellStart"/>
                <w:r w:rsidR="00704629" w:rsidRPr="00704629">
                  <w:t>Shuguang</w:t>
                </w:r>
                <w:proofErr w:type="spellEnd"/>
                <w:r w:rsidR="00704629" w:rsidRPr="00704629">
                  <w:br/>
                  <w:t>ITU-T SG5 Acting Ch</w:t>
                </w:r>
                <w:r w:rsidR="00704629">
                  <w:t>airman</w:t>
                </w:r>
              </w:sdtContent>
            </w:sdt>
          </w:p>
        </w:tc>
        <w:tc>
          <w:tcPr>
            <w:tcW w:w="4507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1B7AE2C7" w:rsidR="002A11C4" w:rsidRPr="00A77B38" w:rsidRDefault="00AF6C7B" w:rsidP="001A20C3">
            <w:pPr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-2140561428"/>
                <w:placeholder>
                  <w:docPart w:val="9CD8DEA6139347E38CA28E2838EF54D0"/>
                </w:placeholder>
              </w:sdtPr>
              <w:sdtEndPr/>
              <w:sdtContent>
                <w:r w:rsidR="002A11C4" w:rsidRPr="00A77B38">
                  <w:rPr>
                    <w:lang w:val="de-DE"/>
                  </w:rPr>
                  <w:t>E</w:t>
                </w:r>
                <w:r w:rsidR="00084B81" w:rsidRPr="00A77B38">
                  <w:rPr>
                    <w:lang w:val="de-DE"/>
                  </w:rPr>
                  <w:t>-</w:t>
                </w:r>
                <w:r w:rsidR="002A11C4" w:rsidRPr="00A77B38">
                  <w:rPr>
                    <w:lang w:val="de-DE"/>
                  </w:rPr>
                  <w:t xml:space="preserve">mail: </w:t>
                </w:r>
                <w:hyperlink r:id="rId17" w:history="1">
                  <w:r w:rsidR="00431D46" w:rsidRPr="00A77B38">
                    <w:rPr>
                      <w:rStyle w:val="Hyperlink"/>
                      <w:rFonts w:ascii="Times New Roman" w:hAnsi="Times New Roman"/>
                      <w:lang w:val="de-DE"/>
                    </w:rPr>
                    <w:t>qishuguang@caict.ac.cn</w:t>
                  </w:r>
                </w:hyperlink>
              </w:sdtContent>
            </w:sdt>
            <w:r w:rsidR="00431D46" w:rsidRPr="00A77B38">
              <w:rPr>
                <w:lang w:val="de-DE"/>
              </w:rPr>
              <w:t xml:space="preserve"> </w:t>
            </w:r>
          </w:p>
        </w:tc>
      </w:tr>
      <w:tr w:rsidR="00704629" w:rsidRPr="00052524" w14:paraId="56067F48" w14:textId="77777777" w:rsidTr="00A77B38">
        <w:trPr>
          <w:gridAfter w:val="1"/>
          <w:wAfter w:w="57" w:type="dxa"/>
          <w:cantSplit/>
        </w:trPr>
        <w:tc>
          <w:tcPr>
            <w:tcW w:w="16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651DE07" w14:textId="48F101F0" w:rsidR="00704629" w:rsidRPr="00136DDD" w:rsidRDefault="00704629" w:rsidP="001A20C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5921744" w14:textId="77777777" w:rsidR="00704629" w:rsidRDefault="00704629" w:rsidP="00781FEE">
            <w:proofErr w:type="spellStart"/>
            <w:r>
              <w:t>Fyrderyk</w:t>
            </w:r>
            <w:proofErr w:type="spellEnd"/>
            <w:r>
              <w:t xml:space="preserve"> </w:t>
            </w:r>
            <w:proofErr w:type="spellStart"/>
            <w:r>
              <w:t>Lewicki</w:t>
            </w:r>
            <w:proofErr w:type="spellEnd"/>
          </w:p>
          <w:p w14:paraId="5DBF7F0B" w14:textId="50EBD09F" w:rsidR="00704629" w:rsidRPr="00D61D00" w:rsidRDefault="00704629" w:rsidP="00781FEE">
            <w:r w:rsidRPr="00D61D00">
              <w:t>ITU-T SG5 WP1/5 Chairman</w:t>
            </w:r>
          </w:p>
        </w:tc>
        <w:tc>
          <w:tcPr>
            <w:tcW w:w="4507" w:type="dxa"/>
            <w:tcBorders>
              <w:top w:val="single" w:sz="8" w:space="0" w:color="auto"/>
              <w:bottom w:val="single" w:sz="8" w:space="0" w:color="auto"/>
            </w:tcBorders>
          </w:tcPr>
          <w:p w14:paraId="1679B44C" w14:textId="5BF3404A" w:rsidR="00704629" w:rsidRPr="00A77B38" w:rsidRDefault="00704629" w:rsidP="001A20C3">
            <w:pPr>
              <w:rPr>
                <w:lang w:val="de-DE"/>
              </w:rPr>
            </w:pPr>
            <w:r w:rsidRPr="00A77B38">
              <w:rPr>
                <w:lang w:val="de-DE"/>
              </w:rPr>
              <w:t>E</w:t>
            </w:r>
            <w:r w:rsidR="00084B81" w:rsidRPr="00A77B38">
              <w:rPr>
                <w:lang w:val="de-DE"/>
              </w:rPr>
              <w:t>-</w:t>
            </w:r>
            <w:r w:rsidRPr="00A77B38">
              <w:rPr>
                <w:lang w:val="de-DE"/>
              </w:rPr>
              <w:t>mail:</w:t>
            </w:r>
            <w:r w:rsidR="00431D46" w:rsidRPr="00A77B38">
              <w:rPr>
                <w:lang w:val="de-DE"/>
              </w:rPr>
              <w:t xml:space="preserve"> </w:t>
            </w:r>
            <w:hyperlink r:id="rId18" w:history="1">
              <w:r w:rsidR="00431D46" w:rsidRPr="00A77B38">
                <w:rPr>
                  <w:rStyle w:val="Hyperlink"/>
                  <w:rFonts w:ascii="Times New Roman" w:hAnsi="Times New Roman"/>
                  <w:lang w:val="de-DE"/>
                </w:rPr>
                <w:t>fryderyk.lewicki@orange.com</w:t>
              </w:r>
            </w:hyperlink>
            <w:r w:rsidR="00431D46" w:rsidRPr="00A77B38">
              <w:rPr>
                <w:lang w:val="de-DE"/>
              </w:rPr>
              <w:t xml:space="preserve"> </w:t>
            </w:r>
          </w:p>
        </w:tc>
      </w:tr>
      <w:tr w:rsidR="00704629" w:rsidRPr="00052524" w14:paraId="02B44D90" w14:textId="77777777" w:rsidTr="00A77B38">
        <w:trPr>
          <w:gridAfter w:val="1"/>
          <w:wAfter w:w="57" w:type="dxa"/>
          <w:cantSplit/>
        </w:trPr>
        <w:tc>
          <w:tcPr>
            <w:tcW w:w="16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F9D8594" w14:textId="377F4A80" w:rsidR="00704629" w:rsidRDefault="00704629" w:rsidP="001A20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Contact: </w:t>
            </w:r>
          </w:p>
        </w:tc>
        <w:tc>
          <w:tcPr>
            <w:tcW w:w="375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2206D92" w14:textId="77777777" w:rsidR="00704629" w:rsidRPr="00D61D00" w:rsidRDefault="00704629" w:rsidP="00781FEE">
            <w:pPr>
              <w:rPr>
                <w:lang w:val="fr-CH"/>
              </w:rPr>
            </w:pPr>
            <w:r w:rsidRPr="00D61D00">
              <w:rPr>
                <w:lang w:val="fr-CH"/>
              </w:rPr>
              <w:t>Paolo Gemma</w:t>
            </w:r>
          </w:p>
          <w:p w14:paraId="491A5CBA" w14:textId="2F1675DF" w:rsidR="00704629" w:rsidRPr="00704629" w:rsidRDefault="00704629" w:rsidP="00781FEE">
            <w:pPr>
              <w:rPr>
                <w:lang w:val="fr-CH"/>
              </w:rPr>
            </w:pPr>
            <w:r w:rsidRPr="00704629">
              <w:rPr>
                <w:lang w:val="fr-CH"/>
              </w:rPr>
              <w:t>ITU-T SG5 WP2/5 Ch</w:t>
            </w:r>
            <w:r>
              <w:rPr>
                <w:lang w:val="fr-CH"/>
              </w:rPr>
              <w:t>airman</w:t>
            </w:r>
          </w:p>
        </w:tc>
        <w:tc>
          <w:tcPr>
            <w:tcW w:w="4507" w:type="dxa"/>
            <w:tcBorders>
              <w:top w:val="single" w:sz="8" w:space="0" w:color="auto"/>
              <w:bottom w:val="single" w:sz="8" w:space="0" w:color="auto"/>
            </w:tcBorders>
          </w:tcPr>
          <w:p w14:paraId="13641CDF" w14:textId="1DF65151" w:rsidR="00704629" w:rsidRPr="00A77B38" w:rsidRDefault="00704629" w:rsidP="001A20C3">
            <w:pPr>
              <w:rPr>
                <w:lang w:val="de-DE"/>
              </w:rPr>
            </w:pPr>
            <w:r w:rsidRPr="00A77B38">
              <w:rPr>
                <w:lang w:val="de-DE"/>
              </w:rPr>
              <w:t>E</w:t>
            </w:r>
            <w:r w:rsidR="00084B81" w:rsidRPr="00A77B38">
              <w:rPr>
                <w:lang w:val="de-DE"/>
              </w:rPr>
              <w:t>-</w:t>
            </w:r>
            <w:r w:rsidRPr="00A77B38">
              <w:rPr>
                <w:lang w:val="de-DE"/>
              </w:rPr>
              <w:t>mail</w:t>
            </w:r>
            <w:r w:rsidR="00431D46" w:rsidRPr="00A77B38">
              <w:rPr>
                <w:lang w:val="de-DE"/>
              </w:rPr>
              <w:t xml:space="preserve"> : </w:t>
            </w:r>
            <w:hyperlink r:id="rId19" w:history="1">
              <w:r w:rsidR="00431D46" w:rsidRPr="00A77B38">
                <w:rPr>
                  <w:rStyle w:val="Hyperlink"/>
                  <w:rFonts w:ascii="Times New Roman" w:hAnsi="Times New Roman"/>
                  <w:lang w:val="de-DE"/>
                </w:rPr>
                <w:t>paolo.gemma@huawei.com</w:t>
              </w:r>
            </w:hyperlink>
            <w:r w:rsidR="00431D46" w:rsidRPr="00A77B38">
              <w:rPr>
                <w:lang w:val="de-DE"/>
              </w:rPr>
              <w:t xml:space="preserve">  </w:t>
            </w:r>
          </w:p>
        </w:tc>
      </w:tr>
    </w:tbl>
    <w:p w14:paraId="5870F72E" w14:textId="77777777" w:rsidR="000C397B" w:rsidRPr="00A77B38" w:rsidRDefault="000C397B" w:rsidP="0089088E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052524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B7EC1A8" w:rsidR="0089088E" w:rsidRPr="00431D46" w:rsidRDefault="00AF6C7B" w:rsidP="005976A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31D46" w:rsidRPr="008D7996">
                  <w:rPr>
                    <w:lang w:val="fr-CH"/>
                  </w:rPr>
                  <w:t xml:space="preserve">ITU-T SG5, </w:t>
                </w:r>
                <w:proofErr w:type="spellStart"/>
                <w:r w:rsidR="00431D46" w:rsidRPr="008D7996">
                  <w:rPr>
                    <w:lang w:val="fr-CH"/>
                  </w:rPr>
                  <w:t>Resolution</w:t>
                </w:r>
                <w:proofErr w:type="spellEnd"/>
                <w:r w:rsidR="00431D46" w:rsidRPr="008D7996">
                  <w:rPr>
                    <w:lang w:val="fr-CH"/>
                  </w:rPr>
                  <w:t xml:space="preserve"> 73, ICT, </w:t>
                </w:r>
                <w:proofErr w:type="spellStart"/>
                <w:r w:rsidR="00431D46" w:rsidRPr="008D7996">
                  <w:rPr>
                    <w:lang w:val="fr-CH"/>
                  </w:rPr>
                  <w:t>environment</w:t>
                </w:r>
                <w:proofErr w:type="spellEnd"/>
                <w:r w:rsidR="00431D46" w:rsidRPr="008D7996">
                  <w:rPr>
                    <w:lang w:val="fr-CH"/>
                  </w:rPr>
                  <w:t xml:space="preserve">, </w:t>
                </w:r>
                <w:proofErr w:type="spellStart"/>
                <w:r w:rsidR="00431D46" w:rsidRPr="008D7996">
                  <w:rPr>
                    <w:lang w:val="fr-CH"/>
                  </w:rPr>
                  <w:t>climate</w:t>
                </w:r>
                <w:proofErr w:type="spellEnd"/>
                <w:r w:rsidR="00431D46" w:rsidRPr="008D7996">
                  <w:rPr>
                    <w:lang w:val="fr-CH"/>
                  </w:rPr>
                  <w:t xml:space="preserve"> change</w:t>
                </w:r>
              </w:sdtContent>
            </w:sdt>
          </w:p>
        </w:tc>
      </w:tr>
      <w:tr w:rsidR="0089088E" w:rsidRPr="00431D46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70AE3402" w:rsidR="0089088E" w:rsidRPr="00431D46" w:rsidRDefault="00084B81" w:rsidP="008B5123">
                <w:r>
                  <w:t>This liaison statement</w:t>
                </w:r>
                <w:r w:rsidRPr="00431D46">
                  <w:t xml:space="preserve"> provides a response to TSAG on th</w:t>
                </w:r>
                <w:r>
                  <w:t xml:space="preserve">e work of ITU-T SG5 related to Resolution 73 (Rev. </w:t>
                </w:r>
                <w:proofErr w:type="spellStart"/>
                <w:r>
                  <w:t>Hammamet</w:t>
                </w:r>
                <w:proofErr w:type="spellEnd"/>
                <w:r>
                  <w:t>, 2016) - Information and communication technologies, environment and climate change.</w:t>
                </w:r>
              </w:p>
            </w:tc>
          </w:sdtContent>
        </w:sdt>
      </w:tr>
    </w:tbl>
    <w:p w14:paraId="3A2C9B3E" w14:textId="7F8E34DC" w:rsidR="00652795" w:rsidRPr="00A77B38" w:rsidRDefault="00A77B38" w:rsidP="002B5B1B">
      <w:pPr>
        <w:rPr>
          <w:lang w:eastAsia="zh-CN"/>
        </w:rPr>
      </w:pPr>
      <w:r>
        <w:rPr>
          <w:lang w:eastAsia="zh-CN"/>
        </w:rPr>
        <w:br/>
      </w:r>
      <w:r w:rsidR="002B5B1B" w:rsidRPr="00704629">
        <w:rPr>
          <w:lang w:eastAsia="zh-CN"/>
        </w:rPr>
        <w:t xml:space="preserve">This liaison answers LS </w:t>
      </w:r>
      <w:hyperlink r:id="rId20" w:tooltip="ITU-T ftp file restricted to TIES access only" w:history="1">
        <w:r w:rsidR="00704629" w:rsidRPr="00704629">
          <w:rPr>
            <w:rStyle w:val="Hyperlink"/>
          </w:rPr>
          <w:t>TSAG-LS45</w:t>
        </w:r>
      </w:hyperlink>
    </w:p>
    <w:p w14:paraId="4E5169BD" w14:textId="2F6A46E5" w:rsidR="004670D7" w:rsidRDefault="002B5B1B" w:rsidP="002B5B1B">
      <w:r w:rsidRPr="005E0C62">
        <w:t xml:space="preserve">ITU-T Study Group </w:t>
      </w:r>
      <w:r w:rsidR="00A56FF6" w:rsidRPr="005E0C62">
        <w:t>5</w:t>
      </w:r>
      <w:r w:rsidR="004670D7" w:rsidRPr="005E0C62">
        <w:t xml:space="preserve"> would like to thank </w:t>
      </w:r>
      <w:r w:rsidR="00431D46" w:rsidRPr="005E0C62">
        <w:t xml:space="preserve">TSAG </w:t>
      </w:r>
      <w:r w:rsidR="004670D7" w:rsidRPr="005E0C62">
        <w:t>for sending the liaison statement</w:t>
      </w:r>
      <w:r w:rsidR="00431D46" w:rsidRPr="005E0C62">
        <w:t xml:space="preserve"> (ref: </w:t>
      </w:r>
      <w:hyperlink r:id="rId21" w:tooltip="ITU-T ftp file restricted to TIES access only" w:history="1">
        <w:r w:rsidR="00431D46" w:rsidRPr="005E0C62">
          <w:rPr>
            <w:rStyle w:val="Hyperlink"/>
          </w:rPr>
          <w:t>TSAG-LS45</w:t>
        </w:r>
      </w:hyperlink>
      <w:r w:rsidR="004670D7" w:rsidRPr="005E0C62">
        <w:t>)</w:t>
      </w:r>
      <w:r w:rsidR="00431D46" w:rsidRPr="005E0C62">
        <w:t xml:space="preserve"> on requesting all ITU-T study groups to provide an update on Recommendations related to WTSA-16 Resolution 73 (Rev. </w:t>
      </w:r>
      <w:proofErr w:type="spellStart"/>
      <w:r w:rsidR="00431D46" w:rsidRPr="005E0C62">
        <w:t>Hammamet</w:t>
      </w:r>
      <w:proofErr w:type="spellEnd"/>
      <w:r w:rsidR="00431D46" w:rsidRPr="005E0C62">
        <w:t>, 2016)</w:t>
      </w:r>
      <w:r w:rsidR="005E0C62" w:rsidRPr="005E0C62">
        <w:t>.</w:t>
      </w:r>
    </w:p>
    <w:p w14:paraId="76CF3B96" w14:textId="7B90BAD0" w:rsidR="005E0C62" w:rsidRDefault="005E0C62" w:rsidP="002B5B1B">
      <w:r>
        <w:t>ITU-T SG5</w:t>
      </w:r>
      <w:r w:rsidR="00084B81">
        <w:t>,</w:t>
      </w:r>
      <w:r>
        <w:t xml:space="preserve"> as the lead Study Group on </w:t>
      </w:r>
      <w:r w:rsidRPr="005E0C62">
        <w:t>ICTs related to the environment, climate change, energy efficiency and clean energy, and on circular economy, including e‑waste</w:t>
      </w:r>
      <w:r w:rsidR="00084B81">
        <w:t>,</w:t>
      </w:r>
      <w:r>
        <w:t xml:space="preserve"> develop</w:t>
      </w:r>
      <w:r w:rsidR="00A45E8A">
        <w:t>s</w:t>
      </w:r>
      <w:r>
        <w:t xml:space="preserve"> </w:t>
      </w:r>
      <w:r w:rsidR="00A45E8A">
        <w:t xml:space="preserve">Recommendations </w:t>
      </w:r>
      <w:r>
        <w:t xml:space="preserve">and </w:t>
      </w:r>
      <w:r w:rsidR="00A45E8A">
        <w:t>S</w:t>
      </w:r>
      <w:r>
        <w:t>upplement</w:t>
      </w:r>
      <w:r w:rsidR="00A45E8A">
        <w:t>s</w:t>
      </w:r>
      <w:r>
        <w:t xml:space="preserve"> for the protection of the environment and </w:t>
      </w:r>
      <w:r w:rsidR="00084B81">
        <w:t xml:space="preserve">on </w:t>
      </w:r>
      <w:r>
        <w:t>climate change.</w:t>
      </w:r>
    </w:p>
    <w:p w14:paraId="2746DEF2" w14:textId="7A5BB2E6" w:rsidR="005E0C62" w:rsidRDefault="005E0C62" w:rsidP="002B5B1B">
      <w:r>
        <w:t>In this regard</w:t>
      </w:r>
      <w:r w:rsidR="00084B81">
        <w:t>,</w:t>
      </w:r>
      <w:r>
        <w:t xml:space="preserve"> ITU-T SG5 has developed </w:t>
      </w:r>
      <w:r w:rsidR="00A45E8A">
        <w:t>Recommendations</w:t>
      </w:r>
      <w:r>
        <w:t xml:space="preserve"> and Supplements on:</w:t>
      </w:r>
    </w:p>
    <w:p w14:paraId="0F020E36" w14:textId="6E2F6437" w:rsidR="005E0C62" w:rsidRDefault="005E0C62" w:rsidP="005E0C62">
      <w:pPr>
        <w:pStyle w:val="ListParagraph"/>
        <w:numPr>
          <w:ilvl w:val="0"/>
          <w:numId w:val="11"/>
        </w:numPr>
      </w:pPr>
      <w:r w:rsidRPr="005E0C62">
        <w:t xml:space="preserve">Electrical protection, reliability, </w:t>
      </w:r>
      <w:r w:rsidR="006E0510" w:rsidRPr="005E0C62">
        <w:t>safety,</w:t>
      </w:r>
      <w:r w:rsidRPr="005E0C62">
        <w:t xml:space="preserve"> and security of ICT systems</w:t>
      </w:r>
    </w:p>
    <w:p w14:paraId="4FCFF3A5" w14:textId="621A7C8A" w:rsidR="005E0C62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>Protecting equipment and devices against lightning and other electrical events</w:t>
      </w:r>
    </w:p>
    <w:p w14:paraId="2D28AFED" w14:textId="5964049D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>Human exposure to electromagnetic fields (EMFs) due to digital technologies</w:t>
      </w:r>
    </w:p>
    <w:p w14:paraId="6D11F384" w14:textId="2AEB0CA1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lastRenderedPageBreak/>
        <w:t xml:space="preserve">Electromagnetic compatibility (EMC) aspects in </w:t>
      </w:r>
      <w:r w:rsidR="00084B81">
        <w:t xml:space="preserve">the </w:t>
      </w:r>
      <w:r w:rsidRPr="00037B15">
        <w:t>ICT environment</w:t>
      </w:r>
    </w:p>
    <w:p w14:paraId="2BFBB8F6" w14:textId="165045B2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 xml:space="preserve">E-waste and </w:t>
      </w:r>
      <w:r w:rsidR="00084B81">
        <w:t xml:space="preserve">the </w:t>
      </w:r>
      <w:r w:rsidRPr="00037B15">
        <w:t>circular economy</w:t>
      </w:r>
    </w:p>
    <w:p w14:paraId="0A90B95D" w14:textId="2642AB49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>Power feeding and energy storage</w:t>
      </w:r>
    </w:p>
    <w:p w14:paraId="66B1CF22" w14:textId="43E5AF62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 xml:space="preserve">Energy efficiency, smart </w:t>
      </w:r>
      <w:r w:rsidR="00E331EB" w:rsidRPr="00037B15">
        <w:t>energy,</w:t>
      </w:r>
      <w:r w:rsidRPr="00037B15">
        <w:t xml:space="preserve"> and green data centres</w:t>
      </w:r>
    </w:p>
    <w:p w14:paraId="07BC9B47" w14:textId="3D99964B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>Assessment methodologies of ICTs and CO</w:t>
      </w:r>
      <w:r w:rsidRPr="00A77B38">
        <w:rPr>
          <w:vertAlign w:val="subscript"/>
        </w:rPr>
        <w:t>2</w:t>
      </w:r>
      <w:r w:rsidRPr="00037B15">
        <w:t xml:space="preserve"> trajectories</w:t>
      </w:r>
    </w:p>
    <w:p w14:paraId="4827965C" w14:textId="235EDC8C" w:rsidR="009F2237" w:rsidRPr="00037B15" w:rsidRDefault="009F2237" w:rsidP="005E0C62">
      <w:pPr>
        <w:pStyle w:val="ListParagraph"/>
        <w:numPr>
          <w:ilvl w:val="0"/>
          <w:numId w:val="11"/>
        </w:numPr>
      </w:pPr>
      <w:r w:rsidRPr="00037B15">
        <w:t>Adaptation to climate change</w:t>
      </w:r>
    </w:p>
    <w:p w14:paraId="2D7245C1" w14:textId="292BB1CF" w:rsidR="009F2237" w:rsidRPr="00037B15" w:rsidRDefault="009F2237" w:rsidP="009F2237">
      <w:pPr>
        <w:pStyle w:val="ListParagraph"/>
        <w:numPr>
          <w:ilvl w:val="0"/>
          <w:numId w:val="11"/>
        </w:numPr>
      </w:pPr>
      <w:r w:rsidRPr="00037B15">
        <w:t>Low</w:t>
      </w:r>
      <w:r w:rsidR="00A45E8A">
        <w:t>-</w:t>
      </w:r>
      <w:r w:rsidRPr="00037B15">
        <w:t>cost sustainable infrastructure</w:t>
      </w:r>
    </w:p>
    <w:p w14:paraId="1947FA19" w14:textId="503CA655" w:rsidR="009F2237" w:rsidRPr="00037B15" w:rsidRDefault="009F2237" w:rsidP="009F2237">
      <w:r w:rsidRPr="00037B15">
        <w:t xml:space="preserve">The complete list of ITU-T SG5 </w:t>
      </w:r>
      <w:r w:rsidR="00A45E8A">
        <w:t>Recommendations</w:t>
      </w:r>
      <w:r w:rsidRPr="00037B15">
        <w:t xml:space="preserve"> developed under the K and L series is available </w:t>
      </w:r>
      <w:hyperlink r:id="rId22" w:history="1">
        <w:r w:rsidRPr="00037B15">
          <w:rPr>
            <w:rStyle w:val="Hyperlink"/>
            <w:rFonts w:ascii="Times New Roman" w:hAnsi="Times New Roman"/>
          </w:rPr>
          <w:t>here</w:t>
        </w:r>
      </w:hyperlink>
      <w:r w:rsidRPr="00037B15">
        <w:t>.</w:t>
      </w:r>
    </w:p>
    <w:p w14:paraId="57D653C8" w14:textId="04E5417C" w:rsidR="009F2237" w:rsidRDefault="009F2237" w:rsidP="009F2237">
      <w:r w:rsidRPr="00037B15">
        <w:t xml:space="preserve">ITU-T SG5 continues to work to support Resolution 73, </w:t>
      </w:r>
      <w:r w:rsidR="00037B15" w:rsidRPr="00037B15">
        <w:t xml:space="preserve">and </w:t>
      </w:r>
      <w:r w:rsidRPr="00037B15">
        <w:t xml:space="preserve">the list of </w:t>
      </w:r>
      <w:r w:rsidR="00037B15" w:rsidRPr="00037B15">
        <w:t xml:space="preserve">ITU-T SG5 </w:t>
      </w:r>
      <w:r w:rsidRPr="00037B15">
        <w:t xml:space="preserve">work items under development is available </w:t>
      </w:r>
      <w:hyperlink r:id="rId23" w:history="1">
        <w:r w:rsidRPr="00037B15">
          <w:rPr>
            <w:rStyle w:val="Hyperlink"/>
            <w:rFonts w:ascii="Times New Roman" w:hAnsi="Times New Roman"/>
          </w:rPr>
          <w:t>here</w:t>
        </w:r>
      </w:hyperlink>
      <w:r w:rsidRPr="00037B15">
        <w:t xml:space="preserve">. </w:t>
      </w:r>
    </w:p>
    <w:p w14:paraId="6A0DE838" w14:textId="443EFE3A" w:rsidR="002A1C02" w:rsidRPr="00037B15" w:rsidRDefault="002A1C02" w:rsidP="009F2237">
      <w:r>
        <w:t xml:space="preserve">The list of </w:t>
      </w:r>
      <w:r w:rsidR="00084B81">
        <w:t xml:space="preserve">the </w:t>
      </w:r>
      <w:r w:rsidR="00936E56">
        <w:t>achievement</w:t>
      </w:r>
      <w:r w:rsidR="00084B81">
        <w:t>s</w:t>
      </w:r>
      <w:r w:rsidR="00936E56">
        <w:t xml:space="preserve"> </w:t>
      </w:r>
      <w:r>
        <w:t>of the ITU-T SG5 meeting</w:t>
      </w:r>
      <w:r w:rsidR="00D652B9">
        <w:t>s</w:t>
      </w:r>
      <w:r>
        <w:t xml:space="preserve"> held in May and December are available below</w:t>
      </w:r>
      <w:r w:rsidR="00084B81">
        <w:t>,</w:t>
      </w:r>
      <w:r>
        <w:t xml:space="preserve"> in Annex</w:t>
      </w:r>
      <w:r w:rsidR="00936E56">
        <w:t xml:space="preserve"> 1</w:t>
      </w:r>
      <w:r>
        <w:t>.</w:t>
      </w:r>
    </w:p>
    <w:p w14:paraId="58635C30" w14:textId="0E24FBBE" w:rsidR="002A1C02" w:rsidRDefault="00037B15" w:rsidP="00037B15">
      <w:pPr>
        <w:jc w:val="both"/>
      </w:pPr>
      <w:r>
        <w:t>ITU-T Study Group 5 looks forward to further collaboration with TSAG.</w:t>
      </w:r>
      <w:r w:rsidR="000477B1" w:rsidRPr="00037B15">
        <w:t xml:space="preserve"> </w:t>
      </w:r>
    </w:p>
    <w:p w14:paraId="3BDA5668" w14:textId="77777777" w:rsidR="002A1C02" w:rsidRDefault="002A1C02">
      <w:pPr>
        <w:spacing w:before="0" w:after="160" w:line="259" w:lineRule="auto"/>
      </w:pPr>
      <w:r>
        <w:br w:type="page"/>
      </w:r>
    </w:p>
    <w:p w14:paraId="7A399563" w14:textId="2F285F57" w:rsidR="004670D7" w:rsidRPr="002A1C02" w:rsidRDefault="002A1C02" w:rsidP="002A1C02">
      <w:pPr>
        <w:jc w:val="center"/>
        <w:rPr>
          <w:b/>
          <w:bCs/>
        </w:rPr>
      </w:pPr>
      <w:r w:rsidRPr="002A1C02">
        <w:rPr>
          <w:b/>
          <w:bCs/>
        </w:rPr>
        <w:lastRenderedPageBreak/>
        <w:t>Annex 1</w:t>
      </w:r>
    </w:p>
    <w:p w14:paraId="09FC60BB" w14:textId="3FF4FA28" w:rsidR="002A1C02" w:rsidRPr="00055F0A" w:rsidRDefault="002A1C02" w:rsidP="002A1C02">
      <w:pPr>
        <w:spacing w:before="240"/>
        <w:jc w:val="center"/>
        <w:rPr>
          <w:b/>
          <w:lang w:eastAsia="zh-CN"/>
        </w:rPr>
      </w:pPr>
      <w:r w:rsidRPr="00055F0A">
        <w:rPr>
          <w:b/>
          <w:lang w:eastAsia="zh-CN"/>
        </w:rPr>
        <w:t xml:space="preserve">Achievements of ITU-T Study Group 5 </w:t>
      </w:r>
      <w:r>
        <w:rPr>
          <w:b/>
          <w:lang w:eastAsia="zh-CN"/>
        </w:rPr>
        <w:br/>
      </w:r>
      <w:r w:rsidRPr="00055F0A">
        <w:rPr>
          <w:b/>
          <w:lang w:eastAsia="zh-CN"/>
        </w:rPr>
        <w:t xml:space="preserve">(status from </w:t>
      </w:r>
      <w:r>
        <w:rPr>
          <w:b/>
          <w:lang w:eastAsia="zh-CN"/>
        </w:rPr>
        <w:t>January to</w:t>
      </w:r>
      <w:r w:rsidRPr="00055F0A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December </w:t>
      </w:r>
      <w:r w:rsidRPr="00055F0A">
        <w:rPr>
          <w:b/>
          <w:lang w:eastAsia="zh-CN"/>
        </w:rPr>
        <w:t>202</w:t>
      </w:r>
      <w:r>
        <w:rPr>
          <w:b/>
          <w:lang w:eastAsia="zh-CN"/>
        </w:rPr>
        <w:t>1</w:t>
      </w:r>
      <w:r w:rsidRPr="00055F0A">
        <w:rPr>
          <w:b/>
          <w:lang w:eastAsia="zh-CN"/>
        </w:rPr>
        <w:t>)</w:t>
      </w:r>
    </w:p>
    <w:p w14:paraId="30BD5CF3" w14:textId="77777777" w:rsidR="002A1C02" w:rsidRPr="003D688B" w:rsidRDefault="002A1C02" w:rsidP="002A1C02">
      <w:pPr>
        <w:numPr>
          <w:ilvl w:val="1"/>
          <w:numId w:val="12"/>
        </w:numPr>
        <w:spacing w:before="240"/>
        <w:rPr>
          <w:b/>
          <w:lang w:eastAsia="zh-CN"/>
        </w:rPr>
      </w:pPr>
      <w:r w:rsidRPr="00055F0A">
        <w:rPr>
          <w:b/>
          <w:lang w:eastAsia="zh-CN"/>
        </w:rPr>
        <w:t>WP1/5 - EMC, lightning protection, EMF</w:t>
      </w:r>
    </w:p>
    <w:p w14:paraId="6F80E093" w14:textId="77777777" w:rsidR="002A1C02" w:rsidRPr="00055F0A" w:rsidRDefault="002A1C02" w:rsidP="002A1C02">
      <w:pPr>
        <w:spacing w:before="240" w:after="120"/>
        <w:rPr>
          <w:rFonts w:eastAsia="MS Mincho"/>
          <w:b/>
          <w:color w:val="000000"/>
        </w:rPr>
      </w:pPr>
      <w:r w:rsidRPr="00055F0A">
        <w:rPr>
          <w:b/>
          <w:lang w:eastAsia="zh-CN"/>
        </w:rPr>
        <w:t>1.1.1</w:t>
      </w:r>
      <w:r w:rsidRPr="00055F0A">
        <w:rPr>
          <w:b/>
          <w:lang w:eastAsia="zh-CN"/>
        </w:rPr>
        <w:tab/>
      </w:r>
      <w:r w:rsidRPr="00055F0A">
        <w:rPr>
          <w:b/>
          <w:color w:val="000000"/>
        </w:rPr>
        <w:t>Recommendations approved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</w:tblGrid>
      <w:tr w:rsidR="002A1C02" w:rsidRPr="008D7996" w14:paraId="5F265075" w14:textId="77777777" w:rsidTr="001936CA">
        <w:trPr>
          <w:cantSplit/>
          <w:tblHeader/>
        </w:trPr>
        <w:tc>
          <w:tcPr>
            <w:tcW w:w="851" w:type="dxa"/>
            <w:shd w:val="clear" w:color="auto" w:fill="D9D9D9"/>
          </w:tcPr>
          <w:p w14:paraId="3E346090" w14:textId="77777777" w:rsidR="002A1C02" w:rsidRPr="00236A76" w:rsidRDefault="002A1C02" w:rsidP="001936CA">
            <w:pPr>
              <w:jc w:val="center"/>
              <w:rPr>
                <w:b/>
                <w:bCs/>
                <w:sz w:val="22"/>
                <w:szCs w:val="22"/>
              </w:rPr>
            </w:pPr>
            <w:r w:rsidRPr="00236A76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1984" w:type="dxa"/>
            <w:shd w:val="clear" w:color="auto" w:fill="D9D9D9"/>
          </w:tcPr>
          <w:p w14:paraId="7A694335" w14:textId="77777777" w:rsidR="002A1C02" w:rsidRPr="00236A76" w:rsidRDefault="002A1C02" w:rsidP="001936CA">
            <w:pPr>
              <w:jc w:val="center"/>
              <w:rPr>
                <w:sz w:val="22"/>
                <w:szCs w:val="22"/>
              </w:rPr>
            </w:pPr>
            <w:r w:rsidRPr="00236A7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804" w:type="dxa"/>
            <w:shd w:val="clear" w:color="auto" w:fill="D9D9D9"/>
          </w:tcPr>
          <w:p w14:paraId="334452B9" w14:textId="77777777" w:rsidR="002A1C02" w:rsidRPr="00236A76" w:rsidRDefault="002A1C02" w:rsidP="001936CA">
            <w:pPr>
              <w:jc w:val="center"/>
              <w:rPr>
                <w:sz w:val="22"/>
                <w:szCs w:val="22"/>
              </w:rPr>
            </w:pPr>
            <w:r w:rsidRPr="00236A76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2A1C02" w:rsidRPr="008D7996" w14:paraId="2C08C381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BE97CC2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63F9AB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K.56 (rev.)</w:t>
            </w:r>
          </w:p>
        </w:tc>
        <w:tc>
          <w:tcPr>
            <w:tcW w:w="6804" w:type="dxa"/>
            <w:shd w:val="clear" w:color="auto" w:fill="FFFFFF"/>
          </w:tcPr>
          <w:p w14:paraId="416DCAC5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Protection of radio base stations against lightning discharges</w:t>
            </w:r>
          </w:p>
        </w:tc>
      </w:tr>
      <w:tr w:rsidR="002A1C02" w:rsidRPr="008D7996" w14:paraId="73E29AEF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674100D4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C9C478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K.112 (rev.)</w:t>
            </w:r>
          </w:p>
        </w:tc>
        <w:tc>
          <w:tcPr>
            <w:tcW w:w="6804" w:type="dxa"/>
            <w:shd w:val="clear" w:color="auto" w:fill="FFFFFF"/>
          </w:tcPr>
          <w:p w14:paraId="2E83084F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 xml:space="preserve">Lightning protection, </w:t>
            </w:r>
            <w:proofErr w:type="spellStart"/>
            <w:r w:rsidRPr="008D7996">
              <w:rPr>
                <w:sz w:val="22"/>
                <w:szCs w:val="22"/>
              </w:rPr>
              <w:t>earthing</w:t>
            </w:r>
            <w:proofErr w:type="spellEnd"/>
            <w:r w:rsidRPr="008D7996">
              <w:rPr>
                <w:sz w:val="22"/>
                <w:szCs w:val="22"/>
              </w:rPr>
              <w:t xml:space="preserve"> and bonding: Practical procedures for radio base stations</w:t>
            </w:r>
          </w:p>
        </w:tc>
      </w:tr>
      <w:tr w:rsidR="002A1C02" w:rsidRPr="008D7996" w14:paraId="5E9A1CF3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75EB3AA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1F6FE0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  <w:lang w:val="fr-CH"/>
              </w:rPr>
            </w:pPr>
            <w:proofErr w:type="spellStart"/>
            <w:r w:rsidRPr="008D7996">
              <w:rPr>
                <w:sz w:val="22"/>
                <w:szCs w:val="22"/>
                <w:lang w:val="fr-CH"/>
              </w:rPr>
              <w:t>Corrigendum</w:t>
            </w:r>
            <w:proofErr w:type="spellEnd"/>
            <w:r w:rsidRPr="008D7996">
              <w:rPr>
                <w:sz w:val="22"/>
                <w:szCs w:val="22"/>
                <w:lang w:val="fr-CH"/>
              </w:rPr>
              <w:t xml:space="preserve"> to ITU-T K.147 </w:t>
            </w:r>
          </w:p>
        </w:tc>
        <w:tc>
          <w:tcPr>
            <w:tcW w:w="6804" w:type="dxa"/>
            <w:shd w:val="clear" w:color="auto" w:fill="FFFFFF"/>
          </w:tcPr>
          <w:p w14:paraId="3C13CC87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 xml:space="preserve">Corrigendum 1 to Recommendation ITU-T K.147: Ethernet port resistibility testing for </w:t>
            </w:r>
            <w:proofErr w:type="spellStart"/>
            <w:r w:rsidRPr="008D7996">
              <w:rPr>
                <w:sz w:val="22"/>
                <w:szCs w:val="22"/>
              </w:rPr>
              <w:t>overvoltages</w:t>
            </w:r>
            <w:proofErr w:type="spellEnd"/>
            <w:r w:rsidRPr="008D7996">
              <w:rPr>
                <w:sz w:val="22"/>
                <w:szCs w:val="22"/>
              </w:rPr>
              <w:t xml:space="preserve"> and </w:t>
            </w:r>
            <w:proofErr w:type="spellStart"/>
            <w:r w:rsidRPr="008D7996">
              <w:rPr>
                <w:sz w:val="22"/>
                <w:szCs w:val="22"/>
              </w:rPr>
              <w:t>overcurrents</w:t>
            </w:r>
            <w:proofErr w:type="spellEnd"/>
          </w:p>
        </w:tc>
      </w:tr>
      <w:tr w:rsidR="002A1C02" w:rsidRPr="008D7996" w14:paraId="40015D0E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955822C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6FC167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K.20 (rev.)</w:t>
            </w:r>
          </w:p>
        </w:tc>
        <w:tc>
          <w:tcPr>
            <w:tcW w:w="6804" w:type="dxa"/>
            <w:shd w:val="clear" w:color="auto" w:fill="FFFFFF"/>
          </w:tcPr>
          <w:p w14:paraId="1A5B6A15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 xml:space="preserve">Resistibility of telecommunication equipment installed in a telecommunication centre to </w:t>
            </w:r>
            <w:proofErr w:type="spellStart"/>
            <w:r w:rsidRPr="008D7996">
              <w:rPr>
                <w:rFonts w:eastAsia="Times New Roman"/>
                <w:sz w:val="22"/>
                <w:szCs w:val="22"/>
              </w:rPr>
              <w:t>overvoltages</w:t>
            </w:r>
            <w:proofErr w:type="spellEnd"/>
            <w:r w:rsidRPr="008D7996">
              <w:rPr>
                <w:rFonts w:eastAsia="Times New Roman"/>
                <w:sz w:val="22"/>
                <w:szCs w:val="22"/>
              </w:rPr>
              <w:t xml:space="preserve"> and </w:t>
            </w:r>
            <w:proofErr w:type="spellStart"/>
            <w:r w:rsidRPr="008D7996">
              <w:rPr>
                <w:rFonts w:eastAsia="Times New Roman"/>
                <w:sz w:val="22"/>
                <w:szCs w:val="22"/>
              </w:rPr>
              <w:t>overcurrents</w:t>
            </w:r>
            <w:proofErr w:type="spellEnd"/>
          </w:p>
        </w:tc>
      </w:tr>
      <w:tr w:rsidR="002A1C02" w:rsidRPr="008D7996" w14:paraId="3F41EC92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0F5BA91F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73C53B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  <w:lang w:val="fr-CH"/>
              </w:rPr>
            </w:pPr>
            <w:proofErr w:type="spellStart"/>
            <w:r w:rsidRPr="008D7996">
              <w:rPr>
                <w:rFonts w:eastAsia="Times New Roman"/>
                <w:sz w:val="22"/>
                <w:szCs w:val="22"/>
                <w:lang w:val="fr-CH"/>
              </w:rPr>
              <w:t>Corrigendum</w:t>
            </w:r>
            <w:proofErr w:type="spellEnd"/>
            <w:r w:rsidRPr="008D7996">
              <w:rPr>
                <w:rFonts w:eastAsia="Times New Roman"/>
                <w:sz w:val="22"/>
                <w:szCs w:val="22"/>
                <w:lang w:val="fr-CH"/>
              </w:rPr>
              <w:t xml:space="preserve"> to</w:t>
            </w:r>
          </w:p>
          <w:p w14:paraId="56624066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  <w:lang w:val="fr-CH"/>
              </w:rPr>
            </w:pPr>
            <w:r w:rsidRPr="008D7996">
              <w:rPr>
                <w:rFonts w:eastAsia="Times New Roman"/>
                <w:sz w:val="22"/>
                <w:szCs w:val="22"/>
                <w:lang w:val="fr-CH"/>
              </w:rPr>
              <w:t>ITU-T K.50</w:t>
            </w:r>
          </w:p>
        </w:tc>
        <w:tc>
          <w:tcPr>
            <w:tcW w:w="6804" w:type="dxa"/>
            <w:shd w:val="clear" w:color="auto" w:fill="FFFFFF"/>
          </w:tcPr>
          <w:p w14:paraId="124D6C56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Safe limits for operating voltages and currents in telecommunication systems powered over the network</w:t>
            </w:r>
          </w:p>
        </w:tc>
      </w:tr>
      <w:tr w:rsidR="002A1C02" w:rsidRPr="008D7996" w14:paraId="229B9D39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F1D61E6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418BA0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K.52 (rev.)</w:t>
            </w:r>
          </w:p>
        </w:tc>
        <w:tc>
          <w:tcPr>
            <w:tcW w:w="6804" w:type="dxa"/>
            <w:shd w:val="clear" w:color="auto" w:fill="FFFFFF"/>
          </w:tcPr>
          <w:p w14:paraId="3E962F26" w14:textId="77777777" w:rsidR="002A1C02" w:rsidRPr="008D7996" w:rsidRDefault="002A1C02" w:rsidP="001936CA">
            <w:pPr>
              <w:tabs>
                <w:tab w:val="left" w:pos="1617"/>
              </w:tabs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Guidance on complying with limits for human exposure to electromagnetic fields</w:t>
            </w:r>
          </w:p>
        </w:tc>
      </w:tr>
      <w:tr w:rsidR="002A1C02" w:rsidRPr="008D7996" w14:paraId="1F653A65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46EB5412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051180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K.100 (rev.)</w:t>
            </w:r>
          </w:p>
        </w:tc>
        <w:tc>
          <w:tcPr>
            <w:tcW w:w="6804" w:type="dxa"/>
            <w:shd w:val="clear" w:color="auto" w:fill="FFFFFF"/>
          </w:tcPr>
          <w:p w14:paraId="567D48F8" w14:textId="77777777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Measurement of radio frequency electromagnetic fields to determine compliance with human exposure limits when a base station is put into service</w:t>
            </w:r>
          </w:p>
        </w:tc>
      </w:tr>
    </w:tbl>
    <w:p w14:paraId="097E088A" w14:textId="77777777" w:rsidR="002A1C02" w:rsidRPr="00055F0A" w:rsidRDefault="002A1C02" w:rsidP="002A1C02">
      <w:pPr>
        <w:keepNext/>
        <w:keepLines/>
        <w:spacing w:before="240" w:after="120"/>
        <w:rPr>
          <w:b/>
          <w:lang w:eastAsia="zh-CN"/>
        </w:rPr>
      </w:pPr>
      <w:r w:rsidRPr="00055F0A">
        <w:rPr>
          <w:b/>
          <w:lang w:eastAsia="zh-CN"/>
        </w:rPr>
        <w:t>1.1.2</w:t>
      </w:r>
      <w:r w:rsidRPr="00055F0A">
        <w:rPr>
          <w:b/>
          <w:lang w:eastAsia="zh-CN"/>
        </w:rPr>
        <w:tab/>
        <w:t>Informative texts agreed</w:t>
      </w:r>
    </w:p>
    <w:tbl>
      <w:tblPr>
        <w:tblW w:w="95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1964"/>
        <w:gridCol w:w="6705"/>
      </w:tblGrid>
      <w:tr w:rsidR="002A1C02" w:rsidRPr="008D7996" w14:paraId="5AD39635" w14:textId="77777777" w:rsidTr="001936CA">
        <w:trPr>
          <w:tblHeader/>
        </w:trPr>
        <w:tc>
          <w:tcPr>
            <w:tcW w:w="845" w:type="dxa"/>
            <w:shd w:val="clear" w:color="auto" w:fill="D9D9D9"/>
          </w:tcPr>
          <w:p w14:paraId="431A536D" w14:textId="77777777" w:rsidR="002A1C02" w:rsidRPr="00236A76" w:rsidRDefault="002A1C02" w:rsidP="001936CA">
            <w:pPr>
              <w:keepNext/>
              <w:keepLines/>
              <w:jc w:val="center"/>
              <w:rPr>
                <w:b/>
                <w:sz w:val="22"/>
                <w:szCs w:val="22"/>
                <w:lang w:eastAsia="ko-KR"/>
              </w:rPr>
            </w:pPr>
            <w:r w:rsidRPr="00236A76">
              <w:rPr>
                <w:b/>
                <w:sz w:val="22"/>
                <w:szCs w:val="22"/>
                <w:lang w:eastAsia="ko-KR"/>
              </w:rPr>
              <w:t>SG</w:t>
            </w:r>
          </w:p>
        </w:tc>
        <w:tc>
          <w:tcPr>
            <w:tcW w:w="1964" w:type="dxa"/>
            <w:shd w:val="clear" w:color="auto" w:fill="D9D9D9"/>
          </w:tcPr>
          <w:p w14:paraId="63FF4666" w14:textId="77777777" w:rsidR="002A1C02" w:rsidRPr="00236A76" w:rsidRDefault="002A1C02" w:rsidP="001936C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 w:rsidRPr="00236A7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705" w:type="dxa"/>
            <w:shd w:val="clear" w:color="auto" w:fill="D9D9D9"/>
          </w:tcPr>
          <w:p w14:paraId="533CB409" w14:textId="77777777" w:rsidR="002A1C02" w:rsidRPr="00236A76" w:rsidRDefault="002A1C02" w:rsidP="001936C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36A76">
              <w:rPr>
                <w:b/>
                <w:bCs/>
                <w:iCs/>
                <w:sz w:val="22"/>
                <w:szCs w:val="22"/>
              </w:rPr>
              <w:t>Title</w:t>
            </w:r>
          </w:p>
        </w:tc>
      </w:tr>
      <w:tr w:rsidR="00AE4FD0" w:rsidRPr="008D7996" w14:paraId="238B36EA" w14:textId="77777777" w:rsidTr="008D7996">
        <w:tc>
          <w:tcPr>
            <w:tcW w:w="845" w:type="dxa"/>
            <w:shd w:val="clear" w:color="auto" w:fill="D9D9D9"/>
          </w:tcPr>
          <w:p w14:paraId="6233044B" w14:textId="6F3268F1" w:rsidR="00AE4FD0" w:rsidRPr="008D7996" w:rsidRDefault="00236A76" w:rsidP="008D79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5</w:t>
            </w:r>
          </w:p>
        </w:tc>
        <w:tc>
          <w:tcPr>
            <w:tcW w:w="1964" w:type="dxa"/>
            <w:shd w:val="clear" w:color="auto" w:fill="D9D9D9"/>
          </w:tcPr>
          <w:p w14:paraId="5A38A6A8" w14:textId="6722B292" w:rsidR="00AE4FD0" w:rsidRPr="008D7996" w:rsidRDefault="00AE4FD0" w:rsidP="008D7996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K.Suppl.13</w:t>
            </w:r>
          </w:p>
        </w:tc>
        <w:tc>
          <w:tcPr>
            <w:tcW w:w="6705" w:type="dxa"/>
            <w:shd w:val="clear" w:color="auto" w:fill="D9D9D9"/>
            <w:vAlign w:val="center"/>
          </w:tcPr>
          <w:p w14:paraId="4A5E6D12" w14:textId="6A9014D8" w:rsidR="00AE4FD0" w:rsidRPr="008D7996" w:rsidRDefault="00AE4FD0" w:rsidP="008D7996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Radiofrequency electromagnetic field (RF-EMF) exposure levels from mobile and portable devices during different conditions of use</w:t>
            </w:r>
          </w:p>
        </w:tc>
      </w:tr>
      <w:tr w:rsidR="00AE4FD0" w:rsidRPr="008D7996" w14:paraId="4484D885" w14:textId="77777777" w:rsidTr="008D7996">
        <w:tc>
          <w:tcPr>
            <w:tcW w:w="845" w:type="dxa"/>
            <w:shd w:val="clear" w:color="auto" w:fill="D9D9D9"/>
          </w:tcPr>
          <w:p w14:paraId="4B8A719A" w14:textId="3A9D416A" w:rsidR="00AE4FD0" w:rsidRPr="008D7996" w:rsidRDefault="00236A76" w:rsidP="008D79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5</w:t>
            </w:r>
          </w:p>
        </w:tc>
        <w:tc>
          <w:tcPr>
            <w:tcW w:w="1964" w:type="dxa"/>
            <w:shd w:val="clear" w:color="auto" w:fill="D9D9D9"/>
          </w:tcPr>
          <w:p w14:paraId="1934FCF6" w14:textId="5BB606B6" w:rsidR="00AE4FD0" w:rsidRPr="008D7996" w:rsidRDefault="00AE4FD0" w:rsidP="008D7996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236A76">
              <w:rPr>
                <w:sz w:val="22"/>
                <w:szCs w:val="22"/>
              </w:rPr>
              <w:t>K.Suppl.20</w:t>
            </w:r>
          </w:p>
        </w:tc>
        <w:tc>
          <w:tcPr>
            <w:tcW w:w="6705" w:type="dxa"/>
            <w:shd w:val="clear" w:color="auto" w:fill="D9D9D9"/>
          </w:tcPr>
          <w:p w14:paraId="20D91EF1" w14:textId="70D39587" w:rsidR="00AE4FD0" w:rsidRPr="008D7996" w:rsidRDefault="00AE4FD0" w:rsidP="008D79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Supplement on radiofrequency exposure evaluation around underground base stations</w:t>
            </w:r>
          </w:p>
        </w:tc>
      </w:tr>
      <w:tr w:rsidR="00AE4FD0" w:rsidRPr="008D7996" w14:paraId="2AD4EF35" w14:textId="77777777" w:rsidTr="008D7996">
        <w:trPr>
          <w:cantSplit/>
        </w:trPr>
        <w:tc>
          <w:tcPr>
            <w:tcW w:w="845" w:type="dxa"/>
            <w:vAlign w:val="center"/>
          </w:tcPr>
          <w:p w14:paraId="02366066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7B1CE72B" w14:textId="77777777" w:rsidR="00AE4FD0" w:rsidRPr="00236A76" w:rsidRDefault="00AE4FD0" w:rsidP="00AE4FD0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K.Suppl.21 to ITU-T K.21 (rev.)</w:t>
            </w:r>
          </w:p>
        </w:tc>
        <w:tc>
          <w:tcPr>
            <w:tcW w:w="6705" w:type="dxa"/>
          </w:tcPr>
          <w:p w14:paraId="1EDD4CB8" w14:textId="77777777" w:rsidR="00AE4FD0" w:rsidRPr="00236A76" w:rsidRDefault="00AE4FD0" w:rsidP="00AE4FD0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Rationale for setting resistibility requirements of telecommunication equipment installed in customer premises against lightning</w:t>
            </w:r>
          </w:p>
        </w:tc>
      </w:tr>
      <w:tr w:rsidR="00AE4FD0" w:rsidRPr="008D7996" w14:paraId="5680C51C" w14:textId="77777777" w:rsidTr="008D7996">
        <w:trPr>
          <w:cantSplit/>
        </w:trPr>
        <w:tc>
          <w:tcPr>
            <w:tcW w:w="845" w:type="dxa"/>
            <w:vAlign w:val="center"/>
          </w:tcPr>
          <w:p w14:paraId="45E99F38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2E8DEE74" w14:textId="77777777" w:rsidR="00AE4FD0" w:rsidRPr="00236A76" w:rsidRDefault="00AE4FD0" w:rsidP="00AE4FD0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K.Suppl.22 to ITU-T K.45 (rev.)</w:t>
            </w:r>
          </w:p>
        </w:tc>
        <w:tc>
          <w:tcPr>
            <w:tcW w:w="6705" w:type="dxa"/>
          </w:tcPr>
          <w:p w14:paraId="16019A15" w14:textId="77777777" w:rsidR="00AE4FD0" w:rsidRPr="00236A76" w:rsidRDefault="00AE4FD0" w:rsidP="00AE4FD0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Rationale for setting resistibility requirements of telecommunication equipment installed in the access and trunk networks against lightning</w:t>
            </w:r>
          </w:p>
        </w:tc>
      </w:tr>
      <w:tr w:rsidR="00AE4FD0" w:rsidRPr="008D7996" w14:paraId="77CEAF38" w14:textId="77777777" w:rsidTr="008D7996">
        <w:trPr>
          <w:cantSplit/>
        </w:trPr>
        <w:tc>
          <w:tcPr>
            <w:tcW w:w="845" w:type="dxa"/>
            <w:vAlign w:val="center"/>
          </w:tcPr>
          <w:p w14:paraId="2516A6D4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710ADCD1" w14:textId="77777777" w:rsidR="00AE4FD0" w:rsidRPr="008D7996" w:rsidRDefault="00AE4FD0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K.Suppl.24 to ITU-T K.20</w:t>
            </w:r>
          </w:p>
        </w:tc>
        <w:tc>
          <w:tcPr>
            <w:tcW w:w="6705" w:type="dxa"/>
          </w:tcPr>
          <w:p w14:paraId="48C63AE8" w14:textId="77777777" w:rsidR="00AE4FD0" w:rsidRPr="008D7996" w:rsidRDefault="00AE4FD0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Rationale for setting resistibility requirements of telecommunication equipment installed in a telecommunication centre against lightning</w:t>
            </w:r>
          </w:p>
        </w:tc>
      </w:tr>
      <w:tr w:rsidR="00AE4FD0" w:rsidRPr="008D7996" w14:paraId="21514C5D" w14:textId="77777777" w:rsidTr="008D7996">
        <w:trPr>
          <w:cantSplit/>
        </w:trPr>
        <w:tc>
          <w:tcPr>
            <w:tcW w:w="845" w:type="dxa"/>
            <w:vAlign w:val="center"/>
          </w:tcPr>
          <w:p w14:paraId="4F24E87C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55F7C1AD" w14:textId="77777777" w:rsidR="00AE4FD0" w:rsidRPr="008D7996" w:rsidRDefault="00AE4FD0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K.Suppl.25 to Recommendation ITU-T K.117</w:t>
            </w:r>
          </w:p>
        </w:tc>
        <w:tc>
          <w:tcPr>
            <w:tcW w:w="6705" w:type="dxa"/>
          </w:tcPr>
          <w:p w14:paraId="1CCDE184" w14:textId="77777777" w:rsidR="00AE4FD0" w:rsidRPr="008D7996" w:rsidRDefault="00AE4FD0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Long reach single twisted-pair Ethernet resistibility testing</w:t>
            </w:r>
          </w:p>
        </w:tc>
      </w:tr>
      <w:tr w:rsidR="00AE4FD0" w:rsidRPr="008D7996" w14:paraId="79376AA7" w14:textId="77777777" w:rsidTr="008D7996">
        <w:trPr>
          <w:cantSplit/>
        </w:trPr>
        <w:tc>
          <w:tcPr>
            <w:tcW w:w="845" w:type="dxa"/>
            <w:vAlign w:val="center"/>
          </w:tcPr>
          <w:p w14:paraId="46EB433B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64" w:type="dxa"/>
          </w:tcPr>
          <w:p w14:paraId="4A7F1828" w14:textId="77777777" w:rsidR="00AE4FD0" w:rsidRPr="008D7996" w:rsidRDefault="00AE4FD0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K.Suppl.1 to Recommendation ITU-T K.91</w:t>
            </w:r>
          </w:p>
        </w:tc>
        <w:tc>
          <w:tcPr>
            <w:tcW w:w="6705" w:type="dxa"/>
          </w:tcPr>
          <w:p w14:paraId="08CE9BB0" w14:textId="77777777" w:rsidR="00AE4FD0" w:rsidRPr="008D7996" w:rsidRDefault="00AE4FD0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Guide on electromagnetic fields and health</w:t>
            </w:r>
          </w:p>
        </w:tc>
      </w:tr>
      <w:tr w:rsidR="00AE4FD0" w:rsidRPr="008D7996" w14:paraId="2A80D7D4" w14:textId="77777777" w:rsidTr="008D7996">
        <w:trPr>
          <w:cantSplit/>
        </w:trPr>
        <w:tc>
          <w:tcPr>
            <w:tcW w:w="845" w:type="dxa"/>
            <w:vAlign w:val="center"/>
          </w:tcPr>
          <w:p w14:paraId="5E037FF4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47509413" w14:textId="77777777" w:rsidR="00AE4FD0" w:rsidRPr="008D7996" w:rsidRDefault="00AE4FD0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Appendix II to Recommendation ITU-T K.90</w:t>
            </w:r>
          </w:p>
        </w:tc>
        <w:tc>
          <w:tcPr>
            <w:tcW w:w="6705" w:type="dxa"/>
          </w:tcPr>
          <w:p w14:paraId="794D6DF9" w14:textId="61B5277D" w:rsidR="00AE4FD0" w:rsidRPr="008D7996" w:rsidRDefault="00AE4FD0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Software “EMFACDC”</w:t>
            </w:r>
          </w:p>
        </w:tc>
      </w:tr>
      <w:tr w:rsidR="00AE4FD0" w:rsidRPr="008D7996" w14:paraId="6CFA2720" w14:textId="77777777" w:rsidTr="008D7996">
        <w:trPr>
          <w:cantSplit/>
        </w:trPr>
        <w:tc>
          <w:tcPr>
            <w:tcW w:w="845" w:type="dxa"/>
            <w:vAlign w:val="center"/>
          </w:tcPr>
          <w:p w14:paraId="2BE4A8EC" w14:textId="77777777" w:rsidR="00AE4FD0" w:rsidRPr="00236A76" w:rsidRDefault="00AE4FD0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7E313574" w14:textId="77777777" w:rsidR="00AE4FD0" w:rsidRPr="008D7996" w:rsidRDefault="00AE4FD0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K.Suppl.26</w:t>
            </w:r>
          </w:p>
        </w:tc>
        <w:tc>
          <w:tcPr>
            <w:tcW w:w="6705" w:type="dxa"/>
          </w:tcPr>
          <w:p w14:paraId="40DCAD89" w14:textId="77777777" w:rsidR="00AE4FD0" w:rsidRPr="008D7996" w:rsidRDefault="00AE4FD0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Analysis of electromagnetic compatibility requirements and test methods of 5G Active Antenna System base station</w:t>
            </w:r>
          </w:p>
        </w:tc>
      </w:tr>
      <w:tr w:rsidR="00AE4FD0" w:rsidRPr="008D7996" w14:paraId="36C8F96C" w14:textId="77777777" w:rsidTr="008D7996">
        <w:trPr>
          <w:cantSplit/>
        </w:trPr>
        <w:tc>
          <w:tcPr>
            <w:tcW w:w="845" w:type="dxa"/>
            <w:vAlign w:val="center"/>
          </w:tcPr>
          <w:p w14:paraId="3AAC7FEC" w14:textId="10689F93" w:rsidR="00AE4FD0" w:rsidRPr="00236A76" w:rsidRDefault="00236A76" w:rsidP="00AE4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06B45FF9" w14:textId="75D4683B" w:rsidR="00AE4FD0" w:rsidRPr="008D7996" w:rsidRDefault="00236A76" w:rsidP="00AE4FD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36A76">
              <w:rPr>
                <w:color w:val="000000" w:themeColor="text1"/>
                <w:sz w:val="22"/>
                <w:szCs w:val="22"/>
              </w:rPr>
              <w:t>Appendix 1 of ITU-T K.70</w:t>
            </w:r>
          </w:p>
        </w:tc>
        <w:tc>
          <w:tcPr>
            <w:tcW w:w="6705" w:type="dxa"/>
          </w:tcPr>
          <w:p w14:paraId="50D281C3" w14:textId="3E0ADB12" w:rsidR="00AE4FD0" w:rsidRPr="008D7996" w:rsidRDefault="00236A76" w:rsidP="00AE4FD0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Software "EMF-estimator" v8.0.32 and v8.64</w:t>
            </w:r>
          </w:p>
        </w:tc>
      </w:tr>
    </w:tbl>
    <w:p w14:paraId="17AE13FB" w14:textId="50AB3F72" w:rsidR="002A1C02" w:rsidRPr="00055F0A" w:rsidRDefault="002A1C02" w:rsidP="002A1C02">
      <w:pPr>
        <w:spacing w:before="240" w:after="120"/>
        <w:rPr>
          <w:b/>
          <w:lang w:eastAsia="zh-CN"/>
        </w:rPr>
      </w:pPr>
      <w:r w:rsidRPr="00055F0A">
        <w:rPr>
          <w:b/>
          <w:lang w:eastAsia="zh-CN"/>
        </w:rPr>
        <w:t>1.1.</w:t>
      </w:r>
      <w:r>
        <w:rPr>
          <w:b/>
          <w:lang w:eastAsia="zh-CN"/>
        </w:rPr>
        <w:t>3</w:t>
      </w:r>
      <w:r w:rsidRPr="00055F0A">
        <w:rPr>
          <w:b/>
          <w:lang w:eastAsia="zh-CN"/>
        </w:rPr>
        <w:tab/>
        <w:t>Recommendation consented (in AAP Last Call)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</w:tblGrid>
      <w:tr w:rsidR="002A1C02" w:rsidRPr="008D7996" w14:paraId="3D395FA2" w14:textId="77777777" w:rsidTr="001936CA">
        <w:trPr>
          <w:cantSplit/>
          <w:tblHeader/>
        </w:trPr>
        <w:tc>
          <w:tcPr>
            <w:tcW w:w="851" w:type="dxa"/>
            <w:shd w:val="clear" w:color="auto" w:fill="D9D9D9"/>
          </w:tcPr>
          <w:p w14:paraId="0C414B85" w14:textId="77777777" w:rsidR="002A1C02" w:rsidRPr="00236A76" w:rsidRDefault="002A1C02" w:rsidP="001936CA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A76">
              <w:rPr>
                <w:b/>
                <w:bCs/>
                <w:color w:val="000000"/>
                <w:sz w:val="22"/>
                <w:szCs w:val="22"/>
              </w:rPr>
              <w:t>SG</w:t>
            </w:r>
          </w:p>
        </w:tc>
        <w:tc>
          <w:tcPr>
            <w:tcW w:w="1984" w:type="dxa"/>
            <w:shd w:val="clear" w:color="auto" w:fill="D9D9D9"/>
          </w:tcPr>
          <w:p w14:paraId="3FFADDCC" w14:textId="77777777" w:rsidR="002A1C02" w:rsidRPr="00236A76" w:rsidRDefault="002A1C02" w:rsidP="001936C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236A7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804" w:type="dxa"/>
            <w:shd w:val="clear" w:color="auto" w:fill="D9D9D9"/>
          </w:tcPr>
          <w:p w14:paraId="161BA298" w14:textId="77777777" w:rsidR="002A1C02" w:rsidRPr="00236A76" w:rsidRDefault="002A1C02" w:rsidP="001936C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236A76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2A1C02" w:rsidRPr="008D7996" w14:paraId="1430E5E5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D16AF74" w14:textId="77777777" w:rsidR="002A1C02" w:rsidRPr="008D7996" w:rsidRDefault="002A1C02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55DAAB" w14:textId="77777777" w:rsidR="002A1C02" w:rsidRPr="008D7996" w:rsidRDefault="002A1C02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K.147</w:t>
            </w:r>
          </w:p>
        </w:tc>
        <w:tc>
          <w:tcPr>
            <w:tcW w:w="6804" w:type="dxa"/>
            <w:shd w:val="clear" w:color="auto" w:fill="FFFFFF"/>
          </w:tcPr>
          <w:p w14:paraId="5AB2B0AE" w14:textId="77777777" w:rsidR="002A1C02" w:rsidRPr="008D7996" w:rsidRDefault="002A1C02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 xml:space="preserve">Ethernet port resistibility testing for </w:t>
            </w:r>
            <w:proofErr w:type="spellStart"/>
            <w:r w:rsidRPr="008D7996">
              <w:rPr>
                <w:rFonts w:eastAsia="MS Mincho"/>
                <w:sz w:val="22"/>
                <w:szCs w:val="22"/>
              </w:rPr>
              <w:t>overvoltages</w:t>
            </w:r>
            <w:proofErr w:type="spellEnd"/>
            <w:r w:rsidRPr="008D7996">
              <w:rPr>
                <w:rFonts w:eastAsia="MS Mincho"/>
                <w:sz w:val="22"/>
                <w:szCs w:val="22"/>
              </w:rPr>
              <w:t xml:space="preserve"> and </w:t>
            </w:r>
            <w:proofErr w:type="spellStart"/>
            <w:r w:rsidRPr="008D7996">
              <w:rPr>
                <w:rFonts w:eastAsia="MS Mincho"/>
                <w:sz w:val="22"/>
                <w:szCs w:val="22"/>
              </w:rPr>
              <w:t>overcurrents</w:t>
            </w:r>
            <w:proofErr w:type="spellEnd"/>
          </w:p>
        </w:tc>
      </w:tr>
      <w:tr w:rsidR="003309C5" w:rsidRPr="008D7996" w14:paraId="320DAF78" w14:textId="77777777" w:rsidTr="008D7996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384F4880" w14:textId="62A3FCFD" w:rsidR="003309C5" w:rsidRPr="008D7996" w:rsidRDefault="003309C5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549D16CA" w14:textId="0D547A53" w:rsidR="003309C5" w:rsidRPr="008D7996" w:rsidRDefault="003309C5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A76">
              <w:rPr>
                <w:rFonts w:hint="eastAsia"/>
                <w:bCs/>
                <w:sz w:val="22"/>
                <w:szCs w:val="22"/>
                <w:lang w:eastAsia="zh-CN"/>
              </w:rPr>
              <w:t>K</w:t>
            </w:r>
            <w:r w:rsidRPr="00236A76">
              <w:rPr>
                <w:bCs/>
                <w:sz w:val="22"/>
                <w:szCs w:val="22"/>
                <w:lang w:eastAsia="zh-CN"/>
              </w:rPr>
              <w:t>.124</w:t>
            </w:r>
          </w:p>
        </w:tc>
        <w:tc>
          <w:tcPr>
            <w:tcW w:w="6804" w:type="dxa"/>
            <w:shd w:val="clear" w:color="auto" w:fill="FFFFFF"/>
          </w:tcPr>
          <w:p w14:paraId="29801761" w14:textId="7CE579F8" w:rsidR="003309C5" w:rsidRPr="008D7996" w:rsidRDefault="003309C5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236A76">
              <w:rPr>
                <w:bCs/>
                <w:sz w:val="22"/>
                <w:szCs w:val="22"/>
              </w:rPr>
              <w:t>Overview of particle radiation effects on telecommunication systems</w:t>
            </w:r>
          </w:p>
        </w:tc>
      </w:tr>
      <w:tr w:rsidR="003309C5" w:rsidRPr="008D7996" w14:paraId="179BBB54" w14:textId="77777777" w:rsidTr="008D7996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4B9CA530" w14:textId="482D5D9C" w:rsidR="003309C5" w:rsidRPr="008D7996" w:rsidRDefault="003309C5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5379FDD9" w14:textId="0A852BAA" w:rsidR="003309C5" w:rsidRPr="008D7996" w:rsidRDefault="003309C5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A76">
              <w:rPr>
                <w:rFonts w:hint="eastAsia"/>
                <w:bCs/>
                <w:sz w:val="22"/>
                <w:szCs w:val="22"/>
                <w:lang w:eastAsia="zh-CN"/>
              </w:rPr>
              <w:t>K</w:t>
            </w:r>
            <w:r w:rsidRPr="00236A76">
              <w:rPr>
                <w:bCs/>
                <w:sz w:val="22"/>
                <w:szCs w:val="22"/>
                <w:lang w:eastAsia="zh-CN"/>
              </w:rPr>
              <w:t>.130</w:t>
            </w:r>
          </w:p>
        </w:tc>
        <w:tc>
          <w:tcPr>
            <w:tcW w:w="6804" w:type="dxa"/>
            <w:shd w:val="clear" w:color="auto" w:fill="FFFFFF"/>
          </w:tcPr>
          <w:p w14:paraId="0A0C5EC1" w14:textId="31E8C2F2" w:rsidR="003309C5" w:rsidRPr="008D7996" w:rsidRDefault="003309C5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236A76">
              <w:rPr>
                <w:bCs/>
                <w:sz w:val="22"/>
                <w:szCs w:val="22"/>
              </w:rPr>
              <w:t>Neutron irradiation test methods for telecommunication equipment</w:t>
            </w:r>
          </w:p>
        </w:tc>
      </w:tr>
      <w:tr w:rsidR="003309C5" w:rsidRPr="008D7996" w14:paraId="0C42B0A7" w14:textId="77777777" w:rsidTr="008D7996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1FAFE2A2" w14:textId="0F6D1280" w:rsidR="003309C5" w:rsidRPr="008D7996" w:rsidRDefault="003309C5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39962902" w14:textId="498B7B81" w:rsidR="003309C5" w:rsidRPr="008D7996" w:rsidRDefault="003309C5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A76">
              <w:rPr>
                <w:rFonts w:hint="eastAsia"/>
                <w:bCs/>
                <w:sz w:val="22"/>
                <w:szCs w:val="22"/>
                <w:lang w:eastAsia="zh-CN"/>
              </w:rPr>
              <w:t>K</w:t>
            </w:r>
            <w:r w:rsidRPr="00236A76">
              <w:rPr>
                <w:bCs/>
                <w:sz w:val="22"/>
                <w:szCs w:val="22"/>
                <w:lang w:eastAsia="zh-CN"/>
              </w:rPr>
              <w:t>.131</w:t>
            </w:r>
          </w:p>
        </w:tc>
        <w:tc>
          <w:tcPr>
            <w:tcW w:w="6804" w:type="dxa"/>
            <w:shd w:val="clear" w:color="auto" w:fill="FFFFFF"/>
          </w:tcPr>
          <w:p w14:paraId="50B0087E" w14:textId="070DE98B" w:rsidR="003309C5" w:rsidRPr="008D7996" w:rsidRDefault="003309C5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236A76">
              <w:rPr>
                <w:bCs/>
                <w:sz w:val="22"/>
                <w:szCs w:val="22"/>
              </w:rPr>
              <w:t>Design methodologies for telecommunication systems applying soft error measures</w:t>
            </w:r>
          </w:p>
        </w:tc>
      </w:tr>
      <w:tr w:rsidR="003309C5" w:rsidRPr="008D7996" w14:paraId="2FAD899C" w14:textId="77777777" w:rsidTr="008D7996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70CD9928" w14:textId="666B7065" w:rsidR="003309C5" w:rsidRPr="008D7996" w:rsidRDefault="003309C5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1A79783D" w14:textId="3BC53FA1" w:rsidR="003309C5" w:rsidRPr="008D7996" w:rsidRDefault="003309C5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A76">
              <w:rPr>
                <w:rFonts w:hint="eastAsia"/>
                <w:bCs/>
                <w:sz w:val="22"/>
                <w:szCs w:val="22"/>
                <w:lang w:eastAsia="zh-CN"/>
              </w:rPr>
              <w:t>K</w:t>
            </w:r>
            <w:r w:rsidRPr="00236A76">
              <w:rPr>
                <w:bCs/>
                <w:sz w:val="22"/>
                <w:szCs w:val="22"/>
                <w:lang w:eastAsia="zh-CN"/>
              </w:rPr>
              <w:t>.138</w:t>
            </w:r>
          </w:p>
        </w:tc>
        <w:tc>
          <w:tcPr>
            <w:tcW w:w="6804" w:type="dxa"/>
            <w:shd w:val="clear" w:color="auto" w:fill="FFFFFF"/>
          </w:tcPr>
          <w:p w14:paraId="4106746E" w14:textId="1926DDEE" w:rsidR="003309C5" w:rsidRPr="008D7996" w:rsidRDefault="003309C5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236A76">
              <w:rPr>
                <w:bCs/>
                <w:sz w:val="22"/>
                <w:szCs w:val="22"/>
              </w:rPr>
              <w:t>Quality estimation methods and application guidelines for mitigation measures based on particle radiation tests</w:t>
            </w:r>
          </w:p>
        </w:tc>
      </w:tr>
      <w:tr w:rsidR="003309C5" w:rsidRPr="008D7996" w14:paraId="67267088" w14:textId="77777777" w:rsidTr="008D7996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56D5569D" w14:textId="42C3BFDD" w:rsidR="003309C5" w:rsidRPr="008D7996" w:rsidRDefault="003309C5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5168A89D" w14:textId="031CB028" w:rsidR="003309C5" w:rsidRPr="008D7996" w:rsidRDefault="003309C5" w:rsidP="008D7996">
            <w:pPr>
              <w:spacing w:line="240" w:lineRule="atLeast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A76">
              <w:rPr>
                <w:rFonts w:hint="eastAsia"/>
                <w:bCs/>
                <w:sz w:val="22"/>
                <w:szCs w:val="22"/>
                <w:lang w:eastAsia="zh-CN"/>
              </w:rPr>
              <w:t>K</w:t>
            </w:r>
            <w:r w:rsidRPr="00236A76">
              <w:rPr>
                <w:bCs/>
                <w:sz w:val="22"/>
                <w:szCs w:val="22"/>
                <w:lang w:eastAsia="zh-CN"/>
              </w:rPr>
              <w:t>.139</w:t>
            </w:r>
          </w:p>
        </w:tc>
        <w:tc>
          <w:tcPr>
            <w:tcW w:w="6804" w:type="dxa"/>
            <w:shd w:val="clear" w:color="auto" w:fill="FFFFFF"/>
          </w:tcPr>
          <w:p w14:paraId="3719783C" w14:textId="7E9EA6F3" w:rsidR="003309C5" w:rsidRPr="008D7996" w:rsidRDefault="003309C5" w:rsidP="00236A76">
            <w:pPr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236A76">
              <w:rPr>
                <w:bCs/>
                <w:sz w:val="22"/>
                <w:szCs w:val="22"/>
              </w:rPr>
              <w:t>Reliability requirements for telecommunication systems affected by particle radiation</w:t>
            </w:r>
          </w:p>
        </w:tc>
      </w:tr>
      <w:tr w:rsidR="00236A76" w:rsidRPr="008D7996" w14:paraId="2D9B2C60" w14:textId="77777777" w:rsidTr="0090158C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</w:tcPr>
          <w:p w14:paraId="667D5AEE" w14:textId="4E89A89A" w:rsidR="00236A76" w:rsidRPr="008D7996" w:rsidRDefault="00236A76" w:rsidP="008D7996">
            <w:pPr>
              <w:spacing w:after="40"/>
              <w:jc w:val="center"/>
              <w:rPr>
                <w:rFonts w:eastAsia="MS Mincho"/>
                <w:sz w:val="22"/>
                <w:szCs w:val="22"/>
              </w:rPr>
            </w:pPr>
            <w:r w:rsidRPr="008D7996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721655D8" w14:textId="559DBFF5" w:rsidR="00236A76" w:rsidRPr="00236A76" w:rsidRDefault="00236A76" w:rsidP="008D7996">
            <w:pPr>
              <w:spacing w:line="240" w:lineRule="atLeast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36A76">
              <w:rPr>
                <w:bCs/>
                <w:sz w:val="22"/>
                <w:szCs w:val="22"/>
                <w:lang w:eastAsia="zh-CN"/>
              </w:rPr>
              <w:t>K.151</w:t>
            </w:r>
          </w:p>
        </w:tc>
        <w:tc>
          <w:tcPr>
            <w:tcW w:w="6804" w:type="dxa"/>
            <w:shd w:val="clear" w:color="auto" w:fill="FFFFFF"/>
          </w:tcPr>
          <w:p w14:paraId="5DE82332" w14:textId="7D79BF47" w:rsidR="00236A76" w:rsidRPr="00236A76" w:rsidRDefault="00236A76" w:rsidP="00236A76">
            <w:pPr>
              <w:spacing w:line="240" w:lineRule="atLeast"/>
              <w:rPr>
                <w:bCs/>
                <w:sz w:val="22"/>
                <w:szCs w:val="22"/>
              </w:rPr>
            </w:pPr>
            <w:r w:rsidRPr="00236A76">
              <w:rPr>
                <w:rFonts w:eastAsia="Times New Roman"/>
                <w:sz w:val="22"/>
                <w:szCs w:val="22"/>
              </w:rPr>
              <w:t>Electrical safety and lightning protection of medium voltage input and up to ±400VDC output power system in ICT data centre and telecommunication centre</w:t>
            </w:r>
          </w:p>
        </w:tc>
      </w:tr>
    </w:tbl>
    <w:p w14:paraId="32F03E23" w14:textId="3A71784C" w:rsidR="002A1C02" w:rsidRPr="00055F0A" w:rsidRDefault="002A1C02" w:rsidP="002A1C02">
      <w:pPr>
        <w:spacing w:before="0" w:after="160" w:line="259" w:lineRule="auto"/>
        <w:rPr>
          <w:b/>
          <w:lang w:eastAsia="zh-CN"/>
        </w:rPr>
      </w:pPr>
      <w:r w:rsidRPr="00055F0A">
        <w:rPr>
          <w:b/>
          <w:lang w:eastAsia="zh-CN"/>
        </w:rPr>
        <w:br w:type="page"/>
      </w:r>
      <w:r w:rsidRPr="00055F0A">
        <w:rPr>
          <w:b/>
          <w:lang w:eastAsia="zh-CN"/>
        </w:rPr>
        <w:lastRenderedPageBreak/>
        <w:t>1.2</w:t>
      </w:r>
      <w:r w:rsidRPr="00055F0A">
        <w:rPr>
          <w:b/>
          <w:lang w:eastAsia="zh-CN"/>
        </w:rPr>
        <w:tab/>
        <w:t xml:space="preserve">WP2/5 - Environment, Energy </w:t>
      </w:r>
      <w:r w:rsidR="003309C5" w:rsidRPr="00055F0A">
        <w:rPr>
          <w:b/>
          <w:lang w:eastAsia="zh-CN"/>
        </w:rPr>
        <w:t>Efficiency,</w:t>
      </w:r>
      <w:r w:rsidRPr="00055F0A">
        <w:rPr>
          <w:b/>
          <w:lang w:eastAsia="zh-CN"/>
        </w:rPr>
        <w:t xml:space="preserve"> and the Circular Economy</w:t>
      </w:r>
    </w:p>
    <w:p w14:paraId="458C842E" w14:textId="77777777" w:rsidR="002A1C02" w:rsidRPr="00055F0A" w:rsidRDefault="002A1C02" w:rsidP="002A1C02">
      <w:pPr>
        <w:spacing w:before="240" w:after="120"/>
        <w:rPr>
          <w:rFonts w:eastAsia="MS Mincho"/>
          <w:b/>
          <w:color w:val="000000"/>
        </w:rPr>
      </w:pPr>
      <w:r w:rsidRPr="00055F0A">
        <w:rPr>
          <w:b/>
          <w:lang w:eastAsia="zh-CN"/>
        </w:rPr>
        <w:t>1.2.1</w:t>
      </w:r>
      <w:r w:rsidRPr="00055F0A">
        <w:rPr>
          <w:b/>
          <w:lang w:eastAsia="zh-CN"/>
        </w:rPr>
        <w:tab/>
      </w:r>
      <w:r w:rsidRPr="00055F0A">
        <w:rPr>
          <w:b/>
          <w:color w:val="000000"/>
        </w:rPr>
        <w:t>Recommendations approved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</w:tblGrid>
      <w:tr w:rsidR="002A1C02" w:rsidRPr="008D7996" w14:paraId="4784C0BE" w14:textId="77777777" w:rsidTr="001936CA">
        <w:trPr>
          <w:cantSplit/>
          <w:tblHeader/>
        </w:trPr>
        <w:tc>
          <w:tcPr>
            <w:tcW w:w="851" w:type="dxa"/>
            <w:shd w:val="clear" w:color="auto" w:fill="D9D9D9"/>
          </w:tcPr>
          <w:p w14:paraId="3AB7ACC8" w14:textId="77777777" w:rsidR="002A1C02" w:rsidRPr="008D7996" w:rsidRDefault="002A1C02" w:rsidP="001936CA">
            <w:pPr>
              <w:jc w:val="center"/>
              <w:rPr>
                <w:b/>
                <w:bCs/>
                <w:sz w:val="22"/>
                <w:szCs w:val="22"/>
              </w:rPr>
            </w:pPr>
            <w:r w:rsidRPr="008D7996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1984" w:type="dxa"/>
            <w:shd w:val="clear" w:color="auto" w:fill="D9D9D9"/>
          </w:tcPr>
          <w:p w14:paraId="336C46DB" w14:textId="77777777" w:rsidR="002A1C02" w:rsidRPr="008D7996" w:rsidRDefault="002A1C02" w:rsidP="001936CA">
            <w:pPr>
              <w:jc w:val="center"/>
              <w:rPr>
                <w:sz w:val="22"/>
                <w:szCs w:val="22"/>
              </w:rPr>
            </w:pPr>
            <w:r w:rsidRPr="008D799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804" w:type="dxa"/>
            <w:shd w:val="clear" w:color="auto" w:fill="D9D9D9"/>
          </w:tcPr>
          <w:p w14:paraId="5BE6FD00" w14:textId="77777777" w:rsidR="002A1C02" w:rsidRPr="008D7996" w:rsidRDefault="002A1C02" w:rsidP="001936CA">
            <w:pPr>
              <w:jc w:val="center"/>
              <w:rPr>
                <w:sz w:val="22"/>
                <w:szCs w:val="22"/>
              </w:rPr>
            </w:pPr>
            <w:r w:rsidRPr="008D7996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2A1C02" w:rsidRPr="008D7996" w14:paraId="22E452E6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4AE30766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29FADBF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L.1024</w:t>
            </w:r>
          </w:p>
        </w:tc>
        <w:tc>
          <w:tcPr>
            <w:tcW w:w="6804" w:type="dxa"/>
            <w:vAlign w:val="center"/>
          </w:tcPr>
          <w:p w14:paraId="42D93C1F" w14:textId="77777777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Effect for global ICT of the potential of selling services instead of equipment on the waste creation and environmental impacts</w:t>
            </w:r>
          </w:p>
        </w:tc>
      </w:tr>
      <w:tr w:rsidR="002A1C02" w:rsidRPr="008D7996" w14:paraId="7D08C18C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2C4CFFAC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0F93337" w14:textId="77777777" w:rsidR="002A1C02" w:rsidRPr="008D7996" w:rsidRDefault="002A1C02" w:rsidP="001936CA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L.1060</w:t>
            </w:r>
          </w:p>
        </w:tc>
        <w:tc>
          <w:tcPr>
            <w:tcW w:w="6804" w:type="dxa"/>
          </w:tcPr>
          <w:p w14:paraId="132E94A2" w14:textId="346940C6" w:rsidR="002A1C02" w:rsidRPr="008D7996" w:rsidRDefault="002A1C02" w:rsidP="001936CA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 xml:space="preserve">General principles for the green supply chain management of </w:t>
            </w:r>
            <w:r w:rsidR="00236A76" w:rsidRPr="008D7996">
              <w:rPr>
                <w:sz w:val="22"/>
                <w:szCs w:val="22"/>
              </w:rPr>
              <w:t>information and communication technology</w:t>
            </w:r>
            <w:r w:rsidR="00B62363" w:rsidRPr="008D7996">
              <w:rPr>
                <w:sz w:val="22"/>
                <w:szCs w:val="22"/>
              </w:rPr>
              <w:t xml:space="preserve"> </w:t>
            </w:r>
            <w:r w:rsidRPr="008D7996">
              <w:rPr>
                <w:sz w:val="22"/>
                <w:szCs w:val="22"/>
              </w:rPr>
              <w:t>manufacturing industry</w:t>
            </w:r>
          </w:p>
        </w:tc>
      </w:tr>
      <w:tr w:rsidR="002A1C02" w:rsidRPr="008D7996" w14:paraId="18D61409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3F608A0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0B5CA34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L.1471</w:t>
            </w:r>
          </w:p>
        </w:tc>
        <w:tc>
          <w:tcPr>
            <w:tcW w:w="6804" w:type="dxa"/>
          </w:tcPr>
          <w:p w14:paraId="791AEBD4" w14:textId="77777777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Guidance and criteria for ICT organisations on setting Net Zero targets and strategies</w:t>
            </w:r>
          </w:p>
        </w:tc>
      </w:tr>
      <w:tr w:rsidR="002A1C02" w:rsidRPr="008D7996" w14:paraId="5E5100EA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67CB6606" w14:textId="77777777" w:rsidR="002A1C02" w:rsidRPr="008D7996" w:rsidRDefault="002A1C02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115DC56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L.1383</w:t>
            </w:r>
          </w:p>
        </w:tc>
        <w:tc>
          <w:tcPr>
            <w:tcW w:w="6804" w:type="dxa"/>
          </w:tcPr>
          <w:p w14:paraId="3EB26ECA" w14:textId="77777777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Smart energy solutions for cities and home applications</w:t>
            </w:r>
          </w:p>
        </w:tc>
      </w:tr>
      <w:tr w:rsidR="00936E56" w:rsidRPr="008D7996" w14:paraId="06A71A67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2D3485B9" w14:textId="0E124B56" w:rsidR="00936E56" w:rsidRPr="008D7996" w:rsidRDefault="00936E56" w:rsidP="001936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2FADA61" w14:textId="6B93DA66" w:rsidR="00936E56" w:rsidRPr="008D7996" w:rsidRDefault="00936E56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L.1317</w:t>
            </w:r>
          </w:p>
        </w:tc>
        <w:tc>
          <w:tcPr>
            <w:tcW w:w="6804" w:type="dxa"/>
          </w:tcPr>
          <w:p w14:paraId="7C98A2B6" w14:textId="44E6CE50" w:rsidR="00936E56" w:rsidRPr="008D7996" w:rsidRDefault="00936E56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Guidelines on energy</w:t>
            </w:r>
            <w:r w:rsidR="00B62363" w:rsidRPr="008D7996">
              <w:rPr>
                <w:sz w:val="22"/>
                <w:szCs w:val="22"/>
              </w:rPr>
              <w:t>-</w:t>
            </w:r>
            <w:r w:rsidRPr="008D7996">
              <w:rPr>
                <w:sz w:val="22"/>
                <w:szCs w:val="22"/>
              </w:rPr>
              <w:t xml:space="preserve">efficient </w:t>
            </w:r>
            <w:proofErr w:type="spellStart"/>
            <w:r w:rsidRPr="008D7996">
              <w:rPr>
                <w:sz w:val="22"/>
                <w:szCs w:val="22"/>
              </w:rPr>
              <w:t>blockchain</w:t>
            </w:r>
            <w:proofErr w:type="spellEnd"/>
            <w:r w:rsidRPr="008D7996">
              <w:rPr>
                <w:sz w:val="22"/>
                <w:szCs w:val="22"/>
              </w:rPr>
              <w:t xml:space="preserve"> systems</w:t>
            </w:r>
          </w:p>
        </w:tc>
      </w:tr>
      <w:tr w:rsidR="008D7996" w:rsidRPr="008D7996" w14:paraId="76335C57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37514388" w14:textId="1FAC5627" w:rsidR="008D7996" w:rsidRPr="008D7996" w:rsidRDefault="008D7996" w:rsidP="008D799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398970A" w14:textId="71C56FE0" w:rsidR="008D7996" w:rsidRPr="008D7996" w:rsidRDefault="008D7996" w:rsidP="008D79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L.1033</w:t>
            </w:r>
          </w:p>
        </w:tc>
        <w:tc>
          <w:tcPr>
            <w:tcW w:w="6804" w:type="dxa"/>
          </w:tcPr>
          <w:p w14:paraId="4FE74448" w14:textId="59148891" w:rsidR="008D7996" w:rsidRPr="008D7996" w:rsidRDefault="008D7996" w:rsidP="008D7996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Guidance for institutions of higher learning to contribute in the effective life cycle management of e-equipment and e-waste</w:t>
            </w:r>
          </w:p>
        </w:tc>
      </w:tr>
    </w:tbl>
    <w:p w14:paraId="649D0BE3" w14:textId="77777777" w:rsidR="002A1C02" w:rsidRPr="00055F0A" w:rsidRDefault="002A1C02" w:rsidP="002A1C02">
      <w:pPr>
        <w:spacing w:before="240" w:after="120"/>
        <w:rPr>
          <w:b/>
          <w:lang w:eastAsia="zh-CN"/>
        </w:rPr>
      </w:pPr>
      <w:r w:rsidRPr="00055F0A">
        <w:rPr>
          <w:b/>
          <w:lang w:eastAsia="zh-CN"/>
        </w:rPr>
        <w:t>1.2.2</w:t>
      </w:r>
      <w:r w:rsidRPr="00055F0A">
        <w:rPr>
          <w:b/>
          <w:lang w:eastAsia="zh-CN"/>
        </w:rPr>
        <w:tab/>
        <w:t>Informative texts agreed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1966"/>
        <w:gridCol w:w="6704"/>
      </w:tblGrid>
      <w:tr w:rsidR="002A1C02" w:rsidRPr="008D7996" w14:paraId="71A61A53" w14:textId="77777777" w:rsidTr="001936CA">
        <w:trPr>
          <w:tblHeader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DFF78" w14:textId="77777777" w:rsidR="002A1C02" w:rsidRPr="008D7996" w:rsidRDefault="002A1C02" w:rsidP="001936CA">
            <w:pPr>
              <w:spacing w:before="40" w:after="40"/>
              <w:jc w:val="center"/>
              <w:rPr>
                <w:b/>
                <w:sz w:val="22"/>
                <w:szCs w:val="22"/>
                <w:lang w:eastAsia="ko-KR"/>
              </w:rPr>
            </w:pPr>
            <w:r w:rsidRPr="008D7996">
              <w:rPr>
                <w:b/>
                <w:sz w:val="22"/>
                <w:szCs w:val="22"/>
                <w:lang w:eastAsia="ko-KR"/>
              </w:rPr>
              <w:t>SG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E900A" w14:textId="77777777" w:rsidR="002A1C02" w:rsidRPr="008D7996" w:rsidRDefault="002A1C02" w:rsidP="001936C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D799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88368" w14:textId="77777777" w:rsidR="002A1C02" w:rsidRPr="008D7996" w:rsidRDefault="002A1C02" w:rsidP="001936C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D7996">
              <w:rPr>
                <w:b/>
                <w:bCs/>
                <w:iCs/>
                <w:sz w:val="22"/>
                <w:szCs w:val="22"/>
              </w:rPr>
              <w:t>Title</w:t>
            </w:r>
          </w:p>
        </w:tc>
      </w:tr>
      <w:tr w:rsidR="002A1C02" w:rsidRPr="008D7996" w14:paraId="7E6D5B70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16D" w14:textId="77777777" w:rsidR="002A1C02" w:rsidRPr="008D7996" w:rsidRDefault="002A1C02" w:rsidP="001936CA">
            <w:pPr>
              <w:spacing w:before="40" w:after="40"/>
              <w:jc w:val="center"/>
              <w:rPr>
                <w:sz w:val="22"/>
                <w:szCs w:val="22"/>
                <w:lang w:eastAsia="zh-CN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EC08" w14:textId="77777777" w:rsidR="002A1C02" w:rsidRPr="008D7996" w:rsidRDefault="002A1C02" w:rsidP="001936C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7996">
              <w:rPr>
                <w:sz w:val="22"/>
                <w:szCs w:val="22"/>
              </w:rPr>
              <w:t>L.Suppl.41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9E8" w14:textId="515E6D16" w:rsidR="002A1C02" w:rsidRPr="008D7996" w:rsidRDefault="002A1C02" w:rsidP="001936CA">
            <w:pPr>
              <w:spacing w:line="240" w:lineRule="atLeast"/>
              <w:rPr>
                <w:rFonts w:eastAsia="MS Mincho"/>
                <w:color w:val="000000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 xml:space="preserve">Requirements on energy efficiency measurement models and the role of AI and </w:t>
            </w:r>
            <w:r w:rsidR="00B62363" w:rsidRPr="008D7996">
              <w:rPr>
                <w:sz w:val="22"/>
                <w:szCs w:val="22"/>
              </w:rPr>
              <w:t>B</w:t>
            </w:r>
            <w:r w:rsidRPr="008D7996">
              <w:rPr>
                <w:sz w:val="22"/>
                <w:szCs w:val="22"/>
              </w:rPr>
              <w:t xml:space="preserve">ig </w:t>
            </w:r>
            <w:r w:rsidR="00B62363" w:rsidRPr="008D7996">
              <w:rPr>
                <w:sz w:val="22"/>
                <w:szCs w:val="22"/>
              </w:rPr>
              <w:t>D</w:t>
            </w:r>
            <w:r w:rsidRPr="008D7996">
              <w:rPr>
                <w:sz w:val="22"/>
                <w:szCs w:val="22"/>
              </w:rPr>
              <w:t>ata</w:t>
            </w:r>
          </w:p>
        </w:tc>
      </w:tr>
      <w:tr w:rsidR="002A1C02" w:rsidRPr="008D7996" w14:paraId="6A63BF2F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6CD" w14:textId="77777777" w:rsidR="002A1C02" w:rsidRPr="008D7996" w:rsidRDefault="002A1C02" w:rsidP="001936CA">
            <w:pPr>
              <w:spacing w:before="40" w:after="4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DEA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L.Suppl.42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2E0" w14:textId="77777777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Guidelines on the Environmental Efficiency of Machine Learning Processes in Supply Chain Management</w:t>
            </w:r>
          </w:p>
        </w:tc>
      </w:tr>
      <w:tr w:rsidR="002A1C02" w:rsidRPr="008D7996" w14:paraId="74472B1D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6AD" w14:textId="77777777" w:rsidR="002A1C02" w:rsidRPr="008D7996" w:rsidRDefault="002A1C02" w:rsidP="001936CA">
            <w:pPr>
              <w:spacing w:before="40" w:after="4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435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L.Suppl.43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20F" w14:textId="77777777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Smart energy saving of 5G base station: Based on AI and other emerging technologies to forecast and optimize the management of 5G wireless network energy consumption</w:t>
            </w:r>
          </w:p>
        </w:tc>
      </w:tr>
      <w:tr w:rsidR="002A1C02" w:rsidRPr="008D7996" w14:paraId="52BC158C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680" w14:textId="77777777" w:rsidR="002A1C02" w:rsidRPr="008D7996" w:rsidRDefault="002A1C02" w:rsidP="001936CA">
            <w:pPr>
              <w:spacing w:before="40" w:after="4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D26" w14:textId="77777777" w:rsidR="002A1C02" w:rsidRPr="008D7996" w:rsidRDefault="002A1C02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L.Suppl.44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64A" w14:textId="410DEF98" w:rsidR="002A1C02" w:rsidRPr="008D7996" w:rsidRDefault="002A1C02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Guideline</w:t>
            </w:r>
            <w:r w:rsidR="00B62363" w:rsidRPr="008D7996">
              <w:rPr>
                <w:sz w:val="22"/>
                <w:szCs w:val="22"/>
              </w:rPr>
              <w:t>s</w:t>
            </w:r>
            <w:r w:rsidRPr="008D7996">
              <w:rPr>
                <w:sz w:val="22"/>
                <w:szCs w:val="22"/>
              </w:rPr>
              <w:t xml:space="preserve"> on best practices and environment</w:t>
            </w:r>
            <w:r w:rsidR="00B62363" w:rsidRPr="008D7996">
              <w:rPr>
                <w:sz w:val="22"/>
                <w:szCs w:val="22"/>
              </w:rPr>
              <w:t>-</w:t>
            </w:r>
            <w:r w:rsidRPr="008D7996">
              <w:rPr>
                <w:sz w:val="22"/>
                <w:szCs w:val="22"/>
              </w:rPr>
              <w:t>friendly policies for effective ICT deployment methods</w:t>
            </w:r>
          </w:p>
        </w:tc>
      </w:tr>
      <w:tr w:rsidR="00236A76" w:rsidRPr="008D7996" w14:paraId="7B293FAC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A2E" w14:textId="53109EA7" w:rsidR="00236A76" w:rsidRPr="008D7996" w:rsidRDefault="00236A76" w:rsidP="001936CA">
            <w:pPr>
              <w:spacing w:before="40" w:after="4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AD0" w14:textId="00AF0DA9" w:rsidR="00236A76" w:rsidRPr="008D7996" w:rsidRDefault="008D7996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L.Suppl.45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12E" w14:textId="6B990500" w:rsidR="00236A76" w:rsidRPr="008D7996" w:rsidDel="00B62363" w:rsidRDefault="008D7996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Radio base station site best practices</w:t>
            </w:r>
          </w:p>
        </w:tc>
      </w:tr>
      <w:tr w:rsidR="00236A76" w:rsidRPr="008D7996" w14:paraId="46D2D63C" w14:textId="77777777" w:rsidTr="001936CA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D68" w14:textId="512833B1" w:rsidR="00236A76" w:rsidRPr="008D7996" w:rsidRDefault="00236A76" w:rsidP="001936CA">
            <w:pPr>
              <w:spacing w:before="40" w:after="4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8D7996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465" w14:textId="626E149D" w:rsidR="00236A76" w:rsidRPr="008D7996" w:rsidRDefault="008D7996" w:rsidP="001936C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L.Suppl.46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05B" w14:textId="61C4AEB6" w:rsidR="00236A76" w:rsidRPr="008D7996" w:rsidDel="00B62363" w:rsidRDefault="008D7996" w:rsidP="001936CA">
            <w:pPr>
              <w:spacing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Definitions and Recent Trends in Circular Cities</w:t>
            </w:r>
          </w:p>
        </w:tc>
      </w:tr>
    </w:tbl>
    <w:p w14:paraId="759F3DA6" w14:textId="25D60A21" w:rsidR="002A1C02" w:rsidRPr="00055F0A" w:rsidRDefault="002A1C02" w:rsidP="002A1C02">
      <w:pPr>
        <w:spacing w:before="240" w:after="120"/>
        <w:rPr>
          <w:b/>
          <w:lang w:eastAsia="zh-CN"/>
        </w:rPr>
      </w:pPr>
      <w:r w:rsidRPr="00055F0A">
        <w:rPr>
          <w:b/>
          <w:lang w:eastAsia="zh-CN"/>
        </w:rPr>
        <w:t>1.2.</w:t>
      </w:r>
      <w:r w:rsidR="00936E56">
        <w:rPr>
          <w:b/>
          <w:lang w:eastAsia="zh-CN"/>
        </w:rPr>
        <w:t>3</w:t>
      </w:r>
      <w:r w:rsidRPr="00055F0A">
        <w:rPr>
          <w:b/>
          <w:lang w:eastAsia="zh-CN"/>
        </w:rPr>
        <w:tab/>
        <w:t>Recommendations consented (in AAP Last Call)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</w:tblGrid>
      <w:tr w:rsidR="002A1C02" w:rsidRPr="008D7996" w14:paraId="659E9784" w14:textId="77777777" w:rsidTr="001936CA">
        <w:trPr>
          <w:cantSplit/>
          <w:tblHeader/>
        </w:trPr>
        <w:tc>
          <w:tcPr>
            <w:tcW w:w="851" w:type="dxa"/>
            <w:shd w:val="clear" w:color="auto" w:fill="D9D9D9"/>
          </w:tcPr>
          <w:p w14:paraId="790D048F" w14:textId="77777777" w:rsidR="002A1C02" w:rsidRPr="008D7996" w:rsidRDefault="002A1C02" w:rsidP="001936CA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996">
              <w:rPr>
                <w:b/>
                <w:bCs/>
                <w:color w:val="000000"/>
                <w:sz w:val="22"/>
                <w:szCs w:val="22"/>
              </w:rPr>
              <w:t>SG</w:t>
            </w:r>
          </w:p>
        </w:tc>
        <w:tc>
          <w:tcPr>
            <w:tcW w:w="2268" w:type="dxa"/>
            <w:shd w:val="clear" w:color="auto" w:fill="D9D9D9"/>
          </w:tcPr>
          <w:p w14:paraId="0374DA83" w14:textId="77777777" w:rsidR="002A1C02" w:rsidRPr="008D7996" w:rsidRDefault="002A1C02" w:rsidP="001936C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8D799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520" w:type="dxa"/>
            <w:shd w:val="clear" w:color="auto" w:fill="D9D9D9"/>
          </w:tcPr>
          <w:p w14:paraId="34EF911B" w14:textId="77777777" w:rsidR="002A1C02" w:rsidRPr="008D7996" w:rsidRDefault="002A1C02" w:rsidP="001936CA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8D7996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2A1C02" w:rsidRPr="008D7996" w14:paraId="67CD67AE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19A69D9B" w14:textId="77777777" w:rsidR="002A1C02" w:rsidRPr="008D7996" w:rsidRDefault="002A1C02" w:rsidP="001936CA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F9047F" w14:textId="77777777" w:rsidR="002A1C02" w:rsidRPr="008D7996" w:rsidRDefault="002A1C02" w:rsidP="00A77B38">
            <w:pPr>
              <w:spacing w:line="24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L.1050</w:t>
            </w:r>
          </w:p>
        </w:tc>
        <w:tc>
          <w:tcPr>
            <w:tcW w:w="6520" w:type="dxa"/>
            <w:shd w:val="clear" w:color="auto" w:fill="FFFFFF"/>
          </w:tcPr>
          <w:p w14:paraId="172E5707" w14:textId="44605AB8" w:rsidR="002A1C02" w:rsidRPr="008D7996" w:rsidRDefault="002A1C02" w:rsidP="001936CA">
            <w:pPr>
              <w:spacing w:before="40" w:after="40" w:line="240" w:lineRule="atLeast"/>
              <w:rPr>
                <w:rFonts w:eastAsia="Times New Roman"/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Methodology to identify the key equipment</w:t>
            </w:r>
            <w:r w:rsidR="00B62363" w:rsidRPr="008D7996">
              <w:rPr>
                <w:sz w:val="22"/>
                <w:szCs w:val="22"/>
              </w:rPr>
              <w:t>,</w:t>
            </w:r>
            <w:r w:rsidRPr="008D7996">
              <w:rPr>
                <w:sz w:val="22"/>
                <w:szCs w:val="22"/>
              </w:rPr>
              <w:t xml:space="preserve"> in order to assess the environmental impact and e-waste generation of different network architectures</w:t>
            </w:r>
          </w:p>
        </w:tc>
      </w:tr>
      <w:tr w:rsidR="008D7996" w:rsidRPr="008D7996" w14:paraId="6C39E720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755B3CBC" w14:textId="272C6078" w:rsidR="008D7996" w:rsidRPr="008D7996" w:rsidRDefault="008D7996" w:rsidP="001936CA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35DFFF" w14:textId="2B8EDA75" w:rsidR="008D7996" w:rsidRPr="008D7996" w:rsidRDefault="008D7996" w:rsidP="00A77B3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L.1035</w:t>
            </w:r>
          </w:p>
        </w:tc>
        <w:tc>
          <w:tcPr>
            <w:tcW w:w="6520" w:type="dxa"/>
            <w:shd w:val="clear" w:color="auto" w:fill="FFFFFF"/>
          </w:tcPr>
          <w:p w14:paraId="55DF2276" w14:textId="0ED8E696" w:rsidR="008D7996" w:rsidRPr="008D7996" w:rsidRDefault="008D7996" w:rsidP="001936CA">
            <w:pPr>
              <w:spacing w:before="40" w:after="40"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Sustainable Management of Batteries</w:t>
            </w:r>
          </w:p>
        </w:tc>
      </w:tr>
      <w:tr w:rsidR="008D7996" w:rsidRPr="008D7996" w14:paraId="62330B8E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3955514D" w14:textId="2FE1B47E" w:rsidR="008D7996" w:rsidRPr="008D7996" w:rsidRDefault="008D7996" w:rsidP="001936CA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1CC906" w14:textId="4F1C0DBA" w:rsidR="008D7996" w:rsidRPr="008D7996" w:rsidRDefault="008D7996" w:rsidP="00A77B3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L.1016</w:t>
            </w:r>
          </w:p>
        </w:tc>
        <w:tc>
          <w:tcPr>
            <w:tcW w:w="6520" w:type="dxa"/>
            <w:shd w:val="clear" w:color="auto" w:fill="FFFFFF"/>
          </w:tcPr>
          <w:p w14:paraId="00589AB0" w14:textId="334CE3E0" w:rsidR="008D7996" w:rsidRPr="008D7996" w:rsidRDefault="008D7996" w:rsidP="001936CA">
            <w:pPr>
              <w:spacing w:before="40" w:after="40"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Method for Evaluation of the Environmental, Health and Safety Performance of True Wireless Stereo Headphones</w:t>
            </w:r>
          </w:p>
        </w:tc>
      </w:tr>
      <w:tr w:rsidR="008D7996" w:rsidRPr="008D7996" w14:paraId="2237BAE0" w14:textId="77777777" w:rsidTr="001936CA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56B89C77" w14:textId="0BA01F55" w:rsidR="008D7996" w:rsidRPr="008D7996" w:rsidRDefault="008D7996" w:rsidP="001936CA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8D799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576830" w14:textId="677E2620" w:rsidR="008D7996" w:rsidRPr="008D7996" w:rsidRDefault="008D7996" w:rsidP="00A77B3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L.1036</w:t>
            </w:r>
          </w:p>
        </w:tc>
        <w:tc>
          <w:tcPr>
            <w:tcW w:w="6520" w:type="dxa"/>
            <w:shd w:val="clear" w:color="auto" w:fill="FFFFFF"/>
          </w:tcPr>
          <w:p w14:paraId="4B449C94" w14:textId="0BF4379D" w:rsidR="008D7996" w:rsidRPr="008D7996" w:rsidRDefault="008D7996" w:rsidP="001936CA">
            <w:pPr>
              <w:spacing w:before="40" w:after="40" w:line="240" w:lineRule="atLeast"/>
              <w:rPr>
                <w:sz w:val="22"/>
                <w:szCs w:val="22"/>
              </w:rPr>
            </w:pPr>
            <w:r w:rsidRPr="008D7996">
              <w:rPr>
                <w:sz w:val="22"/>
                <w:szCs w:val="22"/>
              </w:rPr>
              <w:t>Scheduled waste management for base station (inclusive of e-waste)</w:t>
            </w:r>
          </w:p>
        </w:tc>
      </w:tr>
    </w:tbl>
    <w:p w14:paraId="58589E1E" w14:textId="59A90323" w:rsidR="0089088E" w:rsidRPr="00136DDD" w:rsidRDefault="004670D7" w:rsidP="00E331EB">
      <w:pPr>
        <w:jc w:val="center"/>
      </w:pPr>
      <w:r w:rsidRPr="00037B15">
        <w:t>____________</w:t>
      </w:r>
    </w:p>
    <w:sectPr w:rsidR="0089088E" w:rsidRPr="00136DDD" w:rsidSect="002D1DE2">
      <w:headerReference w:type="default" r:id="rId2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870D" w14:textId="77777777" w:rsidR="00B135AE" w:rsidRDefault="00B135AE" w:rsidP="00C42125">
      <w:pPr>
        <w:spacing w:before="0"/>
      </w:pPr>
      <w:r>
        <w:separator/>
      </w:r>
    </w:p>
  </w:endnote>
  <w:endnote w:type="continuationSeparator" w:id="0">
    <w:p w14:paraId="2A57028A" w14:textId="77777777" w:rsidR="00B135AE" w:rsidRDefault="00B135A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E22A" w14:textId="77777777" w:rsidR="00B135AE" w:rsidRDefault="00B135AE" w:rsidP="00C42125">
      <w:pPr>
        <w:spacing w:before="0"/>
      </w:pPr>
      <w:r>
        <w:separator/>
      </w:r>
    </w:p>
  </w:footnote>
  <w:footnote w:type="continuationSeparator" w:id="0">
    <w:p w14:paraId="4F12C050" w14:textId="77777777" w:rsidR="00B135AE" w:rsidRDefault="00B135A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994E" w14:textId="2B86BC27" w:rsidR="00AC5E11" w:rsidRPr="00A77B38" w:rsidRDefault="00A77B38" w:rsidP="00A77B38">
    <w:pPr>
      <w:pStyle w:val="Header"/>
      <w:rPr>
        <w:sz w:val="18"/>
      </w:rPr>
    </w:pPr>
    <w:r w:rsidRPr="00A77B38">
      <w:rPr>
        <w:sz w:val="18"/>
      </w:rPr>
      <w:t xml:space="preserve">- </w:t>
    </w:r>
    <w:r w:rsidRPr="00A77B38">
      <w:rPr>
        <w:sz w:val="18"/>
      </w:rPr>
      <w:fldChar w:fldCharType="begin"/>
    </w:r>
    <w:r w:rsidRPr="00A77B38">
      <w:rPr>
        <w:sz w:val="18"/>
      </w:rPr>
      <w:instrText xml:space="preserve"> PAGE  \* MERGEFORMAT </w:instrText>
    </w:r>
    <w:r w:rsidRPr="00A77B38">
      <w:rPr>
        <w:sz w:val="18"/>
      </w:rPr>
      <w:fldChar w:fldCharType="separate"/>
    </w:r>
    <w:r w:rsidR="00AF6C7B">
      <w:rPr>
        <w:noProof/>
        <w:sz w:val="18"/>
      </w:rPr>
      <w:t>2</w:t>
    </w:r>
    <w:r w:rsidRPr="00A77B38">
      <w:rPr>
        <w:sz w:val="18"/>
      </w:rPr>
      <w:fldChar w:fldCharType="end"/>
    </w:r>
    <w:r w:rsidRPr="00A77B38">
      <w:rPr>
        <w:sz w:val="18"/>
      </w:rPr>
      <w:t xml:space="preserve"> -</w:t>
    </w:r>
  </w:p>
  <w:p w14:paraId="29205846" w14:textId="1C6437BE" w:rsidR="00A77B38" w:rsidRPr="00A77B38" w:rsidRDefault="00A77B38" w:rsidP="00A77B38">
    <w:pPr>
      <w:pStyle w:val="Header"/>
      <w:spacing w:after="240"/>
      <w:rPr>
        <w:sz w:val="18"/>
      </w:rPr>
    </w:pPr>
    <w:r w:rsidRPr="00A77B38">
      <w:rPr>
        <w:sz w:val="18"/>
      </w:rPr>
      <w:fldChar w:fldCharType="begin"/>
    </w:r>
    <w:r w:rsidRPr="00A77B38">
      <w:rPr>
        <w:sz w:val="18"/>
      </w:rPr>
      <w:instrText xml:space="preserve"> STYLEREF  Docnumber  </w:instrText>
    </w:r>
    <w:r w:rsidRPr="00A77B38">
      <w:rPr>
        <w:sz w:val="18"/>
      </w:rPr>
      <w:fldChar w:fldCharType="separate"/>
    </w:r>
    <w:r w:rsidR="00AF6C7B">
      <w:rPr>
        <w:noProof/>
        <w:sz w:val="18"/>
      </w:rPr>
      <w:t>TSAG-TD1260</w:t>
    </w:r>
    <w:r w:rsidRPr="00A77B3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B86905"/>
    <w:multiLevelType w:val="multilevel"/>
    <w:tmpl w:val="47D4EA2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81A7E"/>
    <w:multiLevelType w:val="hybridMultilevel"/>
    <w:tmpl w:val="48208152"/>
    <w:lvl w:ilvl="0" w:tplc="EB722E7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46F7"/>
    <w:rsid w:val="00014F69"/>
    <w:rsid w:val="000171DB"/>
    <w:rsid w:val="000236F7"/>
    <w:rsid w:val="00023D9A"/>
    <w:rsid w:val="0003582E"/>
    <w:rsid w:val="00037B15"/>
    <w:rsid w:val="00043D75"/>
    <w:rsid w:val="000477B1"/>
    <w:rsid w:val="00052524"/>
    <w:rsid w:val="00057000"/>
    <w:rsid w:val="000640E0"/>
    <w:rsid w:val="00084B81"/>
    <w:rsid w:val="000966A8"/>
    <w:rsid w:val="000A5CA2"/>
    <w:rsid w:val="000C397B"/>
    <w:rsid w:val="000E6125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93C0F"/>
    <w:rsid w:val="001A20C3"/>
    <w:rsid w:val="001A5F02"/>
    <w:rsid w:val="001A670F"/>
    <w:rsid w:val="001B6A45"/>
    <w:rsid w:val="001C62B8"/>
    <w:rsid w:val="001D22D8"/>
    <w:rsid w:val="001D4296"/>
    <w:rsid w:val="001E4E23"/>
    <w:rsid w:val="001E7B0E"/>
    <w:rsid w:val="001F141D"/>
    <w:rsid w:val="00200A06"/>
    <w:rsid w:val="00200A98"/>
    <w:rsid w:val="00201AFA"/>
    <w:rsid w:val="002229F1"/>
    <w:rsid w:val="00233F75"/>
    <w:rsid w:val="00236A76"/>
    <w:rsid w:val="00253DBE"/>
    <w:rsid w:val="00253DC6"/>
    <w:rsid w:val="0025489C"/>
    <w:rsid w:val="002622FA"/>
    <w:rsid w:val="00263518"/>
    <w:rsid w:val="002759E7"/>
    <w:rsid w:val="00277326"/>
    <w:rsid w:val="002A11C4"/>
    <w:rsid w:val="002A1C02"/>
    <w:rsid w:val="002A399B"/>
    <w:rsid w:val="002B5B1B"/>
    <w:rsid w:val="002C26C0"/>
    <w:rsid w:val="002C2BC5"/>
    <w:rsid w:val="002D1DE2"/>
    <w:rsid w:val="002E0407"/>
    <w:rsid w:val="002E3C52"/>
    <w:rsid w:val="002E79CB"/>
    <w:rsid w:val="002F7F55"/>
    <w:rsid w:val="0030745F"/>
    <w:rsid w:val="00314630"/>
    <w:rsid w:val="0032090A"/>
    <w:rsid w:val="00321CDE"/>
    <w:rsid w:val="003309C5"/>
    <w:rsid w:val="00333E15"/>
    <w:rsid w:val="003449F4"/>
    <w:rsid w:val="00347860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A6A88"/>
    <w:rsid w:val="003C7445"/>
    <w:rsid w:val="003D407B"/>
    <w:rsid w:val="003E269F"/>
    <w:rsid w:val="003E39A2"/>
    <w:rsid w:val="003E57AB"/>
    <w:rsid w:val="003F2BED"/>
    <w:rsid w:val="00400B49"/>
    <w:rsid w:val="00431D46"/>
    <w:rsid w:val="00443878"/>
    <w:rsid w:val="004539A8"/>
    <w:rsid w:val="00461614"/>
    <w:rsid w:val="004670D7"/>
    <w:rsid w:val="004712CA"/>
    <w:rsid w:val="0047422E"/>
    <w:rsid w:val="0049674B"/>
    <w:rsid w:val="004C0673"/>
    <w:rsid w:val="004C4E4E"/>
    <w:rsid w:val="004F104E"/>
    <w:rsid w:val="004F3816"/>
    <w:rsid w:val="0050586A"/>
    <w:rsid w:val="00520DBF"/>
    <w:rsid w:val="00543D41"/>
    <w:rsid w:val="00566EDA"/>
    <w:rsid w:val="0057081A"/>
    <w:rsid w:val="00572654"/>
    <w:rsid w:val="005976A1"/>
    <w:rsid w:val="005B5629"/>
    <w:rsid w:val="005C0300"/>
    <w:rsid w:val="005C244E"/>
    <w:rsid w:val="005C27A2"/>
    <w:rsid w:val="005D41D1"/>
    <w:rsid w:val="005D4FEB"/>
    <w:rsid w:val="005E0C62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2795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1F85"/>
    <w:rsid w:val="006C5641"/>
    <w:rsid w:val="006D1089"/>
    <w:rsid w:val="006D1B86"/>
    <w:rsid w:val="006D7355"/>
    <w:rsid w:val="006E0510"/>
    <w:rsid w:val="006F7DEE"/>
    <w:rsid w:val="00704629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211"/>
    <w:rsid w:val="00816C5C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D7996"/>
    <w:rsid w:val="008E0172"/>
    <w:rsid w:val="008E249E"/>
    <w:rsid w:val="008F480F"/>
    <w:rsid w:val="00926E2F"/>
    <w:rsid w:val="00936852"/>
    <w:rsid w:val="00936E56"/>
    <w:rsid w:val="0094045D"/>
    <w:rsid w:val="009406B5"/>
    <w:rsid w:val="00946166"/>
    <w:rsid w:val="009812C7"/>
    <w:rsid w:val="00983164"/>
    <w:rsid w:val="009972EF"/>
    <w:rsid w:val="009B5035"/>
    <w:rsid w:val="009C3160"/>
    <w:rsid w:val="009E766E"/>
    <w:rsid w:val="009F1960"/>
    <w:rsid w:val="009F2237"/>
    <w:rsid w:val="009F715E"/>
    <w:rsid w:val="00A10DBB"/>
    <w:rsid w:val="00A11720"/>
    <w:rsid w:val="00A21247"/>
    <w:rsid w:val="00A31D47"/>
    <w:rsid w:val="00A4013E"/>
    <w:rsid w:val="00A4045F"/>
    <w:rsid w:val="00A427CD"/>
    <w:rsid w:val="00A45E8A"/>
    <w:rsid w:val="00A45FEE"/>
    <w:rsid w:val="00A4600B"/>
    <w:rsid w:val="00A50506"/>
    <w:rsid w:val="00A51EF0"/>
    <w:rsid w:val="00A56FF6"/>
    <w:rsid w:val="00A67A81"/>
    <w:rsid w:val="00A730A6"/>
    <w:rsid w:val="00A77B38"/>
    <w:rsid w:val="00A971A0"/>
    <w:rsid w:val="00AA1F22"/>
    <w:rsid w:val="00AC5E11"/>
    <w:rsid w:val="00AE4FD0"/>
    <w:rsid w:val="00AF6C7B"/>
    <w:rsid w:val="00B05821"/>
    <w:rsid w:val="00B100D6"/>
    <w:rsid w:val="00B135AE"/>
    <w:rsid w:val="00B164C9"/>
    <w:rsid w:val="00B26C28"/>
    <w:rsid w:val="00B4174C"/>
    <w:rsid w:val="00B453F5"/>
    <w:rsid w:val="00B61624"/>
    <w:rsid w:val="00B62363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57E9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1D00"/>
    <w:rsid w:val="00D647EF"/>
    <w:rsid w:val="00D652B9"/>
    <w:rsid w:val="00D73137"/>
    <w:rsid w:val="00D977A2"/>
    <w:rsid w:val="00DA1D47"/>
    <w:rsid w:val="00DD50DE"/>
    <w:rsid w:val="00DE3062"/>
    <w:rsid w:val="00E0581D"/>
    <w:rsid w:val="00E204DD"/>
    <w:rsid w:val="00E331EB"/>
    <w:rsid w:val="00E353EC"/>
    <w:rsid w:val="00E51F61"/>
    <w:rsid w:val="00E53C24"/>
    <w:rsid w:val="00E56E77"/>
    <w:rsid w:val="00EB444D"/>
    <w:rsid w:val="00EE5C0D"/>
    <w:rsid w:val="00EF4792"/>
    <w:rsid w:val="00EF55A9"/>
    <w:rsid w:val="00F02294"/>
    <w:rsid w:val="00F30DE7"/>
    <w:rsid w:val="00F35F57"/>
    <w:rsid w:val="00F50467"/>
    <w:rsid w:val="00F562A0"/>
    <w:rsid w:val="00F57FA4"/>
    <w:rsid w:val="00FA02CB"/>
    <w:rsid w:val="00FA2177"/>
    <w:rsid w:val="00FA3560"/>
    <w:rsid w:val="00FB0783"/>
    <w:rsid w:val="00FB7A8B"/>
    <w:rsid w:val="00FC0A32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CDB2D29"/>
  <w15:docId w15:val="{B8653066-A543-4984-B4BD-B83527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0C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E56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E56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D652B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mailto:fryderyk.lewicki@orange.co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handle.itu.int/11.1002/ls/sp16-tsag-oLS-00045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qishuguang@caict.ac.c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sg5-oLS-00230.docx" TargetMode="External"/><Relationship Id="rId20" Type="http://schemas.openxmlformats.org/officeDocument/2006/relationships/hyperlink" Target="http://handle.itu.int/11.1002/ls/sp16-tsag-oLS-00045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5-oLS-00230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ifa/t/2017/ls/tsag/sp16-tsag-oLS-00045.docx" TargetMode="External"/><Relationship Id="rId23" Type="http://schemas.openxmlformats.org/officeDocument/2006/relationships/hyperlink" Target="https://www.itu.int/itu-t/workprog/wp_search.aspx?sg=05" TargetMode="External"/><Relationship Id="rId10" Type="http://schemas.openxmlformats.org/officeDocument/2006/relationships/image" Target="media/image1.gif"/><Relationship Id="rId19" Type="http://schemas.openxmlformats.org/officeDocument/2006/relationships/hyperlink" Target="mailto:paolo.gemma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https://www.itu.int/ITU-T/recommendations/index_sg.aspx?sg=5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37F0A"/>
    <w:rsid w:val="00050609"/>
    <w:rsid w:val="00061607"/>
    <w:rsid w:val="000C45CF"/>
    <w:rsid w:val="000E25BB"/>
    <w:rsid w:val="001A1C4C"/>
    <w:rsid w:val="00256D54"/>
    <w:rsid w:val="002612DE"/>
    <w:rsid w:val="002A0AE4"/>
    <w:rsid w:val="00300983"/>
    <w:rsid w:val="00325284"/>
    <w:rsid w:val="00325869"/>
    <w:rsid w:val="00394E34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0238E"/>
    <w:rsid w:val="00726DDE"/>
    <w:rsid w:val="00731377"/>
    <w:rsid w:val="00747A76"/>
    <w:rsid w:val="00841C9F"/>
    <w:rsid w:val="00850A29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38E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 xsi:nil="true"/>
    <Abstract xmlns="3f6fad35-1f81-480e-a4e5-6e5474dcfb96">This liaison statement provides a response to TSAG on the work of ITU-T SG5 related to Resolution 73 (Rev. Hammamet, 2016) - Information and communication technologies, environment and climate change.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f6fad35-1f81-480e-a4e5-6e5474dcfb96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.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requesting all ITU-T study groups to provide an update on Recommendations related to WTSA-16 Resolution 73 (Rev. Hammamet, 2016) (reply to TSAG-LS45) [to TSAG] (reply to TD1977)</vt:lpstr>
    </vt:vector>
  </TitlesOfParts>
  <Manager>ITU-T</Manager>
  <Company>International Telecommunication Union (ITU)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requesting all ITU-T study groups to provide an update on Recommendations related to WTSA-16 Resolution 73 (Rev. Hammamet, 2016) (reply to TSAG-LS45) [to TSAG] (reply to TD1977)</dc:title>
  <dc:creator>ITU-T Study Group 5</dc:creator>
  <cp:keywords>ITU-T SG5, Resolution 73, ICT, environment, climate change</cp:keywords>
  <dc:description>SG5-LS230  For: _x000d_Document date: _x000d_Saved by ITU51014277 at 17:14:11 on 15.12.21</dc:description>
  <cp:lastModifiedBy>Al-Mnini, Lara</cp:lastModifiedBy>
  <cp:revision>3</cp:revision>
  <cp:lastPrinted>2016-12-23T12:52:00Z</cp:lastPrinted>
  <dcterms:created xsi:type="dcterms:W3CDTF">2021-12-20T12:07:00Z</dcterms:created>
  <dcterms:modified xsi:type="dcterms:W3CDTF">2021-12-20T12:21:00Z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SG5-LS230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/>
  </property>
  <property fmtid="{D5CDD505-2E9C-101B-9397-08002B2CF9AE}" pid="7" name="Docauthor">
    <vt:lpwstr>ITU-T Study Group 5</vt:lpwstr>
  </property>
</Properties>
</file>