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712"/>
        <w:gridCol w:w="3969"/>
      </w:tblGrid>
      <w:tr w:rsidR="00473213" w:rsidRPr="00473213" w14:paraId="1F723F27" w14:textId="77777777" w:rsidTr="003F6975">
        <w:trPr>
          <w:cantSplit/>
        </w:trPr>
        <w:tc>
          <w:tcPr>
            <w:tcW w:w="1191" w:type="dxa"/>
            <w:vMerge w:val="restart"/>
          </w:tcPr>
          <w:p w14:paraId="4AA2AF07" w14:textId="77777777" w:rsidR="00473213" w:rsidRPr="00473213" w:rsidRDefault="00473213" w:rsidP="00473213">
            <w:pPr>
              <w:rPr>
                <w:sz w:val="20"/>
                <w:szCs w:val="20"/>
              </w:rPr>
            </w:pPr>
            <w:bookmarkStart w:id="0" w:name="dnum" w:colFirst="2" w:colLast="2"/>
            <w:bookmarkStart w:id="1" w:name="dtableau"/>
            <w:r w:rsidRPr="00473213">
              <w:rPr>
                <w:noProof/>
                <w:sz w:val="20"/>
                <w:szCs w:val="20"/>
                <w:lang w:val="en-US" w:eastAsia="en-US"/>
              </w:rPr>
              <w:drawing>
                <wp:inline distT="0" distB="0" distL="0" distR="0" wp14:anchorId="0644A9F4" wp14:editId="1338AB3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E217569" w14:textId="77777777" w:rsidR="00473213" w:rsidRPr="00473213" w:rsidRDefault="00473213" w:rsidP="00473213">
            <w:pPr>
              <w:rPr>
                <w:sz w:val="16"/>
                <w:szCs w:val="16"/>
              </w:rPr>
            </w:pPr>
            <w:r w:rsidRPr="00473213">
              <w:rPr>
                <w:sz w:val="16"/>
                <w:szCs w:val="16"/>
              </w:rPr>
              <w:t>INTERNATIONAL TELECOMMUNICATION UNION</w:t>
            </w:r>
          </w:p>
          <w:p w14:paraId="44A21D21" w14:textId="77777777" w:rsidR="00473213" w:rsidRPr="00473213" w:rsidRDefault="00473213" w:rsidP="00473213">
            <w:pPr>
              <w:rPr>
                <w:b/>
                <w:bCs/>
                <w:sz w:val="26"/>
                <w:szCs w:val="26"/>
              </w:rPr>
            </w:pPr>
            <w:r w:rsidRPr="00473213">
              <w:rPr>
                <w:b/>
                <w:bCs/>
                <w:sz w:val="26"/>
                <w:szCs w:val="26"/>
              </w:rPr>
              <w:t>TELECOMMUNICATION</w:t>
            </w:r>
            <w:r w:rsidRPr="00473213">
              <w:rPr>
                <w:b/>
                <w:bCs/>
                <w:sz w:val="26"/>
                <w:szCs w:val="26"/>
              </w:rPr>
              <w:br/>
              <w:t>STANDARDIZATION SECTOR</w:t>
            </w:r>
          </w:p>
          <w:p w14:paraId="1A44489E" w14:textId="77777777" w:rsidR="00473213" w:rsidRPr="00473213" w:rsidRDefault="00473213" w:rsidP="00473213">
            <w:pPr>
              <w:rPr>
                <w:sz w:val="20"/>
                <w:szCs w:val="20"/>
              </w:rPr>
            </w:pPr>
            <w:r w:rsidRPr="00473213">
              <w:rPr>
                <w:sz w:val="20"/>
                <w:szCs w:val="20"/>
              </w:rPr>
              <w:t xml:space="preserve">STUDY PERIOD </w:t>
            </w:r>
            <w:bookmarkStart w:id="2" w:name="dstudyperiod"/>
            <w:r w:rsidRPr="00473213">
              <w:rPr>
                <w:sz w:val="20"/>
                <w:szCs w:val="20"/>
              </w:rPr>
              <w:t>2017-2020</w:t>
            </w:r>
            <w:bookmarkEnd w:id="2"/>
          </w:p>
        </w:tc>
        <w:tc>
          <w:tcPr>
            <w:tcW w:w="4681" w:type="dxa"/>
            <w:gridSpan w:val="2"/>
            <w:vAlign w:val="center"/>
          </w:tcPr>
          <w:p w14:paraId="48A28FC4" w14:textId="59837E2F" w:rsidR="00473213" w:rsidRPr="00473213" w:rsidRDefault="00473213" w:rsidP="009F7A27">
            <w:pPr>
              <w:pStyle w:val="Docnumber"/>
            </w:pPr>
            <w:r>
              <w:t>TSAG-TD1</w:t>
            </w:r>
            <w:r w:rsidR="006108F6">
              <w:t>319</w:t>
            </w:r>
          </w:p>
        </w:tc>
      </w:tr>
      <w:tr w:rsidR="00473213" w:rsidRPr="00473213" w14:paraId="655937C5" w14:textId="77777777" w:rsidTr="003F6975">
        <w:trPr>
          <w:cantSplit/>
        </w:trPr>
        <w:tc>
          <w:tcPr>
            <w:tcW w:w="1191" w:type="dxa"/>
            <w:vMerge/>
          </w:tcPr>
          <w:p w14:paraId="7CED72B0" w14:textId="77777777" w:rsidR="00473213" w:rsidRPr="00473213" w:rsidRDefault="00473213" w:rsidP="00473213">
            <w:pPr>
              <w:rPr>
                <w:smallCaps/>
                <w:sz w:val="20"/>
              </w:rPr>
            </w:pPr>
            <w:bookmarkStart w:id="3" w:name="dsg" w:colFirst="2" w:colLast="2"/>
            <w:bookmarkEnd w:id="0"/>
          </w:p>
        </w:tc>
        <w:tc>
          <w:tcPr>
            <w:tcW w:w="4051" w:type="dxa"/>
            <w:gridSpan w:val="3"/>
            <w:vMerge/>
          </w:tcPr>
          <w:p w14:paraId="3C55BAA1" w14:textId="77777777" w:rsidR="00473213" w:rsidRPr="00473213" w:rsidRDefault="00473213" w:rsidP="00473213">
            <w:pPr>
              <w:rPr>
                <w:smallCaps/>
                <w:sz w:val="20"/>
              </w:rPr>
            </w:pPr>
          </w:p>
        </w:tc>
        <w:tc>
          <w:tcPr>
            <w:tcW w:w="4681" w:type="dxa"/>
            <w:gridSpan w:val="2"/>
          </w:tcPr>
          <w:p w14:paraId="3FE59385" w14:textId="4DE0975F" w:rsidR="00473213" w:rsidRPr="00473213" w:rsidRDefault="00473213" w:rsidP="00473213">
            <w:pPr>
              <w:jc w:val="right"/>
              <w:rPr>
                <w:b/>
                <w:bCs/>
                <w:smallCaps/>
                <w:sz w:val="28"/>
                <w:szCs w:val="28"/>
              </w:rPr>
            </w:pPr>
            <w:r>
              <w:rPr>
                <w:b/>
                <w:bCs/>
                <w:smallCaps/>
                <w:sz w:val="28"/>
                <w:szCs w:val="28"/>
              </w:rPr>
              <w:t>TSAG</w:t>
            </w:r>
          </w:p>
        </w:tc>
      </w:tr>
      <w:bookmarkEnd w:id="3"/>
      <w:tr w:rsidR="00473213" w:rsidRPr="00473213" w14:paraId="735DA5C9" w14:textId="77777777" w:rsidTr="003F6975">
        <w:trPr>
          <w:cantSplit/>
        </w:trPr>
        <w:tc>
          <w:tcPr>
            <w:tcW w:w="1191" w:type="dxa"/>
            <w:vMerge/>
            <w:tcBorders>
              <w:bottom w:val="single" w:sz="12" w:space="0" w:color="auto"/>
            </w:tcBorders>
          </w:tcPr>
          <w:p w14:paraId="2ABD7455" w14:textId="77777777" w:rsidR="00473213" w:rsidRPr="00473213" w:rsidRDefault="00473213" w:rsidP="00473213">
            <w:pPr>
              <w:rPr>
                <w:b/>
                <w:bCs/>
                <w:sz w:val="26"/>
              </w:rPr>
            </w:pPr>
          </w:p>
        </w:tc>
        <w:tc>
          <w:tcPr>
            <w:tcW w:w="4051" w:type="dxa"/>
            <w:gridSpan w:val="3"/>
            <w:vMerge/>
            <w:tcBorders>
              <w:bottom w:val="single" w:sz="12" w:space="0" w:color="auto"/>
            </w:tcBorders>
          </w:tcPr>
          <w:p w14:paraId="4124ACB5" w14:textId="77777777" w:rsidR="00473213" w:rsidRPr="00473213" w:rsidRDefault="00473213" w:rsidP="00473213">
            <w:pPr>
              <w:rPr>
                <w:b/>
                <w:bCs/>
                <w:sz w:val="26"/>
              </w:rPr>
            </w:pPr>
          </w:p>
        </w:tc>
        <w:tc>
          <w:tcPr>
            <w:tcW w:w="4681" w:type="dxa"/>
            <w:gridSpan w:val="2"/>
            <w:tcBorders>
              <w:bottom w:val="single" w:sz="12" w:space="0" w:color="auto"/>
            </w:tcBorders>
            <w:vAlign w:val="center"/>
          </w:tcPr>
          <w:p w14:paraId="37026EB3" w14:textId="77777777" w:rsidR="00473213" w:rsidRPr="00473213" w:rsidRDefault="00473213" w:rsidP="00473213">
            <w:pPr>
              <w:jc w:val="right"/>
              <w:rPr>
                <w:b/>
                <w:bCs/>
                <w:sz w:val="28"/>
                <w:szCs w:val="28"/>
              </w:rPr>
            </w:pPr>
            <w:r w:rsidRPr="00473213">
              <w:rPr>
                <w:b/>
                <w:bCs/>
                <w:sz w:val="28"/>
                <w:szCs w:val="28"/>
              </w:rPr>
              <w:t>Original: English</w:t>
            </w:r>
          </w:p>
        </w:tc>
      </w:tr>
      <w:tr w:rsidR="00473213" w:rsidRPr="00473213" w14:paraId="07D4D13A" w14:textId="77777777" w:rsidTr="003F6975">
        <w:trPr>
          <w:cantSplit/>
        </w:trPr>
        <w:tc>
          <w:tcPr>
            <w:tcW w:w="1617" w:type="dxa"/>
            <w:gridSpan w:val="3"/>
          </w:tcPr>
          <w:p w14:paraId="6AAE0B46" w14:textId="77777777" w:rsidR="00473213" w:rsidRPr="00473213" w:rsidRDefault="00473213" w:rsidP="00473213">
            <w:pPr>
              <w:rPr>
                <w:b/>
                <w:bCs/>
              </w:rPr>
            </w:pPr>
            <w:bookmarkStart w:id="4" w:name="dbluepink" w:colFirst="1" w:colLast="1"/>
            <w:bookmarkStart w:id="5" w:name="dmeeting" w:colFirst="2" w:colLast="2"/>
            <w:r w:rsidRPr="00473213">
              <w:rPr>
                <w:b/>
                <w:bCs/>
              </w:rPr>
              <w:t>Question(s):</w:t>
            </w:r>
          </w:p>
        </w:tc>
        <w:tc>
          <w:tcPr>
            <w:tcW w:w="3625" w:type="dxa"/>
          </w:tcPr>
          <w:p w14:paraId="31F374FE" w14:textId="19769F4E" w:rsidR="00473213" w:rsidRPr="00473213" w:rsidRDefault="00473213" w:rsidP="00473213">
            <w:r w:rsidRPr="00473213">
              <w:t>N/A</w:t>
            </w:r>
          </w:p>
        </w:tc>
        <w:tc>
          <w:tcPr>
            <w:tcW w:w="4681" w:type="dxa"/>
            <w:gridSpan w:val="2"/>
          </w:tcPr>
          <w:p w14:paraId="63DBF1B6" w14:textId="76CA40CF" w:rsidR="00473213" w:rsidRPr="00473213" w:rsidRDefault="00473213" w:rsidP="00473213">
            <w:pPr>
              <w:jc w:val="right"/>
            </w:pPr>
            <w:r w:rsidRPr="00473213">
              <w:t>Virtual, 10-17 January 2022</w:t>
            </w:r>
          </w:p>
        </w:tc>
      </w:tr>
      <w:tr w:rsidR="00473213" w:rsidRPr="00473213" w14:paraId="506C6D51" w14:textId="77777777" w:rsidTr="003F6975">
        <w:trPr>
          <w:cantSplit/>
        </w:trPr>
        <w:tc>
          <w:tcPr>
            <w:tcW w:w="9923" w:type="dxa"/>
            <w:gridSpan w:val="6"/>
          </w:tcPr>
          <w:p w14:paraId="0A6B4616" w14:textId="1D460572" w:rsidR="00473213" w:rsidRPr="00473213" w:rsidRDefault="00473213" w:rsidP="00473213">
            <w:pPr>
              <w:jc w:val="center"/>
              <w:rPr>
                <w:b/>
                <w:bCs/>
              </w:rPr>
            </w:pPr>
            <w:bookmarkStart w:id="6" w:name="ddoctype" w:colFirst="0" w:colLast="0"/>
            <w:bookmarkEnd w:id="4"/>
            <w:bookmarkEnd w:id="5"/>
            <w:r w:rsidRPr="00473213">
              <w:rPr>
                <w:b/>
                <w:bCs/>
              </w:rPr>
              <w:t>TD</w:t>
            </w:r>
          </w:p>
        </w:tc>
      </w:tr>
      <w:tr w:rsidR="00473213" w:rsidRPr="00473213" w14:paraId="71207E89" w14:textId="77777777" w:rsidTr="003F6975">
        <w:trPr>
          <w:cantSplit/>
        </w:trPr>
        <w:tc>
          <w:tcPr>
            <w:tcW w:w="1617" w:type="dxa"/>
            <w:gridSpan w:val="3"/>
          </w:tcPr>
          <w:p w14:paraId="6AAAA686" w14:textId="77777777" w:rsidR="00473213" w:rsidRPr="00473213" w:rsidRDefault="00473213" w:rsidP="00473213">
            <w:pPr>
              <w:rPr>
                <w:b/>
                <w:bCs/>
              </w:rPr>
            </w:pPr>
            <w:bookmarkStart w:id="7" w:name="dsource" w:colFirst="1" w:colLast="1"/>
            <w:bookmarkEnd w:id="6"/>
            <w:r w:rsidRPr="00473213">
              <w:rPr>
                <w:b/>
                <w:bCs/>
              </w:rPr>
              <w:t>Source:</w:t>
            </w:r>
          </w:p>
        </w:tc>
        <w:tc>
          <w:tcPr>
            <w:tcW w:w="8306" w:type="dxa"/>
            <w:gridSpan w:val="3"/>
          </w:tcPr>
          <w:p w14:paraId="2FC34450" w14:textId="48253E5C" w:rsidR="00473213" w:rsidRPr="00473213" w:rsidRDefault="00473213" w:rsidP="00473213">
            <w:r w:rsidRPr="00473213">
              <w:t>Editor</w:t>
            </w:r>
          </w:p>
        </w:tc>
      </w:tr>
      <w:tr w:rsidR="00473213" w:rsidRPr="00473213" w14:paraId="288C9887" w14:textId="77777777" w:rsidTr="003F6975">
        <w:trPr>
          <w:cantSplit/>
        </w:trPr>
        <w:tc>
          <w:tcPr>
            <w:tcW w:w="1617" w:type="dxa"/>
            <w:gridSpan w:val="3"/>
          </w:tcPr>
          <w:p w14:paraId="06A346EF" w14:textId="77777777" w:rsidR="00473213" w:rsidRPr="00473213" w:rsidRDefault="00473213" w:rsidP="00473213">
            <w:bookmarkStart w:id="8" w:name="dtitle1" w:colFirst="1" w:colLast="1"/>
            <w:bookmarkEnd w:id="7"/>
            <w:r w:rsidRPr="00473213">
              <w:rPr>
                <w:b/>
                <w:bCs/>
              </w:rPr>
              <w:t>Title:</w:t>
            </w:r>
          </w:p>
        </w:tc>
        <w:tc>
          <w:tcPr>
            <w:tcW w:w="8306" w:type="dxa"/>
            <w:gridSpan w:val="3"/>
          </w:tcPr>
          <w:p w14:paraId="40E4E75C" w14:textId="57D61E52" w:rsidR="00473213" w:rsidRPr="00473213" w:rsidRDefault="00473213" w:rsidP="00473213">
            <w:bookmarkStart w:id="9" w:name="_GoBack"/>
            <w:r w:rsidRPr="00473213">
              <w:t>DRAFT Action plan for the analysis of ITU-T study group restructuring</w:t>
            </w:r>
            <w:bookmarkEnd w:id="9"/>
          </w:p>
        </w:tc>
      </w:tr>
      <w:tr w:rsidR="00473213" w:rsidRPr="00473213" w14:paraId="192046B1" w14:textId="77777777" w:rsidTr="003F6975">
        <w:trPr>
          <w:cantSplit/>
        </w:trPr>
        <w:tc>
          <w:tcPr>
            <w:tcW w:w="1617" w:type="dxa"/>
            <w:gridSpan w:val="3"/>
            <w:tcBorders>
              <w:bottom w:val="single" w:sz="8" w:space="0" w:color="auto"/>
            </w:tcBorders>
          </w:tcPr>
          <w:p w14:paraId="34C4404C" w14:textId="77777777" w:rsidR="00473213" w:rsidRPr="00473213" w:rsidRDefault="00473213" w:rsidP="00473213">
            <w:pPr>
              <w:rPr>
                <w:b/>
                <w:bCs/>
              </w:rPr>
            </w:pPr>
            <w:bookmarkStart w:id="10" w:name="dpurpose" w:colFirst="1" w:colLast="1"/>
            <w:bookmarkEnd w:id="8"/>
            <w:r w:rsidRPr="00473213">
              <w:rPr>
                <w:b/>
                <w:bCs/>
              </w:rPr>
              <w:t>Purpose:</w:t>
            </w:r>
          </w:p>
        </w:tc>
        <w:tc>
          <w:tcPr>
            <w:tcW w:w="8306" w:type="dxa"/>
            <w:gridSpan w:val="3"/>
            <w:tcBorders>
              <w:bottom w:val="single" w:sz="8" w:space="0" w:color="auto"/>
            </w:tcBorders>
          </w:tcPr>
          <w:p w14:paraId="67E3617F" w14:textId="4C5613E5" w:rsidR="00473213" w:rsidRPr="00473213" w:rsidRDefault="00473213" w:rsidP="00473213">
            <w:r w:rsidRPr="00473213">
              <w:t>Discussion</w:t>
            </w:r>
          </w:p>
        </w:tc>
      </w:tr>
      <w:bookmarkEnd w:id="1"/>
      <w:bookmarkEnd w:id="10"/>
      <w:tr w:rsidR="00816902" w:rsidRPr="00161609" w14:paraId="3C01FDCA" w14:textId="77777777" w:rsidTr="007A2DAB">
        <w:trPr>
          <w:cantSplit/>
        </w:trPr>
        <w:tc>
          <w:tcPr>
            <w:tcW w:w="1608" w:type="dxa"/>
            <w:gridSpan w:val="2"/>
            <w:tcBorders>
              <w:top w:val="single" w:sz="8" w:space="0" w:color="auto"/>
              <w:bottom w:val="single" w:sz="8" w:space="0" w:color="auto"/>
            </w:tcBorders>
          </w:tcPr>
          <w:p w14:paraId="0DCF1DDC" w14:textId="77777777" w:rsidR="00816902" w:rsidRPr="00136DDD" w:rsidRDefault="00816902" w:rsidP="00816902">
            <w:pPr>
              <w:rPr>
                <w:b/>
                <w:bCs/>
              </w:rPr>
            </w:pPr>
            <w:r w:rsidRPr="00136DDD">
              <w:rPr>
                <w:b/>
                <w:bCs/>
              </w:rPr>
              <w:t>Contact:</w:t>
            </w:r>
          </w:p>
        </w:tc>
        <w:tc>
          <w:tcPr>
            <w:tcW w:w="4346" w:type="dxa"/>
            <w:gridSpan w:val="3"/>
            <w:tcBorders>
              <w:top w:val="single" w:sz="8" w:space="0" w:color="auto"/>
              <w:bottom w:val="single" w:sz="8" w:space="0" w:color="auto"/>
            </w:tcBorders>
          </w:tcPr>
          <w:p w14:paraId="5DB93692" w14:textId="027F753B" w:rsidR="00816902" w:rsidRPr="00136DDD" w:rsidRDefault="00161609" w:rsidP="00816902">
            <w:sdt>
              <w:sdtPr>
                <w:rPr>
                  <w:lang w:val="en-US" w:eastAsia="zh-CN"/>
                </w:rPr>
                <w:alias w:val="ContactNameOrgCountry"/>
                <w:tag w:val="ContactNameOrgCountry"/>
                <w:id w:val="2008011235"/>
                <w:placeholder>
                  <w:docPart w:val="F4BFF96DDF984974AC574373254A7AC1"/>
                </w:placeholder>
                <w:text w:multiLine="1"/>
              </w:sdtPr>
              <w:sdtEndPr/>
              <w:sdtContent>
                <w:r w:rsidR="00816902">
                  <w:rPr>
                    <w:lang w:val="en-US" w:eastAsia="zh-CN"/>
                  </w:rPr>
                  <w:t>Greg Ratta</w:t>
                </w:r>
                <w:r w:rsidR="00816902">
                  <w:rPr>
                    <w:lang w:val="en-US" w:eastAsia="zh-CN"/>
                  </w:rPr>
                  <w:br/>
                  <w:t>National Telecommunications and Information Administration (NTIA)</w:t>
                </w:r>
                <w:r w:rsidR="00816902">
                  <w:rPr>
                    <w:lang w:val="en-US" w:eastAsia="zh-CN"/>
                  </w:rPr>
                  <w:br/>
                  <w:t>United States of America</w:t>
                </w:r>
              </w:sdtContent>
            </w:sdt>
          </w:p>
        </w:tc>
        <w:sdt>
          <w:sdtPr>
            <w:rPr>
              <w:lang w:val="en-US" w:eastAsia="zh-CN"/>
            </w:rPr>
            <w:alias w:val="ContactTelFaxEmail"/>
            <w:tag w:val="ContactTelFaxEmail"/>
            <w:id w:val="1587038235"/>
            <w:placeholder>
              <w:docPart w:val="05A04FBDA3714B77B322C18203C04D4D"/>
            </w:placeholder>
          </w:sdtPr>
          <w:sdtEndPr/>
          <w:sdtContent>
            <w:tc>
              <w:tcPr>
                <w:tcW w:w="3969" w:type="dxa"/>
                <w:tcBorders>
                  <w:top w:val="single" w:sz="8" w:space="0" w:color="auto"/>
                  <w:bottom w:val="single" w:sz="8" w:space="0" w:color="auto"/>
                </w:tcBorders>
              </w:tcPr>
              <w:p w14:paraId="256F5AFA" w14:textId="50744CD7" w:rsidR="00816902" w:rsidRPr="00FF1151" w:rsidRDefault="00243C1B" w:rsidP="00816902">
                <w:pPr>
                  <w:rPr>
                    <w:lang w:val="pt-BR"/>
                  </w:rPr>
                </w:pPr>
                <w:r w:rsidRPr="009F7A27">
                  <w:rPr>
                    <w:lang w:val="fr-CH" w:eastAsia="zh-CN"/>
                  </w:rPr>
                  <w:t>Tel: +1 (202) 355 3533</w:t>
                </w:r>
                <w:r w:rsidR="00816902" w:rsidRPr="009F7A27">
                  <w:rPr>
                    <w:lang w:val="fr-CH" w:eastAsia="zh-CN"/>
                  </w:rPr>
                  <w:br/>
                  <w:t xml:space="preserve">E-mail: </w:t>
                </w:r>
                <w:hyperlink r:id="rId12" w:history="1">
                  <w:r w:rsidR="00816902" w:rsidRPr="009F7A27">
                    <w:rPr>
                      <w:rStyle w:val="Hyperlink"/>
                      <w:lang w:val="fr-CH" w:eastAsia="zh-CN"/>
                    </w:rPr>
                    <w:t>gratta@ntia.gov</w:t>
                  </w:r>
                </w:hyperlink>
              </w:p>
            </w:tc>
          </w:sdtContent>
        </w:sdt>
      </w:tr>
    </w:tbl>
    <w:p w14:paraId="33720779"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FD3CAB0" w14:textId="77777777" w:rsidTr="005571A4">
        <w:trPr>
          <w:cantSplit/>
        </w:trPr>
        <w:tc>
          <w:tcPr>
            <w:tcW w:w="1616" w:type="dxa"/>
          </w:tcPr>
          <w:p w14:paraId="389585AC" w14:textId="77777777" w:rsidR="0089088E" w:rsidRPr="00136DDD" w:rsidRDefault="0089088E" w:rsidP="005976A1">
            <w:pPr>
              <w:rPr>
                <w:b/>
                <w:bCs/>
              </w:rPr>
            </w:pPr>
            <w:r w:rsidRPr="00136DDD">
              <w:rPr>
                <w:b/>
                <w:bCs/>
              </w:rPr>
              <w:t>Keywords:</w:t>
            </w:r>
          </w:p>
        </w:tc>
        <w:tc>
          <w:tcPr>
            <w:tcW w:w="8363" w:type="dxa"/>
          </w:tcPr>
          <w:p w14:paraId="5B35F3B8" w14:textId="0F17199C" w:rsidR="0089088E" w:rsidRPr="00136DDD" w:rsidRDefault="00161609"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4E68E7">
                  <w:t>Restructuring; Rapporteur Group on Work Programme and Study Group Structure (RG-WP)</w:t>
                </w:r>
                <w:r w:rsidR="00243C1B">
                  <w:t>;</w:t>
                </w:r>
              </w:sdtContent>
            </w:sdt>
          </w:p>
        </w:tc>
      </w:tr>
      <w:tr w:rsidR="0089088E" w:rsidRPr="00136DDD" w14:paraId="3B71A445" w14:textId="77777777" w:rsidTr="005571A4">
        <w:trPr>
          <w:cantSplit/>
        </w:trPr>
        <w:tc>
          <w:tcPr>
            <w:tcW w:w="1616" w:type="dxa"/>
          </w:tcPr>
          <w:p w14:paraId="3B138A8B"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77B6D0B5" w14:textId="57FB90E4" w:rsidR="0089088E" w:rsidRPr="00136DDD" w:rsidRDefault="00332FB6" w:rsidP="00560F12">
                <w:r w:rsidRPr="00372234">
                  <w:t>The November 2021 meeting of the TSAG Rapporteur Group on Work Programme and Study Group Structure (RG-WP) discussed the draft action plan contained T17-TSAGRGM-RGWP-211122-TD-0003 (https://extranet.itu.int/meetings/ITU-T/T17-TSAGRGM/RGWP-211122/TDs/T17-TSAGRGM-RGWP-211122-TD-0003.docx</w:t>
                </w:r>
                <w:r>
                  <w:t xml:space="preserve"> ) </w:t>
                </w:r>
                <w:r w:rsidRPr="00372234">
                  <w:t>and updated that draft plan.</w:t>
                </w:r>
                <w:r w:rsidRPr="00372234">
                  <w:br/>
                </w:r>
                <w:r w:rsidRPr="00372234">
                  <w:br/>
                  <w:t>The present document reflect</w:t>
                </w:r>
                <w:r>
                  <w:t>s</w:t>
                </w:r>
                <w:r w:rsidRPr="00372234">
                  <w:t xml:space="preserve"> the results of th</w:t>
                </w:r>
                <w:r w:rsidR="006108F6">
                  <w:t>at</w:t>
                </w:r>
                <w:r w:rsidRPr="00372234">
                  <w:t xml:space="preserve"> RG-WP meeting</w:t>
                </w:r>
                <w:r>
                  <w:t xml:space="preserve"> and January 2022</w:t>
                </w:r>
                <w:r w:rsidR="006108F6">
                  <w:t xml:space="preserve"> TSAG meeting</w:t>
                </w:r>
                <w:r w:rsidRPr="00372234">
                  <w:t>.</w:t>
                </w:r>
              </w:p>
            </w:tc>
          </w:sdtContent>
        </w:sdt>
      </w:tr>
    </w:tbl>
    <w:p w14:paraId="4882241F" w14:textId="77777777" w:rsidR="00816902" w:rsidRDefault="00816902" w:rsidP="0089088E"/>
    <w:p w14:paraId="43B08983" w14:textId="77777777" w:rsidR="00816902" w:rsidRDefault="00816902" w:rsidP="00AA30A2">
      <w:pPr>
        <w:spacing w:before="0" w:after="160" w:line="256" w:lineRule="auto"/>
        <w:rPr>
          <w:strike/>
        </w:rPr>
      </w:pPr>
      <w:r>
        <w:rPr>
          <w:strike/>
        </w:rPr>
        <w:br w:type="page"/>
      </w:r>
    </w:p>
    <w:p w14:paraId="66982EAB" w14:textId="7A55B499" w:rsidR="00816902" w:rsidRDefault="00816902" w:rsidP="00AA30A2">
      <w:pPr>
        <w:pStyle w:val="Title"/>
      </w:pPr>
      <w:r>
        <w:rPr>
          <w:color w:val="FF0000"/>
        </w:rPr>
        <w:lastRenderedPageBreak/>
        <w:t xml:space="preserve">DRAFT </w:t>
      </w:r>
      <w:r>
        <w:t>Action plan for the analysis of ITU-T Study group restructuring</w:t>
      </w:r>
    </w:p>
    <w:p w14:paraId="77434C48" w14:textId="77777777" w:rsidR="00816902" w:rsidRDefault="00816902" w:rsidP="00AA30A2">
      <w:pPr>
        <w:pStyle w:val="Heading1"/>
      </w:pPr>
      <w:r>
        <w:rPr>
          <w:bCs/>
        </w:rPr>
        <w:t>1.</w:t>
      </w:r>
      <w:r>
        <w:tab/>
        <w:t>Introduction</w:t>
      </w:r>
    </w:p>
    <w:p w14:paraId="6BD25127" w14:textId="132584B7" w:rsidR="00816902" w:rsidRDefault="00816902" w:rsidP="00AA30A2">
      <w:r>
        <w:t xml:space="preserve">This action plan initiates </w:t>
      </w:r>
      <w:r w:rsidR="00905A1F">
        <w:t xml:space="preserve">review </w:t>
      </w:r>
      <w:r>
        <w:t xml:space="preserve">a thorough process of ITU-T </w:t>
      </w:r>
      <w:r w:rsidR="005F69D0">
        <w:t xml:space="preserve">potential </w:t>
      </w:r>
      <w:r>
        <w:t>restructuring options, based on empirical analysis, with a view to having a more effective, efficient, fit-for-purpose</w:t>
      </w:r>
      <w:r w:rsidR="00FA3470">
        <w:t>, forward-looking</w:t>
      </w:r>
      <w:r>
        <w:t xml:space="preserve"> and inclusive ITU-T. It focuses on the concrete way to proceed with the analysis of ITU-T structure with a view to </w:t>
      </w:r>
      <w:r w:rsidR="00FA3470">
        <w:t xml:space="preserve">potentially </w:t>
      </w:r>
      <w:r>
        <w:t>approving restructuring at WTSA-24, rather than simply discussing general high-level principles.</w:t>
      </w:r>
    </w:p>
    <w:p w14:paraId="7E802DB0" w14:textId="01A68067" w:rsidR="00816902" w:rsidRDefault="00816902" w:rsidP="00AA30A2">
      <w:r>
        <w:t xml:space="preserve">The text in this action plan is based on contributions received from Members provided through a correspondence group (CG) activity based on the mandate that was agreed at the January 2021 TSAG meeting and continued under the auspices of the TSAG Rapporteur Group on Work Programme and Study Group Structure (RG-WP). </w:t>
      </w:r>
    </w:p>
    <w:p w14:paraId="1665C821" w14:textId="77777777" w:rsidR="00816902" w:rsidRDefault="00816902" w:rsidP="00AA30A2">
      <w:pPr>
        <w:pStyle w:val="Heading1"/>
      </w:pPr>
      <w:r>
        <w:t>2.</w:t>
      </w:r>
      <w:r>
        <w:tab/>
        <w:t>Background</w:t>
      </w:r>
    </w:p>
    <w:p w14:paraId="095F0BC0" w14:textId="4642E8B9" w:rsidR="00816902" w:rsidRPr="00BF23F9" w:rsidRDefault="00816902" w:rsidP="00F902D4">
      <w:pPr>
        <w:spacing w:before="0"/>
      </w:pPr>
      <w:r>
        <w:t>The efforts of the proposal</w:t>
      </w:r>
      <w:r w:rsidR="00C668D6">
        <w:t>,</w:t>
      </w:r>
      <w:r>
        <w:t xml:space="preserve"> “Food for thought”</w:t>
      </w:r>
      <w:r w:rsidR="00C668D6">
        <w:t>,</w:t>
      </w:r>
      <w:r>
        <w:t xml:space="preserve"> from Director TSB on Study Groups’ restructuring for WTSA-20 preparations provided the impetus for discussion amongst TSAG </w:t>
      </w:r>
      <w:r w:rsidR="00EE178A">
        <w:t xml:space="preserve">participants </w:t>
      </w:r>
      <w:r>
        <w:t xml:space="preserve">for the </w:t>
      </w:r>
      <w:r w:rsidR="00C668D6">
        <w:t xml:space="preserve">possible </w:t>
      </w:r>
      <w:r>
        <w:t>future re-structuring of the ITU-T study groups (SGs).</w:t>
      </w:r>
      <w:r w:rsidR="001C021D" w:rsidRPr="001C021D">
        <w:rPr>
          <w:rFonts w:cstheme="minorHAnsi"/>
        </w:rPr>
        <w:t xml:space="preserve"> </w:t>
      </w:r>
      <w:r w:rsidR="001C021D" w:rsidRPr="00E903D2">
        <w:rPr>
          <w:rFonts w:cstheme="minorHAnsi"/>
        </w:rPr>
        <w:t>It is considered as a positive step for developing the work of the sector and ensuring the compliance of technology evolution and the business continuity of the sector’s work in all circumstances as well as accelerating the work in order to come up with the best recommendations and desired standards from the sector.</w:t>
      </w:r>
    </w:p>
    <w:p w14:paraId="7454C643" w14:textId="3E282D3E" w:rsidR="00DD1347" w:rsidRPr="00DD1347" w:rsidRDefault="00480FBB" w:rsidP="00DD1347">
      <w:pPr>
        <w:rPr>
          <w:rFonts w:cstheme="minorHAnsi"/>
        </w:rPr>
      </w:pPr>
      <w:r>
        <w:rPr>
          <w:rFonts w:cstheme="minorHAnsi"/>
        </w:rPr>
        <w:t xml:space="preserve">A </w:t>
      </w:r>
      <w:r w:rsidR="0018363F">
        <w:rPr>
          <w:rFonts w:cstheme="minorHAnsi"/>
        </w:rPr>
        <w:t>n</w:t>
      </w:r>
      <w:r>
        <w:rPr>
          <w:rFonts w:cstheme="minorHAnsi"/>
        </w:rPr>
        <w:t>umber</w:t>
      </w:r>
      <w:r w:rsidR="001C021D">
        <w:rPr>
          <w:rFonts w:cstheme="minorHAnsi"/>
        </w:rPr>
        <w:t xml:space="preserve"> of</w:t>
      </w:r>
      <w:r w:rsidR="0018363F">
        <w:rPr>
          <w:rFonts w:cstheme="minorHAnsi"/>
        </w:rPr>
        <w:t xml:space="preserve"> </w:t>
      </w:r>
      <w:r w:rsidR="00DD1347" w:rsidRPr="00DD1347">
        <w:rPr>
          <w:rFonts w:cstheme="minorHAnsi"/>
        </w:rPr>
        <w:t xml:space="preserve">TSAG members recognized the importance of considering the structure of ITU-T study groups because it has not changed </w:t>
      </w:r>
      <w:r w:rsidR="00E72F99">
        <w:rPr>
          <w:rFonts w:cstheme="minorHAnsi"/>
        </w:rPr>
        <w:t xml:space="preserve">significantly </w:t>
      </w:r>
      <w:r w:rsidR="00DD1347" w:rsidRPr="00DD1347">
        <w:rPr>
          <w:rFonts w:cstheme="minorHAnsi"/>
        </w:rPr>
        <w:t xml:space="preserve">since 2008 yet technology has advanced. </w:t>
      </w:r>
    </w:p>
    <w:p w14:paraId="7346EBBA" w14:textId="3E8269A6" w:rsidR="00DD1347" w:rsidRPr="00DD1347" w:rsidRDefault="00E46BCC" w:rsidP="00DD1347">
      <w:pPr>
        <w:rPr>
          <w:rFonts w:cstheme="minorHAnsi"/>
        </w:rPr>
      </w:pPr>
      <w:r>
        <w:rPr>
          <w:rFonts w:cstheme="minorHAnsi"/>
        </w:rPr>
        <w:t>A number</w:t>
      </w:r>
      <w:r w:rsidR="001C021D">
        <w:rPr>
          <w:rFonts w:cstheme="minorHAnsi"/>
        </w:rPr>
        <w:t xml:space="preserve"> of</w:t>
      </w:r>
      <w:r w:rsidR="00336378">
        <w:rPr>
          <w:rFonts w:cstheme="minorHAnsi"/>
        </w:rPr>
        <w:t xml:space="preserve"> </w:t>
      </w:r>
      <w:r w:rsidR="00DD1347" w:rsidRPr="00DD1347">
        <w:rPr>
          <w:rFonts w:cstheme="minorHAnsi"/>
        </w:rPr>
        <w:t>TSAG members identified the need for a study that calls for an examination of the ITU-T’s standardization functions to ensure that the ITU-T structure supports the standardization needs of the membership</w:t>
      </w:r>
      <w:r w:rsidR="00DB2539">
        <w:rPr>
          <w:rFonts w:cstheme="minorHAnsi"/>
        </w:rPr>
        <w:t xml:space="preserve"> and the industry at large</w:t>
      </w:r>
      <w:r w:rsidR="00DD1347" w:rsidRPr="00DD1347">
        <w:rPr>
          <w:rFonts w:cstheme="minorHAnsi"/>
        </w:rPr>
        <w:t>.</w:t>
      </w:r>
    </w:p>
    <w:p w14:paraId="1743CA15" w14:textId="77777777" w:rsidR="00816902" w:rsidRDefault="00816902" w:rsidP="00AA30A2">
      <w:pPr>
        <w:pStyle w:val="Heading1"/>
      </w:pPr>
      <w:r>
        <w:t>3.</w:t>
      </w:r>
      <w:r>
        <w:tab/>
        <w:t>Information required to analyse the restructuring (principles and metrics)</w:t>
      </w:r>
    </w:p>
    <w:p w14:paraId="1EAC4094" w14:textId="5EC4E634" w:rsidR="00816902" w:rsidRDefault="00816902" w:rsidP="00AA30A2">
      <w:pPr>
        <w:rPr>
          <w:rFonts w:eastAsia="Times New Roman" w:cstheme="minorHAnsi"/>
        </w:rPr>
      </w:pPr>
      <w:r>
        <w:rPr>
          <w:lang w:eastAsia="zh-CN"/>
        </w:rPr>
        <w:t xml:space="preserve">The ITU-T SG restructuring solution should contribute to the mission and long-term activities of ITU-T.  The restructuring options that are reviewed should provide input into the discussion by the ITU-T members. </w:t>
      </w:r>
      <w:r>
        <w:rPr>
          <w:bCs/>
          <w:lang w:eastAsia="zh-CN"/>
        </w:rPr>
        <w:t xml:space="preserve">In turn, </w:t>
      </w:r>
      <w:r>
        <w:rPr>
          <w:lang w:eastAsia="zh-CN"/>
        </w:rPr>
        <w:t>t</w:t>
      </w:r>
      <w:r>
        <w:rPr>
          <w:bCs/>
          <w:lang w:eastAsia="zh-CN"/>
        </w:rPr>
        <w:t xml:space="preserve">he </w:t>
      </w:r>
      <w:r>
        <w:rPr>
          <w:lang w:eastAsia="zh-CN"/>
        </w:rPr>
        <w:t xml:space="preserve">discussion by members will require output from the implementation of the action plan, in order to assist them by providing </w:t>
      </w:r>
      <w:r>
        <w:rPr>
          <w:bCs/>
          <w:lang w:eastAsia="zh-CN"/>
        </w:rPr>
        <w:t>a set of general criteria for the evaluation of ITU-T SG restructuring.</w:t>
      </w:r>
    </w:p>
    <w:p w14:paraId="5136230A" w14:textId="77777777" w:rsidR="00816902" w:rsidRDefault="00816902" w:rsidP="00AA30A2">
      <w:pPr>
        <w:rPr>
          <w:rFonts w:eastAsia="Times New Roman" w:cstheme="minorHAnsi"/>
        </w:rPr>
      </w:pPr>
      <w:r>
        <w:rPr>
          <w:rFonts w:eastAsia="Times New Roman" w:cstheme="minorHAnsi"/>
          <w:color w:val="000000"/>
        </w:rPr>
        <w:t xml:space="preserve">The review process will consider both quantitative metrics and qualitative policy-oriented questions.  </w:t>
      </w:r>
      <w:r>
        <w:rPr>
          <w:rFonts w:eastAsia="Times New Roman" w:cstheme="minorHAnsi"/>
        </w:rPr>
        <w:t>The main information required to assess each of the restructuring options will be based primarily on the principles and agreed metrics by the ITU membership.</w:t>
      </w:r>
    </w:p>
    <w:p w14:paraId="24EB1618" w14:textId="77777777" w:rsidR="00816902" w:rsidRDefault="00816902" w:rsidP="00AA30A2">
      <w:pPr>
        <w:pStyle w:val="Heading2"/>
      </w:pPr>
      <w:r>
        <w:lastRenderedPageBreak/>
        <w:t>3.1</w:t>
      </w:r>
      <w:r>
        <w:tab/>
        <w:t>Principles</w:t>
      </w:r>
    </w:p>
    <w:p w14:paraId="69BB59ED" w14:textId="2ADFBEF8" w:rsidR="00816902" w:rsidRDefault="00816902" w:rsidP="00AA30A2">
      <w:pPr>
        <w:rPr>
          <w:rFonts w:cstheme="minorHAnsi"/>
        </w:rPr>
      </w:pPr>
      <w:r>
        <w:rPr>
          <w:rFonts w:eastAsia="SimSun"/>
          <w:bCs/>
          <w:lang w:eastAsia="zh-CN"/>
        </w:rPr>
        <w:t>The seven high-level principles generated by WTSA-16 and their detailed explanation (</w:t>
      </w:r>
      <w:r w:rsidRPr="00336378">
        <w:t xml:space="preserve">see </w:t>
      </w:r>
      <w:hyperlink r:id="rId13" w:history="1">
        <w:r w:rsidRPr="00336378">
          <w:rPr>
            <w:rStyle w:val="Hyperlink"/>
            <w:rFonts w:ascii="Times New Roman" w:hAnsi="Times New Roman"/>
          </w:rPr>
          <w:t>TD457r2</w:t>
        </w:r>
      </w:hyperlink>
      <w:r>
        <w:rPr>
          <w:rStyle w:val="Hyperlink"/>
          <w:rFonts w:cstheme="minorHAnsi"/>
        </w:rPr>
        <w:t xml:space="preserve"> Annex A</w:t>
      </w:r>
      <w:r>
        <w:rPr>
          <w:rFonts w:cstheme="minorHAnsi"/>
        </w:rPr>
        <w:t xml:space="preserve"> and TD937R1) </w:t>
      </w:r>
      <w:r>
        <w:rPr>
          <w:rFonts w:eastAsia="SimSun"/>
          <w:bCs/>
          <w:lang w:eastAsia="zh-CN"/>
        </w:rPr>
        <w:t>should be used in the consideration of the benefits of each of the potential re-structuring options in the output of the action plan</w:t>
      </w:r>
      <w:r>
        <w:rPr>
          <w:rFonts w:cstheme="minorHAnsi"/>
        </w:rPr>
        <w:t xml:space="preserve">. </w:t>
      </w:r>
    </w:p>
    <w:p w14:paraId="5375D6AD" w14:textId="77777777" w:rsidR="00816902" w:rsidRDefault="00816902" w:rsidP="00AA30A2">
      <w:pPr>
        <w:rPr>
          <w:rFonts w:cstheme="minorHAnsi"/>
        </w:rPr>
      </w:pPr>
      <w:r>
        <w:rPr>
          <w:rFonts w:cstheme="minorHAnsi"/>
        </w:rPr>
        <w:t>The seven high level principles listed are as follows:</w:t>
      </w:r>
    </w:p>
    <w:p w14:paraId="6AB9952B" w14:textId="77777777" w:rsidR="00816902" w:rsidRDefault="00816902" w:rsidP="00AA30A2">
      <w:pPr>
        <w:pStyle w:val="enumlev1"/>
        <w:numPr>
          <w:ilvl w:val="0"/>
          <w:numId w:val="12"/>
        </w:numPr>
        <w:textAlignment w:val="auto"/>
      </w:pPr>
      <w:r>
        <w:t>Optimised structure</w:t>
      </w:r>
    </w:p>
    <w:p w14:paraId="6C9C8928" w14:textId="77777777" w:rsidR="00816902" w:rsidRDefault="00816902" w:rsidP="00AA30A2">
      <w:pPr>
        <w:pStyle w:val="enumlev1"/>
        <w:numPr>
          <w:ilvl w:val="0"/>
          <w:numId w:val="12"/>
        </w:numPr>
        <w:textAlignment w:val="auto"/>
        <w:rPr>
          <w:rFonts w:eastAsia="Calibri"/>
        </w:rPr>
      </w:pPr>
      <w:r>
        <w:rPr>
          <w:rFonts w:eastAsia="Calibri"/>
        </w:rPr>
        <w:t>Clear mandates</w:t>
      </w:r>
    </w:p>
    <w:p w14:paraId="4C46AB02" w14:textId="77777777" w:rsidR="00816902" w:rsidRDefault="00816902" w:rsidP="00AA30A2">
      <w:pPr>
        <w:pStyle w:val="enumlev1"/>
        <w:numPr>
          <w:ilvl w:val="0"/>
          <w:numId w:val="12"/>
        </w:numPr>
        <w:textAlignment w:val="auto"/>
        <w:rPr>
          <w:rFonts w:eastAsia="Calibri"/>
        </w:rPr>
      </w:pPr>
      <w:r>
        <w:rPr>
          <w:rFonts w:eastAsia="Calibri"/>
        </w:rPr>
        <w:t>Enhanced co-ordination and co-operation</w:t>
      </w:r>
    </w:p>
    <w:p w14:paraId="4E1B3FB8" w14:textId="77777777" w:rsidR="00816902" w:rsidRDefault="00816902" w:rsidP="00AA30A2">
      <w:pPr>
        <w:pStyle w:val="enumlev1"/>
        <w:numPr>
          <w:ilvl w:val="0"/>
          <w:numId w:val="12"/>
        </w:numPr>
        <w:textAlignment w:val="auto"/>
        <w:rPr>
          <w:rFonts w:eastAsia="Calibri"/>
        </w:rPr>
      </w:pPr>
      <w:r>
        <w:rPr>
          <w:rFonts w:eastAsia="Calibri"/>
        </w:rPr>
        <w:t>Cost effectiveness and attractiveness</w:t>
      </w:r>
    </w:p>
    <w:p w14:paraId="06686770" w14:textId="77777777" w:rsidR="00816902" w:rsidRDefault="00816902" w:rsidP="00AA30A2">
      <w:pPr>
        <w:pStyle w:val="enumlev1"/>
        <w:numPr>
          <w:ilvl w:val="0"/>
          <w:numId w:val="12"/>
        </w:numPr>
        <w:textAlignment w:val="auto"/>
        <w:rPr>
          <w:rFonts w:eastAsia="Calibri"/>
        </w:rPr>
      </w:pPr>
      <w:r>
        <w:rPr>
          <w:rFonts w:eastAsia="Calibri"/>
        </w:rPr>
        <w:t>Efficient and productive working methods</w:t>
      </w:r>
    </w:p>
    <w:p w14:paraId="6E54F53F" w14:textId="77777777" w:rsidR="00816902" w:rsidRDefault="00816902" w:rsidP="00AA30A2">
      <w:pPr>
        <w:pStyle w:val="enumlev1"/>
        <w:numPr>
          <w:ilvl w:val="0"/>
          <w:numId w:val="12"/>
        </w:numPr>
        <w:textAlignment w:val="auto"/>
        <w:rPr>
          <w:rFonts w:eastAsia="Calibri"/>
        </w:rPr>
      </w:pPr>
      <w:r>
        <w:rPr>
          <w:rFonts w:eastAsia="Calibri"/>
        </w:rPr>
        <w:t>Timely identification of standardisation needs</w:t>
      </w:r>
    </w:p>
    <w:p w14:paraId="4C516F9E" w14:textId="77777777" w:rsidR="00816902" w:rsidRDefault="00816902" w:rsidP="00AA30A2">
      <w:pPr>
        <w:pStyle w:val="enumlev1"/>
        <w:numPr>
          <w:ilvl w:val="0"/>
          <w:numId w:val="12"/>
        </w:numPr>
        <w:textAlignment w:val="auto"/>
        <w:rPr>
          <w:rFonts w:eastAsia="Calibri"/>
        </w:rPr>
      </w:pPr>
      <w:r>
        <w:rPr>
          <w:rFonts w:eastAsia="Calibri"/>
        </w:rPr>
        <w:t>Support for bridging the standardisation gap</w:t>
      </w:r>
    </w:p>
    <w:p w14:paraId="6B33D271" w14:textId="77777777" w:rsidR="00816902" w:rsidRDefault="00816902" w:rsidP="00AA30A2">
      <w:r>
        <w:t>Other considerations include:</w:t>
      </w:r>
    </w:p>
    <w:p w14:paraId="3E1D3548" w14:textId="77777777" w:rsidR="00816902" w:rsidRDefault="00816902" w:rsidP="00AA30A2">
      <w:pPr>
        <w:rPr>
          <w:rFonts w:eastAsia="Times New Roman" w:cstheme="minorHAnsi"/>
        </w:rPr>
      </w:pPr>
      <w:r>
        <w:rPr>
          <w:rFonts w:eastAsia="Times New Roman" w:cstheme="minorHAnsi"/>
        </w:rPr>
        <w:t>1. Standards should be developed with the necessary expertise and background needed to ensure a substantive outcome.</w:t>
      </w:r>
    </w:p>
    <w:p w14:paraId="0191EB4B" w14:textId="67A95714" w:rsidR="00816902" w:rsidRDefault="00816902" w:rsidP="00AA30A2">
      <w:pPr>
        <w:rPr>
          <w:rStyle w:val="jlqj4b"/>
        </w:rPr>
      </w:pPr>
      <w:r w:rsidRPr="00CE157D">
        <w:rPr>
          <w:rFonts w:eastAsia="Times New Roman" w:cstheme="minorHAnsi"/>
        </w:rPr>
        <w:t xml:space="preserve">2. Care should be taken to avoid duplication of standardization work between ITU-T study groups, </w:t>
      </w:r>
      <w:r w:rsidR="00725BB9" w:rsidRPr="00CE157D">
        <w:rPr>
          <w:rFonts w:eastAsia="Times New Roman" w:cstheme="minorHAnsi"/>
        </w:rPr>
        <w:t>and</w:t>
      </w:r>
      <w:r w:rsidR="00725BB9">
        <w:rPr>
          <w:rFonts w:eastAsia="Times New Roman" w:cstheme="minorHAnsi"/>
        </w:rPr>
        <w:t>, in accordance with Resolution 71 (Rev. Dubai, 2018) of the ITU Plenipotentiary Conference,</w:t>
      </w:r>
      <w:r w:rsidR="00725BB9" w:rsidRPr="00CE157D">
        <w:rPr>
          <w:rFonts w:eastAsia="Times New Roman" w:cstheme="minorHAnsi"/>
        </w:rPr>
        <w:t xml:space="preserve"> to minimize to the extent possible, conflicting ITU standards with</w:t>
      </w:r>
      <w:r w:rsidRPr="00CE157D">
        <w:rPr>
          <w:rFonts w:eastAsia="Times New Roman" w:cstheme="minorHAnsi"/>
        </w:rPr>
        <w:t xml:space="preserve"> </w:t>
      </w:r>
      <w:r w:rsidR="00725BB9">
        <w:rPr>
          <w:rFonts w:eastAsia="Times New Roman" w:cstheme="minorHAnsi"/>
        </w:rPr>
        <w:t xml:space="preserve">those of </w:t>
      </w:r>
      <w:r w:rsidRPr="00CE157D">
        <w:rPr>
          <w:rFonts w:eastAsia="Times New Roman" w:cstheme="minorHAnsi"/>
        </w:rPr>
        <w:t xml:space="preserve">other global standards development organisations (SDOs). </w:t>
      </w:r>
      <w:r w:rsidRPr="00CE157D">
        <w:rPr>
          <w:rStyle w:val="jlqj4b"/>
        </w:rPr>
        <w:t>Note, however, that studying the relations of ITU-T with other SDOs in the restructuring process should not overlap with the work carried out in other TSAG Rapporteur Groups such as Strengthening Cooperation or Working Methods</w:t>
      </w:r>
      <w:r w:rsidR="001B385C">
        <w:rPr>
          <w:rStyle w:val="jlqj4b"/>
        </w:rPr>
        <w:t>.</w:t>
      </w:r>
    </w:p>
    <w:p w14:paraId="55FC5172" w14:textId="1513AA93" w:rsidR="00816902" w:rsidRDefault="00816902" w:rsidP="00AA30A2">
      <w:pPr>
        <w:rPr>
          <w:rFonts w:eastAsia="Times New Roman" w:cstheme="minorHAnsi"/>
        </w:rPr>
      </w:pPr>
      <w:r>
        <w:rPr>
          <w:rFonts w:eastAsia="Times New Roman" w:cstheme="minorHAnsi"/>
        </w:rPr>
        <w:t>3. Is the current number a stable number, and if there is a proposal to create a new study group, should the total number be maintained?</w:t>
      </w:r>
    </w:p>
    <w:p w14:paraId="4BCD5AE8" w14:textId="33BC0041" w:rsidR="00816902" w:rsidRDefault="00816902" w:rsidP="00AA30A2">
      <w:pPr>
        <w:rPr>
          <w:rFonts w:eastAsia="Times New Roman" w:cstheme="minorHAnsi"/>
        </w:rPr>
      </w:pPr>
      <w:r>
        <w:rPr>
          <w:rFonts w:eastAsia="Times New Roman" w:cstheme="minorHAnsi"/>
        </w:rPr>
        <w:t xml:space="preserve">4. What is the appropriate number of Questions within Study Groups in order to facilitate engagement and participation by members, as well as efficiency in work item allocation among questions? </w:t>
      </w:r>
    </w:p>
    <w:p w14:paraId="20254914" w14:textId="0859C169" w:rsidR="00816902" w:rsidRDefault="00816902" w:rsidP="00AA30A2">
      <w:pPr>
        <w:rPr>
          <w:rFonts w:eastAsia="Times New Roman" w:cstheme="minorHAnsi"/>
        </w:rPr>
      </w:pPr>
      <w:r>
        <w:rPr>
          <w:rFonts w:eastAsia="Times New Roman" w:cstheme="minorHAnsi"/>
        </w:rPr>
        <w:t xml:space="preserve">5. Should standardisation of new and emerging technologies be integrated into existing study groups and merged into Questions through the </w:t>
      </w:r>
      <w:r w:rsidR="00D45894">
        <w:rPr>
          <w:rFonts w:eastAsia="Times New Roman" w:cstheme="minorHAnsi"/>
        </w:rPr>
        <w:t xml:space="preserve">revision of existing Questions and the </w:t>
      </w:r>
      <w:r>
        <w:rPr>
          <w:rFonts w:eastAsia="Times New Roman" w:cstheme="minorHAnsi"/>
        </w:rPr>
        <w:t>establishment of new work items, where appropriate</w:t>
      </w:r>
      <w:r w:rsidR="00993015">
        <w:rPr>
          <w:rFonts w:eastAsia="Times New Roman" w:cstheme="minorHAnsi"/>
        </w:rPr>
        <w:t>,</w:t>
      </w:r>
      <w:r w:rsidR="007D38AA" w:rsidRPr="007D38AA">
        <w:rPr>
          <w:rFonts w:eastAsia="Times New Roman" w:cstheme="minorHAnsi"/>
        </w:rPr>
        <w:t xml:space="preserve"> </w:t>
      </w:r>
      <w:r w:rsidR="007D38AA">
        <w:rPr>
          <w:rFonts w:eastAsia="Times New Roman" w:cstheme="minorHAnsi"/>
        </w:rPr>
        <w:t>or establishing new Questions</w:t>
      </w:r>
      <w:r>
        <w:rPr>
          <w:rFonts w:eastAsia="Times New Roman" w:cstheme="minorHAnsi"/>
        </w:rPr>
        <w:t>?</w:t>
      </w:r>
    </w:p>
    <w:p w14:paraId="038D767F" w14:textId="20831015" w:rsidR="00816902" w:rsidRDefault="00816902" w:rsidP="00AA30A2">
      <w:r>
        <w:t xml:space="preserve">Any change to ITU-T structure must take into consideration the impact on the permanence and continuity of the work of the study groups and regional </w:t>
      </w:r>
      <w:r w:rsidRPr="00D65662">
        <w:t>groups</w:t>
      </w:r>
      <w:r w:rsidR="006332AD" w:rsidRPr="00D65662">
        <w:t xml:space="preserve"> </w:t>
      </w:r>
      <w:r w:rsidR="006332AD">
        <w:t>to continue the creation of</w:t>
      </w:r>
      <w:r w:rsidR="006332AD" w:rsidRPr="00D65662">
        <w:t xml:space="preserve"> high-quality, demand-driven, efficient, cost-effective and timely</w:t>
      </w:r>
      <w:r w:rsidR="006332AD">
        <w:t xml:space="preserve"> Recommendations.</w:t>
      </w:r>
    </w:p>
    <w:p w14:paraId="65079125" w14:textId="77777777" w:rsidR="00816902" w:rsidRDefault="00816902" w:rsidP="00AA30A2">
      <w:pPr>
        <w:pStyle w:val="Heading2"/>
      </w:pPr>
      <w:r>
        <w:t>3.2 Metrics Required</w:t>
      </w:r>
    </w:p>
    <w:p w14:paraId="6E581C51" w14:textId="77777777" w:rsidR="00816902" w:rsidRDefault="00816902" w:rsidP="00AA30A2">
      <w:pPr>
        <w:rPr>
          <w:rStyle w:val="jlqj4b"/>
        </w:rPr>
      </w:pPr>
      <w:r>
        <w:rPr>
          <w:rFonts w:cstheme="minorHAnsi"/>
        </w:rPr>
        <w:t>T</w:t>
      </w:r>
      <w:r>
        <w:rPr>
          <w:rStyle w:val="jlqj4b"/>
        </w:rPr>
        <w:t xml:space="preserve">his action plan aims to guarantee the availability of data and indicators making it possible to propose a T-sector structure that carries value for its members while analysing the availability of their expertise for a better allocation. </w:t>
      </w:r>
    </w:p>
    <w:p w14:paraId="45435480" w14:textId="12EEA261" w:rsidR="00816902" w:rsidRDefault="00816902" w:rsidP="00AA30A2">
      <w:pPr>
        <w:rPr>
          <w:rFonts w:eastAsia="Calibri" w:cstheme="minorHAnsi"/>
        </w:rPr>
      </w:pPr>
      <w:r>
        <w:rPr>
          <w:rFonts w:cstheme="minorHAnsi"/>
          <w:lang w:eastAsia="en-US"/>
        </w:rPr>
        <w:t>The action plan will utilise the following initial data gathered from the period 200</w:t>
      </w:r>
      <w:r w:rsidR="00C9113F">
        <w:rPr>
          <w:rFonts w:cstheme="minorHAnsi"/>
          <w:lang w:eastAsia="en-US"/>
        </w:rPr>
        <w:t>8</w:t>
      </w:r>
      <w:r>
        <w:rPr>
          <w:rFonts w:cstheme="minorHAnsi"/>
          <w:lang w:eastAsia="en-US"/>
        </w:rPr>
        <w:t xml:space="preserve"> through 202</w:t>
      </w:r>
      <w:r w:rsidR="00C9113F">
        <w:rPr>
          <w:rFonts w:cstheme="minorHAnsi"/>
          <w:lang w:eastAsia="en-US"/>
        </w:rPr>
        <w:t>1</w:t>
      </w:r>
      <w:r>
        <w:rPr>
          <w:rFonts w:cstheme="minorHAnsi"/>
          <w:lang w:eastAsia="en-US"/>
        </w:rPr>
        <w:t>.</w:t>
      </w:r>
      <w:r>
        <w:rPr>
          <w:rFonts w:eastAsia="Calibri" w:cstheme="minorHAnsi"/>
          <w:lang w:eastAsia="en-US"/>
        </w:rPr>
        <w:t xml:space="preserve"> </w:t>
      </w:r>
      <w:r>
        <w:rPr>
          <w:rFonts w:eastAsia="Calibri" w:cstheme="minorHAnsi"/>
        </w:rPr>
        <w:t>These metrics may be supplemented by additional data deemed useful to answer and analyse the stated questions.</w:t>
      </w:r>
    </w:p>
    <w:p w14:paraId="430D7CC1" w14:textId="1C1C9B7C" w:rsidR="00816902" w:rsidRDefault="00816902" w:rsidP="00AA30A2">
      <w:pPr>
        <w:rPr>
          <w:rFonts w:eastAsia="Calibri" w:cstheme="minorHAnsi"/>
        </w:rPr>
      </w:pPr>
      <w:r>
        <w:rPr>
          <w:rFonts w:eastAsia="Calibri" w:cstheme="minorHAnsi"/>
        </w:rPr>
        <w:lastRenderedPageBreak/>
        <w:t xml:space="preserve">The use of the metrics listed should serve as the basis </w:t>
      </w:r>
      <w:r>
        <w:rPr>
          <w:rFonts w:eastAsia="Times New Roman" w:cstheme="minorHAnsi"/>
          <w:color w:val="000000"/>
        </w:rPr>
        <w:t xml:space="preserve">to collect and analyse data based on the metrics </w:t>
      </w:r>
      <w:r>
        <w:rPr>
          <w:rFonts w:eastAsia="Calibri" w:cstheme="minorHAnsi"/>
        </w:rPr>
        <w:t>in order to provide input into the answers to the questions listed.</w:t>
      </w:r>
    </w:p>
    <w:p w14:paraId="4AC6EEED" w14:textId="6B8009E2" w:rsidR="00816902" w:rsidRDefault="00816902" w:rsidP="00AA30A2">
      <w:pPr>
        <w:rPr>
          <w:rFonts w:eastAsia="Calibri" w:cstheme="minorHAnsi"/>
        </w:rPr>
      </w:pPr>
      <w:r>
        <w:rPr>
          <w:rFonts w:eastAsia="Calibri" w:cstheme="minorHAnsi"/>
        </w:rPr>
        <w:t xml:space="preserve">The analysis of these questions and metrics, as well as the underlying data and methodologies used, </w:t>
      </w:r>
      <w:r w:rsidR="00AA3BB5">
        <w:rPr>
          <w:rFonts w:eastAsia="Calibri" w:cstheme="minorHAnsi"/>
        </w:rPr>
        <w:t xml:space="preserve">shall be presented </w:t>
      </w:r>
      <w:r>
        <w:rPr>
          <w:rFonts w:eastAsia="Calibri" w:cstheme="minorHAnsi"/>
        </w:rPr>
        <w:t>to TSAG</w:t>
      </w:r>
      <w:r w:rsidR="008A37B5" w:rsidRPr="00CA752B">
        <w:rPr>
          <w:rFonts w:eastAsia="Calibri" w:cstheme="minorHAnsi"/>
        </w:rPr>
        <w:t xml:space="preserve"> for decision and </w:t>
      </w:r>
      <w:r w:rsidR="00941ADC" w:rsidRPr="00CA752B">
        <w:rPr>
          <w:rFonts w:eastAsia="Calibri" w:cstheme="minorHAnsi"/>
        </w:rPr>
        <w:t>any action, as appropriate</w:t>
      </w:r>
      <w:r>
        <w:rPr>
          <w:rFonts w:eastAsia="Calibri" w:cstheme="minorHAnsi"/>
        </w:rPr>
        <w:t>.</w:t>
      </w:r>
    </w:p>
    <w:p w14:paraId="4CC8C733" w14:textId="537A753A" w:rsidR="00816902" w:rsidRPr="00375860" w:rsidRDefault="00350C05" w:rsidP="00AA30A2">
      <w:pPr>
        <w:pStyle w:val="enumlev1"/>
        <w:numPr>
          <w:ilvl w:val="0"/>
          <w:numId w:val="13"/>
        </w:numPr>
        <w:textAlignment w:val="auto"/>
        <w:rPr>
          <w:rFonts w:eastAsia="SimSun"/>
        </w:rPr>
      </w:pPr>
      <w:r>
        <w:t xml:space="preserve">What are the measures of </w:t>
      </w:r>
      <w:r w:rsidR="00816902">
        <w:t xml:space="preserve">ITU-T’s standardization </w:t>
      </w:r>
      <w:r w:rsidR="00816902" w:rsidRPr="008A3B8D">
        <w:t xml:space="preserve">activities </w:t>
      </w:r>
      <w:r>
        <w:t xml:space="preserve">for </w:t>
      </w:r>
      <w:r w:rsidR="00816902" w:rsidRPr="001B3A09">
        <w:t>development of Recommendations?</w:t>
      </w:r>
    </w:p>
    <w:p w14:paraId="4D8EC5D8" w14:textId="11757F90" w:rsidR="00816902" w:rsidRDefault="00816902" w:rsidP="006108F6">
      <w:pPr>
        <w:pStyle w:val="enumlev2"/>
        <w:numPr>
          <w:ilvl w:val="1"/>
          <w:numId w:val="26"/>
        </w:numPr>
        <w:textAlignment w:val="auto"/>
        <w:rPr>
          <w:rFonts w:eastAsia="Calibri"/>
        </w:rPr>
      </w:pPr>
      <w:r>
        <w:rPr>
          <w:rFonts w:eastAsia="Calibri"/>
        </w:rPr>
        <w:t>participation, contribution and leadership by types of membership from 200</w:t>
      </w:r>
      <w:r w:rsidR="008E76FB">
        <w:rPr>
          <w:rFonts w:eastAsia="Calibri"/>
        </w:rPr>
        <w:t>8</w:t>
      </w:r>
      <w:r>
        <w:rPr>
          <w:rFonts w:eastAsia="Calibri"/>
        </w:rPr>
        <w:t xml:space="preserve"> to 202</w:t>
      </w:r>
      <w:r w:rsidR="00EC33B0">
        <w:rPr>
          <w:rFonts w:eastAsia="Calibri"/>
        </w:rPr>
        <w:t>1</w:t>
      </w:r>
      <w:r>
        <w:rPr>
          <w:rFonts w:eastAsia="Calibri"/>
        </w:rPr>
        <w:t xml:space="preserve"> for each </w:t>
      </w:r>
      <w:r w:rsidR="00EC33B0">
        <w:rPr>
          <w:rFonts w:eastAsia="Calibri"/>
        </w:rPr>
        <w:t>s</w:t>
      </w:r>
      <w:r>
        <w:rPr>
          <w:rFonts w:eastAsia="Calibri"/>
        </w:rPr>
        <w:t>tudy group and related subgroups</w:t>
      </w:r>
    </w:p>
    <w:p w14:paraId="7948D2E5" w14:textId="3A05653E" w:rsidR="00816902" w:rsidRPr="008A3B8D" w:rsidRDefault="00816902" w:rsidP="006108F6">
      <w:pPr>
        <w:pStyle w:val="enumlev2"/>
        <w:numPr>
          <w:ilvl w:val="1"/>
          <w:numId w:val="26"/>
        </w:numPr>
        <w:textAlignment w:val="auto"/>
        <w:rPr>
          <w:rFonts w:eastAsia="Calibri"/>
        </w:rPr>
      </w:pPr>
      <w:r w:rsidRPr="008A3B8D">
        <w:rPr>
          <w:rFonts w:eastAsia="Calibri"/>
        </w:rPr>
        <w:t xml:space="preserve">number of months elapsed between introduction and </w:t>
      </w:r>
      <w:r w:rsidR="00B461ED">
        <w:rPr>
          <w:rFonts w:eastAsia="Calibri"/>
        </w:rPr>
        <w:t>approval</w:t>
      </w:r>
      <w:r w:rsidR="00B461ED" w:rsidRPr="008A3B8D">
        <w:rPr>
          <w:rFonts w:eastAsia="Calibri"/>
        </w:rPr>
        <w:t xml:space="preserve"> </w:t>
      </w:r>
      <w:r w:rsidRPr="008A3B8D">
        <w:rPr>
          <w:rFonts w:eastAsia="Calibri"/>
        </w:rPr>
        <w:t>of Recommendations by Study Groups from 200</w:t>
      </w:r>
      <w:r w:rsidR="008E76FB" w:rsidRPr="00B461ED">
        <w:rPr>
          <w:rFonts w:eastAsia="Calibri"/>
        </w:rPr>
        <w:t>8</w:t>
      </w:r>
      <w:r w:rsidRPr="008A3B8D">
        <w:rPr>
          <w:rFonts w:eastAsia="Calibri"/>
        </w:rPr>
        <w:t xml:space="preserve"> and 2020</w:t>
      </w:r>
    </w:p>
    <w:p w14:paraId="79CF9CD0" w14:textId="21D7D09D" w:rsidR="00816902" w:rsidRDefault="00816902" w:rsidP="006108F6">
      <w:pPr>
        <w:pStyle w:val="enumlev2"/>
        <w:numPr>
          <w:ilvl w:val="1"/>
          <w:numId w:val="26"/>
        </w:numPr>
        <w:textAlignment w:val="auto"/>
        <w:rPr>
          <w:rFonts w:eastAsia="Calibri"/>
        </w:rPr>
      </w:pPr>
      <w:r w:rsidRPr="008A3B8D">
        <w:rPr>
          <w:rFonts w:eastAsia="Calibri"/>
        </w:rPr>
        <w:t>number of liaison statements</w:t>
      </w:r>
      <w:r>
        <w:rPr>
          <w:rFonts w:eastAsia="Calibri"/>
        </w:rPr>
        <w:t xml:space="preserve"> from other standardization organizations during 200</w:t>
      </w:r>
      <w:r w:rsidR="008E76FB">
        <w:rPr>
          <w:rFonts w:eastAsia="Calibri"/>
        </w:rPr>
        <w:t>8</w:t>
      </w:r>
      <w:r>
        <w:rPr>
          <w:rFonts w:eastAsia="Calibri"/>
        </w:rPr>
        <w:t xml:space="preserve"> and 202</w:t>
      </w:r>
      <w:r w:rsidR="00EC33B0">
        <w:rPr>
          <w:rFonts w:eastAsia="Calibri"/>
        </w:rPr>
        <w:t>1</w:t>
      </w:r>
    </w:p>
    <w:p w14:paraId="2CBFE10F" w14:textId="6FD94A65" w:rsidR="00816902" w:rsidRPr="001B3A09" w:rsidRDefault="00816902" w:rsidP="006108F6">
      <w:pPr>
        <w:pStyle w:val="enumlev2"/>
        <w:numPr>
          <w:ilvl w:val="1"/>
          <w:numId w:val="26"/>
        </w:numPr>
        <w:textAlignment w:val="auto"/>
        <w:rPr>
          <w:rFonts w:eastAsia="Calibri"/>
        </w:rPr>
      </w:pPr>
      <w:r w:rsidRPr="001B3A09">
        <w:rPr>
          <w:rFonts w:eastAsia="Calibri"/>
        </w:rPr>
        <w:t>number of Recommendations approved using traditional approval process from 200</w:t>
      </w:r>
      <w:r w:rsidR="008E76FB" w:rsidRPr="001B3A09">
        <w:rPr>
          <w:rFonts w:eastAsia="Calibri"/>
        </w:rPr>
        <w:t>8</w:t>
      </w:r>
      <w:r w:rsidRPr="001B3A09">
        <w:rPr>
          <w:rFonts w:eastAsia="Calibri"/>
        </w:rPr>
        <w:t xml:space="preserve"> to 202</w:t>
      </w:r>
      <w:r w:rsidR="00EC33B0" w:rsidRPr="001B3A09">
        <w:rPr>
          <w:rFonts w:eastAsia="Calibri"/>
        </w:rPr>
        <w:t>1</w:t>
      </w:r>
      <w:r w:rsidRPr="001B3A09">
        <w:rPr>
          <w:rFonts w:eastAsia="Calibri"/>
        </w:rPr>
        <w:t xml:space="preserve"> </w:t>
      </w:r>
    </w:p>
    <w:p w14:paraId="79FE3ED0" w14:textId="6FA6E58D" w:rsidR="001B3A09" w:rsidRPr="001B3A09" w:rsidRDefault="001B3A09" w:rsidP="006108F6">
      <w:pPr>
        <w:pStyle w:val="enumlev2"/>
        <w:numPr>
          <w:ilvl w:val="1"/>
          <w:numId w:val="26"/>
        </w:numPr>
        <w:textAlignment w:val="auto"/>
        <w:rPr>
          <w:rFonts w:eastAsia="Calibri"/>
        </w:rPr>
      </w:pPr>
      <w:r w:rsidRPr="001B3A09">
        <w:rPr>
          <w:rFonts w:eastAsia="Calibri"/>
        </w:rPr>
        <w:t xml:space="preserve">number of Recommendations approved using </w:t>
      </w:r>
      <w:r>
        <w:rPr>
          <w:rFonts w:eastAsia="Calibri"/>
        </w:rPr>
        <w:t>alternative</w:t>
      </w:r>
      <w:r w:rsidRPr="001B3A09">
        <w:rPr>
          <w:rFonts w:eastAsia="Calibri"/>
        </w:rPr>
        <w:t xml:space="preserve"> approval process from 2008 to 2021 </w:t>
      </w:r>
    </w:p>
    <w:p w14:paraId="5829BBEA" w14:textId="7134B75E" w:rsidR="00816902" w:rsidRPr="001B3A09" w:rsidRDefault="00816902" w:rsidP="006108F6">
      <w:pPr>
        <w:pStyle w:val="enumlev2"/>
        <w:numPr>
          <w:ilvl w:val="1"/>
          <w:numId w:val="26"/>
        </w:numPr>
        <w:textAlignment w:val="auto"/>
        <w:rPr>
          <w:rFonts w:eastAsia="Calibri"/>
        </w:rPr>
      </w:pPr>
      <w:r w:rsidRPr="001B3A09">
        <w:rPr>
          <w:rFonts w:eastAsia="Calibri"/>
        </w:rPr>
        <w:t xml:space="preserve">number of test suites developed </w:t>
      </w:r>
      <w:r w:rsidR="001B3A09" w:rsidRPr="001B3A09">
        <w:rPr>
          <w:rFonts w:eastAsia="Calibri"/>
        </w:rPr>
        <w:t xml:space="preserve">for </w:t>
      </w:r>
      <w:r w:rsidRPr="001B3A09">
        <w:rPr>
          <w:rFonts w:eastAsia="Calibri"/>
        </w:rPr>
        <w:t>ITU-T Recommendations from 200</w:t>
      </w:r>
      <w:r w:rsidR="008E76FB" w:rsidRPr="001B3A09">
        <w:rPr>
          <w:rFonts w:eastAsia="Calibri"/>
        </w:rPr>
        <w:t>8</w:t>
      </w:r>
      <w:r w:rsidRPr="001B3A09">
        <w:rPr>
          <w:rFonts w:eastAsia="Calibri"/>
        </w:rPr>
        <w:t xml:space="preserve"> to 202</w:t>
      </w:r>
      <w:r w:rsidR="00EC33B0" w:rsidRPr="001B3A09">
        <w:rPr>
          <w:rFonts w:eastAsia="Calibri"/>
        </w:rPr>
        <w:t>1</w:t>
      </w:r>
      <w:r w:rsidRPr="001B3A09">
        <w:rPr>
          <w:rFonts w:eastAsia="Calibri"/>
        </w:rPr>
        <w:t xml:space="preserve"> </w:t>
      </w:r>
    </w:p>
    <w:p w14:paraId="2446D577" w14:textId="1BF0155A" w:rsidR="00816902" w:rsidRDefault="00816902" w:rsidP="008A33E3">
      <w:pPr>
        <w:pStyle w:val="ListParagraph"/>
        <w:numPr>
          <w:ilvl w:val="0"/>
          <w:numId w:val="13"/>
        </w:numPr>
        <w:rPr>
          <w:rFonts w:ascii="Times New Roman" w:eastAsia="Times New Roman" w:hAnsi="Times New Roman" w:cs="Times New Roman"/>
          <w:sz w:val="24"/>
          <w:szCs w:val="20"/>
          <w:lang w:eastAsia="en-US"/>
        </w:rPr>
      </w:pPr>
      <w:r w:rsidRPr="008E76FB">
        <w:rPr>
          <w:rFonts w:ascii="Times New Roman" w:eastAsia="Times New Roman" w:hAnsi="Times New Roman" w:cs="Times New Roman"/>
          <w:sz w:val="24"/>
          <w:szCs w:val="20"/>
          <w:lang w:eastAsia="en-US"/>
        </w:rPr>
        <w:t>What value do ITU-T’s Recommendations add or have impact on the ITU Membership?</w:t>
      </w:r>
    </w:p>
    <w:p w14:paraId="4C77F3AC" w14:textId="0019D0E2" w:rsidR="00816902" w:rsidRDefault="00816902" w:rsidP="006108F6">
      <w:pPr>
        <w:pStyle w:val="enumlev2"/>
        <w:numPr>
          <w:ilvl w:val="1"/>
          <w:numId w:val="28"/>
        </w:numPr>
        <w:textAlignment w:val="auto"/>
        <w:rPr>
          <w:rFonts w:eastAsia="Calibri"/>
        </w:rPr>
      </w:pPr>
      <w:r>
        <w:rPr>
          <w:rFonts w:eastAsia="Calibri"/>
        </w:rPr>
        <w:t xml:space="preserve">number of </w:t>
      </w:r>
      <w:r w:rsidR="008A33E3">
        <w:rPr>
          <w:rFonts w:eastAsia="Calibri"/>
        </w:rPr>
        <w:t xml:space="preserve">unique </w:t>
      </w:r>
      <w:r>
        <w:rPr>
          <w:rFonts w:eastAsia="Calibri"/>
        </w:rPr>
        <w:t>downloads by Recommendation from 200</w:t>
      </w:r>
      <w:r w:rsidR="008A33E3">
        <w:rPr>
          <w:rFonts w:eastAsia="Calibri"/>
        </w:rPr>
        <w:t>8</w:t>
      </w:r>
      <w:r>
        <w:rPr>
          <w:rFonts w:eastAsia="Calibri"/>
        </w:rPr>
        <w:t xml:space="preserve"> to 202</w:t>
      </w:r>
      <w:r w:rsidR="00EC33B0">
        <w:rPr>
          <w:rFonts w:eastAsia="Calibri"/>
        </w:rPr>
        <w:t>1</w:t>
      </w:r>
    </w:p>
    <w:p w14:paraId="1925B073" w14:textId="54E5AB82" w:rsidR="00816902" w:rsidRPr="00C94BE0" w:rsidRDefault="00816902" w:rsidP="006108F6">
      <w:pPr>
        <w:pStyle w:val="enumlev2"/>
        <w:numPr>
          <w:ilvl w:val="1"/>
          <w:numId w:val="28"/>
        </w:numPr>
        <w:textAlignment w:val="auto"/>
        <w:rPr>
          <w:rFonts w:eastAsia="Calibri"/>
        </w:rPr>
      </w:pPr>
      <w:r w:rsidRPr="00C94BE0">
        <w:rPr>
          <w:rFonts w:eastAsia="Calibri"/>
        </w:rPr>
        <w:t>number of ITU-T Recommendations incorporated or adopted by other standardization organizations from 200</w:t>
      </w:r>
      <w:r w:rsidR="008A33E3">
        <w:rPr>
          <w:rFonts w:eastAsia="Calibri"/>
        </w:rPr>
        <w:t>8</w:t>
      </w:r>
      <w:r w:rsidRPr="00C94BE0">
        <w:rPr>
          <w:rFonts w:eastAsia="Calibri"/>
        </w:rPr>
        <w:t xml:space="preserve"> to 202</w:t>
      </w:r>
      <w:r w:rsidR="00EC33B0">
        <w:rPr>
          <w:rFonts w:eastAsia="Calibri"/>
        </w:rPr>
        <w:t>1</w:t>
      </w:r>
      <w:r w:rsidRPr="00C94BE0">
        <w:rPr>
          <w:rFonts w:eastAsia="Calibri"/>
        </w:rPr>
        <w:t>number of standards essential patents first in ITU-T Recommendations from 200</w:t>
      </w:r>
      <w:r w:rsidR="008A33E3">
        <w:rPr>
          <w:rFonts w:eastAsia="Calibri"/>
        </w:rPr>
        <w:t>8</w:t>
      </w:r>
      <w:r w:rsidRPr="00C94BE0">
        <w:rPr>
          <w:rFonts w:eastAsia="Calibri"/>
        </w:rPr>
        <w:t xml:space="preserve"> to 202</w:t>
      </w:r>
      <w:r w:rsidR="00EC33B0">
        <w:rPr>
          <w:rFonts w:eastAsia="Calibri"/>
        </w:rPr>
        <w:t>1</w:t>
      </w:r>
    </w:p>
    <w:p w14:paraId="23270021" w14:textId="6EF0DC3A" w:rsidR="00816902" w:rsidRDefault="00816902" w:rsidP="006108F6">
      <w:pPr>
        <w:pStyle w:val="enumlev2"/>
        <w:numPr>
          <w:ilvl w:val="1"/>
          <w:numId w:val="28"/>
        </w:numPr>
        <w:textAlignment w:val="auto"/>
        <w:rPr>
          <w:rFonts w:asciiTheme="minorHAnsi" w:hAnsiTheme="minorHAnsi"/>
        </w:rPr>
      </w:pPr>
      <w:r>
        <w:rPr>
          <w:rFonts w:asciiTheme="minorHAnsi" w:hAnsiTheme="minorHAnsi"/>
          <w:color w:val="000000"/>
        </w:rPr>
        <w:t>number of ITU-T Recommendations, Guidelines and Reports with policy or regulatory implications between 200</w:t>
      </w:r>
      <w:r w:rsidR="008A33E3">
        <w:rPr>
          <w:rFonts w:asciiTheme="minorHAnsi" w:hAnsiTheme="minorHAnsi"/>
          <w:color w:val="000000"/>
        </w:rPr>
        <w:t>8</w:t>
      </w:r>
      <w:r>
        <w:rPr>
          <w:rFonts w:asciiTheme="minorHAnsi" w:hAnsiTheme="minorHAnsi"/>
          <w:color w:val="000000"/>
        </w:rPr>
        <w:t xml:space="preserve"> to 202</w:t>
      </w:r>
      <w:r w:rsidR="00EC33B0">
        <w:rPr>
          <w:rFonts w:asciiTheme="minorHAnsi" w:hAnsiTheme="minorHAnsi"/>
          <w:color w:val="000000"/>
        </w:rPr>
        <w:t>1</w:t>
      </w:r>
    </w:p>
    <w:p w14:paraId="2A3CBF77" w14:textId="37328CF1" w:rsidR="00816902" w:rsidRDefault="00816902" w:rsidP="006108F6">
      <w:pPr>
        <w:pStyle w:val="enumlev2"/>
        <w:numPr>
          <w:ilvl w:val="1"/>
          <w:numId w:val="28"/>
        </w:numPr>
        <w:textAlignment w:val="auto"/>
        <w:rPr>
          <w:rFonts w:eastAsia="Calibri"/>
        </w:rPr>
      </w:pPr>
      <w:r>
        <w:rPr>
          <w:rFonts w:eastAsia="Calibri"/>
        </w:rPr>
        <w:t>number of ITU-T Recommendations cited in Sector Members’ press releases and documentation from 200</w:t>
      </w:r>
      <w:r w:rsidR="00BE1D6F">
        <w:rPr>
          <w:rFonts w:eastAsia="Calibri"/>
        </w:rPr>
        <w:t>8</w:t>
      </w:r>
      <w:r>
        <w:rPr>
          <w:rFonts w:eastAsia="Calibri"/>
        </w:rPr>
        <w:t xml:space="preserve"> to 202</w:t>
      </w:r>
      <w:r w:rsidR="00EC33B0">
        <w:rPr>
          <w:rFonts w:eastAsia="Calibri"/>
        </w:rPr>
        <w:t>1</w:t>
      </w:r>
    </w:p>
    <w:p w14:paraId="05D5DA5F" w14:textId="5C989521" w:rsidR="00816902" w:rsidRDefault="00816902" w:rsidP="006108F6">
      <w:pPr>
        <w:pStyle w:val="enumlev2"/>
        <w:numPr>
          <w:ilvl w:val="1"/>
          <w:numId w:val="28"/>
        </w:numPr>
        <w:textAlignment w:val="auto"/>
        <w:rPr>
          <w:rFonts w:eastAsia="Calibri"/>
        </w:rPr>
      </w:pPr>
      <w:r>
        <w:rPr>
          <w:rFonts w:eastAsia="Calibri"/>
        </w:rPr>
        <w:t xml:space="preserve">number of ITU-T Recommendations adopted and implemented </w:t>
      </w:r>
      <w:r w:rsidR="00855E05">
        <w:rPr>
          <w:rFonts w:eastAsia="Calibri"/>
        </w:rPr>
        <w:t xml:space="preserve">fully or partially </w:t>
      </w:r>
      <w:r>
        <w:rPr>
          <w:rFonts w:eastAsia="Calibri"/>
        </w:rPr>
        <w:t>by industry from 200</w:t>
      </w:r>
      <w:r w:rsidR="00855E05">
        <w:rPr>
          <w:rFonts w:eastAsia="Calibri"/>
        </w:rPr>
        <w:t>8</w:t>
      </w:r>
      <w:r>
        <w:rPr>
          <w:rFonts w:eastAsia="Calibri"/>
        </w:rPr>
        <w:t xml:space="preserve"> to 202</w:t>
      </w:r>
      <w:r w:rsidR="00EC33B0">
        <w:rPr>
          <w:rFonts w:eastAsia="Calibri"/>
        </w:rPr>
        <w:t>1</w:t>
      </w:r>
    </w:p>
    <w:p w14:paraId="78272548" w14:textId="77777777" w:rsidR="00816902" w:rsidRDefault="00816902" w:rsidP="00AA30A2">
      <w:pPr>
        <w:pStyle w:val="enumlev1"/>
        <w:numPr>
          <w:ilvl w:val="0"/>
          <w:numId w:val="13"/>
        </w:numPr>
        <w:textAlignment w:val="auto"/>
        <w:rPr>
          <w:rFonts w:eastAsia="Calibri"/>
        </w:rPr>
      </w:pPr>
      <w:r>
        <w:rPr>
          <w:rFonts w:eastAsia="Calibri"/>
        </w:rPr>
        <w:t>How does ITU-T cooperate and coordinate with other standardization organizations?</w:t>
      </w:r>
    </w:p>
    <w:p w14:paraId="10CE32E5" w14:textId="61ABFE2D" w:rsidR="00816902" w:rsidRDefault="00816902" w:rsidP="006108F6">
      <w:pPr>
        <w:pStyle w:val="enumlev2"/>
        <w:numPr>
          <w:ilvl w:val="1"/>
          <w:numId w:val="31"/>
        </w:numPr>
        <w:textAlignment w:val="auto"/>
        <w:rPr>
          <w:rFonts w:eastAsia="Calibri"/>
        </w:rPr>
      </w:pPr>
      <w:r>
        <w:rPr>
          <w:rFonts w:eastAsia="Calibri"/>
        </w:rPr>
        <w:t xml:space="preserve">number of liaison statements sent to other standardization organizations from </w:t>
      </w:r>
      <w:r w:rsidR="005179E9">
        <w:rPr>
          <w:rFonts w:eastAsia="Calibri"/>
        </w:rPr>
        <w:t xml:space="preserve">2008 </w:t>
      </w:r>
      <w:r>
        <w:rPr>
          <w:rFonts w:eastAsia="Calibri"/>
        </w:rPr>
        <w:t xml:space="preserve">to </w:t>
      </w:r>
      <w:r w:rsidR="005179E9">
        <w:rPr>
          <w:rFonts w:eastAsia="Calibri"/>
        </w:rPr>
        <w:t>2021</w:t>
      </w:r>
    </w:p>
    <w:p w14:paraId="518338DB" w14:textId="77777777" w:rsidR="00816902" w:rsidRDefault="00816902" w:rsidP="006108F6">
      <w:pPr>
        <w:pStyle w:val="enumlev2"/>
        <w:numPr>
          <w:ilvl w:val="1"/>
          <w:numId w:val="31"/>
        </w:numPr>
        <w:textAlignment w:val="auto"/>
        <w:rPr>
          <w:rFonts w:eastAsia="Calibri"/>
        </w:rPr>
      </w:pPr>
      <w:r>
        <w:rPr>
          <w:rFonts w:eastAsia="Calibri"/>
        </w:rPr>
        <w:t>number of memoranda of understanding with other SDOs</w:t>
      </w:r>
    </w:p>
    <w:p w14:paraId="32291635" w14:textId="77777777" w:rsidR="00816902" w:rsidRDefault="00816902" w:rsidP="006108F6">
      <w:pPr>
        <w:pStyle w:val="enumlev2"/>
        <w:numPr>
          <w:ilvl w:val="1"/>
          <w:numId w:val="31"/>
        </w:numPr>
        <w:textAlignment w:val="auto"/>
        <w:rPr>
          <w:rFonts w:eastAsia="Calibri"/>
        </w:rPr>
      </w:pPr>
      <w:r>
        <w:rPr>
          <w:rFonts w:eastAsia="Calibri"/>
        </w:rPr>
        <w:t>number of joint workshops or activities with other SDOs</w:t>
      </w:r>
    </w:p>
    <w:p w14:paraId="25AE5885" w14:textId="063BAA26" w:rsidR="00816902" w:rsidRDefault="00816902" w:rsidP="006108F6">
      <w:pPr>
        <w:pStyle w:val="enumlev2"/>
        <w:numPr>
          <w:ilvl w:val="1"/>
          <w:numId w:val="31"/>
        </w:numPr>
        <w:textAlignment w:val="auto"/>
        <w:rPr>
          <w:lang w:val="en-CA"/>
        </w:rPr>
      </w:pPr>
      <w:r>
        <w:rPr>
          <w:lang w:val="en-CA"/>
        </w:rPr>
        <w:t xml:space="preserve">number of standards from other SDOs incorporated or adopted by ITU-T from </w:t>
      </w:r>
      <w:r w:rsidR="005179E9">
        <w:rPr>
          <w:lang w:val="en-CA"/>
        </w:rPr>
        <w:t xml:space="preserve">2008 </w:t>
      </w:r>
      <w:r>
        <w:rPr>
          <w:lang w:val="en-CA"/>
        </w:rPr>
        <w:t xml:space="preserve">to </w:t>
      </w:r>
      <w:r w:rsidR="005179E9">
        <w:rPr>
          <w:lang w:val="en-CA"/>
        </w:rPr>
        <w:t xml:space="preserve">2021 </w:t>
      </w:r>
      <w:r>
        <w:rPr>
          <w:lang w:val="en-CA"/>
        </w:rPr>
        <w:t>separated by field/subject</w:t>
      </w:r>
    </w:p>
    <w:p w14:paraId="755194E7" w14:textId="77777777" w:rsidR="00E557CE" w:rsidRPr="003C1AF9" w:rsidRDefault="00E557CE" w:rsidP="006108F6">
      <w:pPr>
        <w:pStyle w:val="enumlev2"/>
        <w:numPr>
          <w:ilvl w:val="1"/>
          <w:numId w:val="31"/>
        </w:numPr>
        <w:textAlignment w:val="auto"/>
        <w:rPr>
          <w:lang w:val="en-CA"/>
        </w:rPr>
      </w:pPr>
      <w:r>
        <w:rPr>
          <w:lang w:val="en-CA"/>
        </w:rPr>
        <w:t>number of liaison officers from or to other SD0s</w:t>
      </w:r>
    </w:p>
    <w:p w14:paraId="68C93C4B" w14:textId="3D5AB7B9" w:rsidR="00E557CE" w:rsidRPr="00E557CE" w:rsidRDefault="00E557CE" w:rsidP="006108F6">
      <w:pPr>
        <w:pStyle w:val="enumlev2"/>
        <w:numPr>
          <w:ilvl w:val="1"/>
          <w:numId w:val="31"/>
        </w:numPr>
        <w:textAlignment w:val="auto"/>
        <w:rPr>
          <w:lang w:val="en-CA"/>
        </w:rPr>
      </w:pPr>
      <w:r>
        <w:rPr>
          <w:lang w:val="en-CA"/>
        </w:rPr>
        <w:t>other mechanisms to collaborate (e.g., JCA</w:t>
      </w:r>
      <w:r w:rsidR="00054393">
        <w:rPr>
          <w:lang w:val="en-CA"/>
        </w:rPr>
        <w:t>s</w:t>
      </w:r>
      <w:r>
        <w:rPr>
          <w:lang w:val="en-CA"/>
        </w:rPr>
        <w:t>, invited experts)</w:t>
      </w:r>
    </w:p>
    <w:p w14:paraId="0D3E165A" w14:textId="77777777" w:rsidR="00816902" w:rsidRDefault="00816902" w:rsidP="00AA30A2">
      <w:pPr>
        <w:pStyle w:val="enumlev1"/>
        <w:numPr>
          <w:ilvl w:val="0"/>
          <w:numId w:val="13"/>
        </w:numPr>
        <w:textAlignment w:val="auto"/>
        <w:rPr>
          <w:rFonts w:eastAsia="SimSun"/>
        </w:rPr>
      </w:pPr>
      <w:r>
        <w:t>Is the current structure of Study Groups conducive to the standardization process of the rapid pace of telecommunication/ICT technology development?</w:t>
      </w:r>
    </w:p>
    <w:p w14:paraId="3B21BF3E" w14:textId="77777777" w:rsidR="00816902" w:rsidRDefault="00816902" w:rsidP="00AA30A2">
      <w:pPr>
        <w:pStyle w:val="enumlev1"/>
        <w:numPr>
          <w:ilvl w:val="0"/>
          <w:numId w:val="13"/>
        </w:numPr>
        <w:textAlignment w:val="auto"/>
      </w:pPr>
      <w:r>
        <w:rPr>
          <w:rFonts w:eastAsia="Calibri"/>
        </w:rPr>
        <w:t>Do ITU-T’s study groups reflect the international nature of the activity?</w:t>
      </w:r>
    </w:p>
    <w:p w14:paraId="3C58F562" w14:textId="77777777" w:rsidR="0046397F" w:rsidRPr="00E30469" w:rsidRDefault="0046397F" w:rsidP="006108F6">
      <w:pPr>
        <w:pStyle w:val="enumlev2"/>
        <w:numPr>
          <w:ilvl w:val="2"/>
          <w:numId w:val="33"/>
        </w:numPr>
        <w:ind w:left="1350"/>
        <w:rPr>
          <w:rFonts w:eastAsia="Calibri"/>
        </w:rPr>
      </w:pPr>
      <w:r>
        <w:rPr>
          <w:rFonts w:eastAsia="Calibri"/>
        </w:rPr>
        <w:lastRenderedPageBreak/>
        <w:t xml:space="preserve">Number of participants (Member States, Sector Members, Associates, Academia, SMEs, and others (e.g. UN organizations, SDOs)  </w:t>
      </w:r>
    </w:p>
    <w:p w14:paraId="18B2917B" w14:textId="1E5C36BD" w:rsidR="00816902" w:rsidRDefault="0046397F" w:rsidP="006108F6">
      <w:pPr>
        <w:pStyle w:val="enumlev2"/>
        <w:numPr>
          <w:ilvl w:val="2"/>
          <w:numId w:val="33"/>
        </w:numPr>
        <w:ind w:left="1350"/>
        <w:textAlignment w:val="auto"/>
        <w:rPr>
          <w:rFonts w:eastAsia="Calibri"/>
        </w:rPr>
      </w:pPr>
      <w:r>
        <w:rPr>
          <w:rFonts w:eastAsia="Calibri"/>
        </w:rPr>
        <w:t>N</w:t>
      </w:r>
      <w:r w:rsidR="00816902">
        <w:rPr>
          <w:rFonts w:eastAsia="Calibri"/>
        </w:rPr>
        <w:t xml:space="preserve">umber of different members, sector members and associates that have </w:t>
      </w:r>
      <w:r w:rsidR="00E1270E">
        <w:t xml:space="preserve">committed to contributing actively to </w:t>
      </w:r>
      <w:r w:rsidR="00816902" w:rsidRPr="006108F6">
        <w:rPr>
          <w:rFonts w:eastAsia="Calibri"/>
        </w:rPr>
        <w:t>the introduction of new work</w:t>
      </w:r>
      <w:r w:rsidR="00816902">
        <w:rPr>
          <w:rFonts w:eastAsia="Calibri"/>
        </w:rPr>
        <w:t>, as shown in the A.1 and A.13 justifications</w:t>
      </w:r>
      <w:r w:rsidR="00E001CE">
        <w:rPr>
          <w:rStyle w:val="FootnoteReference"/>
          <w:rFonts w:eastAsia="Calibri"/>
        </w:rPr>
        <w:footnoteReference w:id="1"/>
      </w:r>
    </w:p>
    <w:p w14:paraId="1583DB00" w14:textId="77777777" w:rsidR="00816902" w:rsidRDefault="00816902" w:rsidP="00AA30A2">
      <w:pPr>
        <w:pStyle w:val="enumlev3"/>
        <w:numPr>
          <w:ilvl w:val="1"/>
          <w:numId w:val="19"/>
        </w:numPr>
        <w:textAlignment w:val="auto"/>
        <w:rPr>
          <w:rFonts w:eastAsia="Calibri"/>
        </w:rPr>
      </w:pPr>
      <w:r>
        <w:rPr>
          <w:rFonts w:eastAsia="Calibri"/>
        </w:rPr>
        <w:t>by country</w:t>
      </w:r>
    </w:p>
    <w:p w14:paraId="7E755521" w14:textId="77777777" w:rsidR="00816902" w:rsidRDefault="00816902" w:rsidP="00AA30A2">
      <w:pPr>
        <w:pStyle w:val="enumlev3"/>
        <w:numPr>
          <w:ilvl w:val="1"/>
          <w:numId w:val="19"/>
        </w:numPr>
        <w:textAlignment w:val="auto"/>
        <w:rPr>
          <w:rFonts w:eastAsia="Calibri"/>
        </w:rPr>
      </w:pPr>
      <w:r>
        <w:rPr>
          <w:rFonts w:eastAsia="Calibri"/>
        </w:rPr>
        <w:t>by region</w:t>
      </w:r>
    </w:p>
    <w:p w14:paraId="2231BA6B" w14:textId="5A0CA0AC" w:rsidR="00816902" w:rsidRDefault="00816902" w:rsidP="00AA30A2">
      <w:pPr>
        <w:pStyle w:val="enumlev3"/>
        <w:numPr>
          <w:ilvl w:val="1"/>
          <w:numId w:val="20"/>
        </w:numPr>
        <w:ind w:left="2250"/>
        <w:textAlignment w:val="auto"/>
        <w:rPr>
          <w:rFonts w:eastAsia="Calibri"/>
        </w:rPr>
      </w:pPr>
      <w:r>
        <w:rPr>
          <w:rFonts w:eastAsia="Calibri"/>
        </w:rPr>
        <w:t xml:space="preserve">by membership </w:t>
      </w:r>
      <w:r w:rsidR="00F318C5">
        <w:rPr>
          <w:rFonts w:eastAsia="Calibri"/>
        </w:rPr>
        <w:t>category</w:t>
      </w:r>
    </w:p>
    <w:p w14:paraId="68C96F03" w14:textId="77777777" w:rsidR="00816902" w:rsidRDefault="00816902" w:rsidP="006108F6">
      <w:pPr>
        <w:pStyle w:val="enumlev2"/>
        <w:numPr>
          <w:ilvl w:val="2"/>
          <w:numId w:val="33"/>
        </w:numPr>
        <w:ind w:left="1350"/>
        <w:textAlignment w:val="auto"/>
        <w:rPr>
          <w:rFonts w:eastAsia="Calibri"/>
        </w:rPr>
      </w:pPr>
      <w:r>
        <w:rPr>
          <w:rFonts w:eastAsia="Calibri"/>
        </w:rPr>
        <w:t>Number of contributions to a work item from</w:t>
      </w:r>
    </w:p>
    <w:p w14:paraId="12B4C59F" w14:textId="77777777" w:rsidR="00816902" w:rsidRDefault="00816902" w:rsidP="00AA30A2">
      <w:pPr>
        <w:pStyle w:val="enumlev3"/>
        <w:numPr>
          <w:ilvl w:val="1"/>
          <w:numId w:val="20"/>
        </w:numPr>
        <w:ind w:left="2250"/>
        <w:textAlignment w:val="auto"/>
        <w:rPr>
          <w:rFonts w:eastAsia="Calibri"/>
        </w:rPr>
      </w:pPr>
      <w:r>
        <w:rPr>
          <w:rFonts w:eastAsia="Calibri"/>
        </w:rPr>
        <w:t>supporters</w:t>
      </w:r>
    </w:p>
    <w:p w14:paraId="3C0E1E15" w14:textId="1BF6968B" w:rsidR="00816902" w:rsidRDefault="00816902" w:rsidP="00AA30A2">
      <w:pPr>
        <w:pStyle w:val="enumlev3"/>
        <w:numPr>
          <w:ilvl w:val="1"/>
          <w:numId w:val="20"/>
        </w:numPr>
        <w:ind w:left="2250"/>
        <w:textAlignment w:val="auto"/>
        <w:rPr>
          <w:rFonts w:eastAsia="Calibri"/>
        </w:rPr>
      </w:pPr>
      <w:r>
        <w:rPr>
          <w:rFonts w:eastAsia="Calibri"/>
        </w:rPr>
        <w:t>others</w:t>
      </w:r>
      <w:r w:rsidR="00E001CE">
        <w:rPr>
          <w:rFonts w:eastAsia="Calibri"/>
        </w:rPr>
        <w:t xml:space="preserve"> (by country, by region, by membership category)</w:t>
      </w:r>
    </w:p>
    <w:p w14:paraId="36B84248" w14:textId="138C98B7" w:rsidR="00816902" w:rsidRDefault="00816902" w:rsidP="00AA30A2">
      <w:r>
        <w:rPr>
          <w:rStyle w:val="jlqj4b"/>
        </w:rPr>
        <w:t xml:space="preserve">The set of </w:t>
      </w:r>
      <w:r>
        <w:t>metrics raise fundamental questions over the work of the T</w:t>
      </w:r>
      <w:r w:rsidR="00EE6166">
        <w:t>elecommunication Standardization</w:t>
      </w:r>
      <w:r>
        <w:t xml:space="preserve"> Sector, and the extent to which these questions can be answered by the action plan will influence the </w:t>
      </w:r>
      <w:r w:rsidR="00EE6166">
        <w:t xml:space="preserve">potential </w:t>
      </w:r>
      <w:r>
        <w:t>structure of the study groups. Many of the questions and issues raised are valid and are relevant in wider discussions than study group (re-)structuring.</w:t>
      </w:r>
    </w:p>
    <w:p w14:paraId="55D3942E" w14:textId="77777777" w:rsidR="00816902" w:rsidRDefault="00816902" w:rsidP="00AA30A2">
      <w:pPr>
        <w:pStyle w:val="Heading1"/>
      </w:pPr>
      <w:r>
        <w:t>4.</w:t>
      </w:r>
      <w:r>
        <w:tab/>
        <w:t>Options for restructuring</w:t>
      </w:r>
    </w:p>
    <w:p w14:paraId="30E88240" w14:textId="32BDB023" w:rsidR="00816902" w:rsidRDefault="00816902" w:rsidP="00AA30A2">
      <w:r>
        <w:t>The initial options to be considered in the implementation of this action plan are listed in TD995r1. However, other options remain open as and when they arise, including future submissions to be identified. The initial range of options can range from do nothing to a radical overall of the current ITU-T study group structure. In other words, this study should evaluate all possible restructure options and not to be limited to options listed in TD995r1.</w:t>
      </w:r>
    </w:p>
    <w:p w14:paraId="62D9AD69" w14:textId="77777777" w:rsidR="00816902" w:rsidRDefault="00816902" w:rsidP="00AA30A2">
      <w:r>
        <w:t xml:space="preserve">There have already been submissions previously to past TSAG meetings throughout 2020 on options for study group restructuring at WTSA 20.  These submissions have been specifically included in the annexes to this action plan.  It was not part of this action plan to decide which option should or should not be included, but to treat each option fairly and equitably. </w:t>
      </w:r>
    </w:p>
    <w:p w14:paraId="53DE7F04" w14:textId="44B10797" w:rsidR="00816902" w:rsidRDefault="00816902" w:rsidP="00AA30A2">
      <w:pPr>
        <w:rPr>
          <w:lang w:eastAsia="zh-CN"/>
        </w:rPr>
      </w:pPr>
      <w:r>
        <w:rPr>
          <w:lang w:eastAsia="zh-CN"/>
        </w:rPr>
        <w:t>In implementing this action plan, transparency, fairness, impartiality</w:t>
      </w:r>
      <w:r w:rsidR="004E5864">
        <w:rPr>
          <w:lang w:eastAsia="zh-CN"/>
        </w:rPr>
        <w:t>,</w:t>
      </w:r>
      <w:r>
        <w:rPr>
          <w:lang w:eastAsia="zh-CN"/>
        </w:rPr>
        <w:t xml:space="preserve"> and objectivity should be ensured. The problems existing in the current ITU-T SGs’ structure, which need and could be solved by restructuring, should be identified, collected</w:t>
      </w:r>
      <w:r w:rsidR="00CE059D">
        <w:rPr>
          <w:lang w:eastAsia="zh-CN"/>
        </w:rPr>
        <w:t>,</w:t>
      </w:r>
      <w:r>
        <w:rPr>
          <w:lang w:eastAsia="zh-CN"/>
        </w:rPr>
        <w:t xml:space="preserve"> and </w:t>
      </w:r>
      <w:r w:rsidR="00CE059D">
        <w:rPr>
          <w:lang w:eastAsia="zh-CN"/>
        </w:rPr>
        <w:t>analysed</w:t>
      </w:r>
      <w:r>
        <w:rPr>
          <w:lang w:eastAsia="zh-CN"/>
        </w:rPr>
        <w:t xml:space="preserve"> objectively in the order of priority and urgency. All problems, once identified, should be prioritized with a clear understanding of which are to be solved in near future and which can be addressed at a later time.</w:t>
      </w:r>
    </w:p>
    <w:p w14:paraId="19BBAF8C" w14:textId="77777777" w:rsidR="00816902" w:rsidRDefault="00816902" w:rsidP="00AA30A2">
      <w:pPr>
        <w:pStyle w:val="Heading1"/>
      </w:pPr>
      <w:r>
        <w:t>5.</w:t>
      </w:r>
      <w:r>
        <w:tab/>
        <w:t>Application of the information to the analysis</w:t>
      </w:r>
    </w:p>
    <w:p w14:paraId="504A4156" w14:textId="5DD2FC42" w:rsidR="00816902" w:rsidRDefault="00816902" w:rsidP="00AA30A2">
      <w:r>
        <w:t xml:space="preserve">The analysis should </w:t>
      </w:r>
      <w:r w:rsidR="004E5864">
        <w:t xml:space="preserve">take into consideration </w:t>
      </w:r>
      <w:r>
        <w:t>the metrics that have been identified to answer the following questions:</w:t>
      </w:r>
    </w:p>
    <w:p w14:paraId="4BB951EA" w14:textId="2075FB57" w:rsidR="00816902" w:rsidRDefault="000D52D3" w:rsidP="006108F6">
      <w:pPr>
        <w:pStyle w:val="enumlev1"/>
        <w:numPr>
          <w:ilvl w:val="0"/>
          <w:numId w:val="35"/>
        </w:numPr>
        <w:tabs>
          <w:tab w:val="clear" w:pos="1588"/>
        </w:tabs>
        <w:textAlignment w:val="auto"/>
      </w:pPr>
      <w:r w:rsidRPr="00233CFD">
        <w:t>How do the various</w:t>
      </w:r>
      <w:r w:rsidR="00816902">
        <w:t xml:space="preserve"> restructure options </w:t>
      </w:r>
      <w:r w:rsidR="0032611A" w:rsidRPr="00233CFD">
        <w:t>look</w:t>
      </w:r>
      <w:r w:rsidR="00277BD6">
        <w:t xml:space="preserve"> </w:t>
      </w:r>
      <w:r w:rsidR="00816902">
        <w:t>at ensuring the sustainability of study groups and raising future productivity in extracting the required recommendations and standards faster than the current situation</w:t>
      </w:r>
      <w:r w:rsidR="00721142">
        <w:t>?</w:t>
      </w:r>
    </w:p>
    <w:p w14:paraId="1F885766" w14:textId="08ACF46F" w:rsidR="00816902" w:rsidRDefault="00816902" w:rsidP="006108F6">
      <w:pPr>
        <w:pStyle w:val="enumlev1"/>
        <w:numPr>
          <w:ilvl w:val="0"/>
          <w:numId w:val="35"/>
        </w:numPr>
        <w:tabs>
          <w:tab w:val="clear" w:pos="1588"/>
        </w:tabs>
        <w:textAlignment w:val="auto"/>
      </w:pPr>
      <w:r>
        <w:lastRenderedPageBreak/>
        <w:t>Do the current structure and work program of the ITU-T Study Groups meet the current and future industry demand? If no, what actions are needed?</w:t>
      </w:r>
    </w:p>
    <w:p w14:paraId="4C8DB248" w14:textId="62DCB89B" w:rsidR="00816902" w:rsidRDefault="00816902" w:rsidP="006108F6">
      <w:pPr>
        <w:pStyle w:val="enumlev1"/>
        <w:numPr>
          <w:ilvl w:val="0"/>
          <w:numId w:val="35"/>
        </w:numPr>
        <w:tabs>
          <w:tab w:val="clear" w:pos="1588"/>
        </w:tabs>
        <w:textAlignment w:val="auto"/>
      </w:pPr>
      <w:r>
        <w:t xml:space="preserve">Do ITU-T Study Groups work collaboratively and complement each other to develop joint outputs? How can </w:t>
      </w:r>
      <w:r w:rsidR="007D0B74" w:rsidRPr="00233CFD">
        <w:t>complementary</w:t>
      </w:r>
      <w:r w:rsidR="00277BD6">
        <w:t xml:space="preserve"> </w:t>
      </w:r>
      <w:r>
        <w:t xml:space="preserve">work </w:t>
      </w:r>
      <w:r w:rsidR="007D0B74">
        <w:t>be enhanced</w:t>
      </w:r>
      <w:r>
        <w:t>?</w:t>
      </w:r>
    </w:p>
    <w:p w14:paraId="7889999E" w14:textId="77777777" w:rsidR="00816902" w:rsidRDefault="00816902" w:rsidP="006108F6">
      <w:pPr>
        <w:pStyle w:val="enumlev1"/>
        <w:numPr>
          <w:ilvl w:val="0"/>
          <w:numId w:val="35"/>
        </w:numPr>
        <w:tabs>
          <w:tab w:val="clear" w:pos="1588"/>
        </w:tabs>
        <w:textAlignment w:val="auto"/>
      </w:pPr>
      <w:r>
        <w:t>What are the impacts of each restructuring option in terms of financial and human resources?</w:t>
      </w:r>
    </w:p>
    <w:p w14:paraId="51D749CB" w14:textId="7A722643" w:rsidR="00816902" w:rsidRDefault="001659C0" w:rsidP="006108F6">
      <w:pPr>
        <w:pStyle w:val="enumlev1"/>
        <w:numPr>
          <w:ilvl w:val="0"/>
          <w:numId w:val="35"/>
        </w:numPr>
        <w:tabs>
          <w:tab w:val="clear" w:pos="1588"/>
        </w:tabs>
        <w:textAlignment w:val="auto"/>
      </w:pPr>
      <w:r>
        <w:t>What are t</w:t>
      </w:r>
      <w:r w:rsidR="00816902">
        <w:t xml:space="preserve">he advantages and disadvantages of all the proposals, especially when merging the study groups, in terms of balance between the capacity of each study groups and not increasing the current burden, </w:t>
      </w:r>
      <w:r w:rsidR="004B22F6">
        <w:t xml:space="preserve">and </w:t>
      </w:r>
      <w:r w:rsidR="00816902">
        <w:t>also in terms of questions, meeting schedules and ensuring the sufficiency of the number of periodic meetings of the study groups</w:t>
      </w:r>
      <w:r w:rsidR="004B22F6">
        <w:t>?</w:t>
      </w:r>
    </w:p>
    <w:p w14:paraId="11541F2A" w14:textId="3A06F0A9" w:rsidR="00816902" w:rsidRDefault="0093032E" w:rsidP="006108F6">
      <w:pPr>
        <w:pStyle w:val="enumlev1"/>
        <w:numPr>
          <w:ilvl w:val="0"/>
          <w:numId w:val="35"/>
        </w:numPr>
        <w:tabs>
          <w:tab w:val="clear" w:pos="1588"/>
        </w:tabs>
        <w:textAlignment w:val="auto"/>
      </w:pPr>
      <w:r w:rsidRPr="00233CFD">
        <w:t>To the extent an intergovernmental organization like the ITU can be assessed in terms of competitive advantages, w</w:t>
      </w:r>
      <w:r w:rsidR="00816902">
        <w:t>hat are the competitive advantages that ITU-T has</w:t>
      </w:r>
      <w:r w:rsidR="00356AE3">
        <w:t>, and</w:t>
      </w:r>
      <w:r w:rsidR="004E5864">
        <w:t xml:space="preserve"> </w:t>
      </w:r>
      <w:r w:rsidR="00356AE3">
        <w:t>h</w:t>
      </w:r>
      <w:r w:rsidR="00816902">
        <w:t>ow can ITU-T utilize these advantages?</w:t>
      </w:r>
    </w:p>
    <w:p w14:paraId="420D70CA" w14:textId="77777777" w:rsidR="00816902" w:rsidRDefault="00816902" w:rsidP="00AA30A2">
      <w:r>
        <w:t xml:space="preserve">There should be a number of options employed to assess each restructuring option including benchmarking, gap analysis, SWOT analysis and brainstorming workshops. </w:t>
      </w:r>
    </w:p>
    <w:p w14:paraId="18ACDD50" w14:textId="77777777" w:rsidR="00816902" w:rsidRDefault="00816902" w:rsidP="00AA30A2">
      <w:pPr>
        <w:pStyle w:val="Heading1"/>
      </w:pPr>
      <w:r>
        <w:rPr>
          <w:bCs/>
        </w:rPr>
        <w:t>6.</w:t>
      </w:r>
      <w:r>
        <w:tab/>
        <w:t>Time scales</w:t>
      </w:r>
    </w:p>
    <w:p w14:paraId="3AB2F711" w14:textId="77777777" w:rsidR="00816902" w:rsidRDefault="00816902" w:rsidP="00AA30A2">
      <w:pPr>
        <w:rPr>
          <w:lang w:eastAsia="en-US"/>
        </w:rPr>
      </w:pPr>
      <w:r>
        <w:rPr>
          <w:lang w:eastAsia="en-US"/>
        </w:rPr>
        <w:t>The following timeline and process should be followed:</w:t>
      </w:r>
    </w:p>
    <w:p w14:paraId="7EBD1912" w14:textId="76505C6F" w:rsidR="00816902" w:rsidRDefault="00816902" w:rsidP="00AA30A2">
      <w:pPr>
        <w:pStyle w:val="enumlev1"/>
        <w:numPr>
          <w:ilvl w:val="0"/>
          <w:numId w:val="21"/>
        </w:numPr>
        <w:ind w:left="720"/>
        <w:textAlignment w:val="auto"/>
      </w:pPr>
      <w:r>
        <w:t>Following TSAG approval of the present action plan, TSAG reports to WTSA-20 with the proposed list of questions (</w:t>
      </w:r>
      <w:r>
        <w:rPr>
          <w:rFonts w:ascii="Calibri" w:hAnsi="Calibri" w:cs="Calibri"/>
        </w:rPr>
        <w:t>①②③</w:t>
      </w:r>
      <w:r>
        <w:t xml:space="preserve"> in timeline)</w:t>
      </w:r>
    </w:p>
    <w:p w14:paraId="3777B5D6" w14:textId="321D47DF" w:rsidR="00816902" w:rsidRDefault="00816902" w:rsidP="00AA30A2">
      <w:pPr>
        <w:pStyle w:val="enumlev1"/>
        <w:numPr>
          <w:ilvl w:val="0"/>
          <w:numId w:val="21"/>
        </w:numPr>
        <w:ind w:left="720"/>
        <w:textAlignment w:val="auto"/>
      </w:pPr>
      <w:r>
        <w:rPr>
          <w:lang w:val="en-US"/>
        </w:rPr>
        <w:t xml:space="preserve">WTSA-20 approves list of questions </w:t>
      </w:r>
      <w:r w:rsidR="00633A7B">
        <w:rPr>
          <w:lang w:val="en-US"/>
        </w:rPr>
        <w:t xml:space="preserve">and </w:t>
      </w:r>
      <w:r w:rsidR="00051403">
        <w:rPr>
          <w:lang w:val="en-US"/>
        </w:rPr>
        <w:t>provides guidance</w:t>
      </w:r>
      <w:r w:rsidR="00F03EA6">
        <w:rPr>
          <w:lang w:val="en-US"/>
        </w:rPr>
        <w:t xml:space="preserve"> </w:t>
      </w:r>
      <w:r>
        <w:t>(</w:t>
      </w:r>
      <w:r>
        <w:rPr>
          <w:rFonts w:ascii="Calibri" w:hAnsi="Calibri" w:cs="Calibri"/>
        </w:rPr>
        <w:t>④</w:t>
      </w:r>
      <w:r>
        <w:t xml:space="preserve"> in timeline)</w:t>
      </w:r>
    </w:p>
    <w:p w14:paraId="1A5CCB30" w14:textId="13571957" w:rsidR="00816902" w:rsidRDefault="00816902" w:rsidP="00AA30A2">
      <w:pPr>
        <w:pStyle w:val="enumlev1"/>
        <w:numPr>
          <w:ilvl w:val="0"/>
          <w:numId w:val="21"/>
        </w:numPr>
        <w:ind w:left="720"/>
        <w:textAlignment w:val="auto"/>
      </w:pPr>
      <w:r>
        <w:t xml:space="preserve"> </w:t>
      </w:r>
      <w:r w:rsidR="008762F5">
        <w:rPr>
          <w:rFonts w:eastAsia="Calibri"/>
        </w:rPr>
        <w:t>Data is gathered and analysed</w:t>
      </w:r>
      <w:r w:rsidR="008762F5">
        <w:t xml:space="preserve"> </w:t>
      </w:r>
      <w:r>
        <w:t>(</w:t>
      </w:r>
      <w:r>
        <w:rPr>
          <w:rFonts w:ascii="Calibri" w:hAnsi="Calibri" w:cs="Calibri"/>
        </w:rPr>
        <w:t>⑤</w:t>
      </w:r>
      <w:r>
        <w:t xml:space="preserve"> in timeline)</w:t>
      </w:r>
    </w:p>
    <w:p w14:paraId="74EBB1D9" w14:textId="1EA21C4D" w:rsidR="00816902" w:rsidRDefault="00816902" w:rsidP="00AA30A2">
      <w:pPr>
        <w:pStyle w:val="enumlev1"/>
        <w:numPr>
          <w:ilvl w:val="0"/>
          <w:numId w:val="21"/>
        </w:numPr>
        <w:ind w:left="720"/>
        <w:textAlignment w:val="auto"/>
      </w:pPr>
      <w:r>
        <w:rPr>
          <w:rFonts w:eastAsia="Calibri"/>
        </w:rPr>
        <w:t xml:space="preserve">TSAG reviews </w:t>
      </w:r>
      <w:r w:rsidR="001668CC">
        <w:rPr>
          <w:rFonts w:eastAsia="Calibri"/>
        </w:rPr>
        <w:t xml:space="preserve">the relevant underlying data, methodologies and analysis and recommendations based on the findings </w:t>
      </w:r>
      <w:r>
        <w:rPr>
          <w:rFonts w:eastAsia="Calibri"/>
        </w:rPr>
        <w:t>for further action and consideration</w:t>
      </w:r>
      <w:r>
        <w:t xml:space="preserve"> (</w:t>
      </w:r>
      <w:r w:rsidR="001668CC">
        <w:rPr>
          <w:rFonts w:ascii="Calibri" w:hAnsi="Calibri" w:cs="Calibri"/>
        </w:rPr>
        <w:t>⑤</w:t>
      </w:r>
      <w:r>
        <w:t>in timeline)</w:t>
      </w:r>
    </w:p>
    <w:p w14:paraId="179AF144" w14:textId="2DEAFB8F" w:rsidR="00816902" w:rsidRDefault="00816902" w:rsidP="00AA30A2">
      <w:pPr>
        <w:pStyle w:val="enumlev1"/>
        <w:numPr>
          <w:ilvl w:val="0"/>
          <w:numId w:val="21"/>
        </w:numPr>
        <w:ind w:left="720"/>
        <w:textAlignment w:val="auto"/>
      </w:pPr>
      <w:r>
        <w:rPr>
          <w:rFonts w:eastAsia="Calibri"/>
        </w:rPr>
        <w:t>TSAG submits a report to WTSA-24 concerning a possible restructure of ITU-T</w:t>
      </w:r>
      <w:r>
        <w:t xml:space="preserve"> (</w:t>
      </w:r>
      <w:r w:rsidR="001668CC">
        <w:rPr>
          <w:rFonts w:ascii="Calibri" w:hAnsi="Calibri" w:cs="Calibri"/>
        </w:rPr>
        <w:t>⑥</w:t>
      </w:r>
      <w:r>
        <w:rPr>
          <w:rFonts w:ascii="Calibri" w:hAnsi="Calibri" w:cs="Calibri"/>
        </w:rPr>
        <w:t>⑦</w:t>
      </w:r>
      <w:r>
        <w:t>in timeline)</w:t>
      </w:r>
    </w:p>
    <w:p w14:paraId="2E2684E3" w14:textId="77777777" w:rsidR="00816902" w:rsidRDefault="00816902" w:rsidP="00AA30A2">
      <w:pPr>
        <w:rPr>
          <w:lang w:eastAsia="en-US"/>
        </w:rPr>
      </w:pPr>
      <w:r>
        <w:rPr>
          <w:lang w:eastAsia="en-US"/>
        </w:rPr>
        <w:t>The timeline is indicated below.</w:t>
      </w:r>
    </w:p>
    <w:p w14:paraId="16C4C15F" w14:textId="1427EED0" w:rsidR="00816902" w:rsidRDefault="00236B6E" w:rsidP="00AA30A2">
      <w:pPr>
        <w:rPr>
          <w:rFonts w:cstheme="minorHAnsi"/>
          <w:lang w:eastAsia="en-US"/>
        </w:rPr>
      </w:pPr>
      <w:r w:rsidRPr="00236B6E">
        <w:rPr>
          <w:noProof/>
        </w:rPr>
        <w:t xml:space="preserve"> </w:t>
      </w:r>
      <w:r w:rsidR="00F03EA6" w:rsidRPr="00F03EA6">
        <w:rPr>
          <w:rFonts w:cstheme="minorHAnsi"/>
          <w:noProof/>
          <w:lang w:val="en-US" w:eastAsia="en-US"/>
        </w:rPr>
        <w:drawing>
          <wp:inline distT="0" distB="0" distL="0" distR="0" wp14:anchorId="31E2FB2D" wp14:editId="652C79FA">
            <wp:extent cx="6383582" cy="1657350"/>
            <wp:effectExtent l="0" t="0" r="0" b="0"/>
            <wp:docPr id="3" name="Picture 2" descr="Graphical user interface, application, table, Excel&#10;&#10;Description automatically generated">
              <a:extLst xmlns:a="http://schemas.openxmlformats.org/drawingml/2006/main">
                <a:ext uri="{FF2B5EF4-FFF2-40B4-BE49-F238E27FC236}">
                  <a16:creationId xmlns:a16="http://schemas.microsoft.com/office/drawing/2014/main" id="{A403C3CA-A0E9-4204-B36F-F8B390C03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table, Excel&#10;&#10;Description automatically generated">
                      <a:extLst>
                        <a:ext uri="{FF2B5EF4-FFF2-40B4-BE49-F238E27FC236}">
                          <a16:creationId xmlns:a16="http://schemas.microsoft.com/office/drawing/2014/main" id="{A403C3CA-A0E9-4204-B36F-F8B390C03475}"/>
                        </a:ext>
                      </a:extLst>
                    </pic:cNvPr>
                    <pic:cNvPicPr>
                      <a:picLocks noChangeAspect="1"/>
                    </pic:cNvPicPr>
                  </pic:nvPicPr>
                  <pic:blipFill rotWithShape="1">
                    <a:blip r:embed="rId14"/>
                    <a:srcRect l="5473" t="12616" r="39493" b="61094"/>
                    <a:stretch/>
                  </pic:blipFill>
                  <pic:spPr>
                    <a:xfrm>
                      <a:off x="0" y="0"/>
                      <a:ext cx="6388104" cy="1658524"/>
                    </a:xfrm>
                    <a:prstGeom prst="rect">
                      <a:avLst/>
                    </a:prstGeom>
                  </pic:spPr>
                </pic:pic>
              </a:graphicData>
            </a:graphic>
          </wp:inline>
        </w:drawing>
      </w:r>
      <w:r w:rsidR="00F03EA6" w:rsidRPr="00F03EA6">
        <w:rPr>
          <w:rFonts w:cstheme="minorHAnsi"/>
          <w:noProof/>
          <w:lang w:val="en-US" w:eastAsia="en-US"/>
        </w:rPr>
        <w:t xml:space="preserve"> </w:t>
      </w:r>
    </w:p>
    <w:p w14:paraId="153B293D" w14:textId="4DD1BA28" w:rsidR="00816902" w:rsidRDefault="00816902" w:rsidP="00AA30A2">
      <w:r>
        <w:t>This action plan should be executed between WTSA20 (Q1 2022) – WTSA24.</w:t>
      </w:r>
    </w:p>
    <w:p w14:paraId="19A9C6D4" w14:textId="72536AA5" w:rsidR="00816902" w:rsidRDefault="00816902" w:rsidP="00AA30A2">
      <w:pPr>
        <w:pStyle w:val="Heading1"/>
      </w:pPr>
      <w:r>
        <w:lastRenderedPageBreak/>
        <w:t>7.</w:t>
      </w:r>
      <w:r>
        <w:tab/>
      </w:r>
      <w:r w:rsidR="00206CDF" w:rsidRPr="00206CDF">
        <w:t>Management and execution</w:t>
      </w:r>
      <w:r>
        <w:t xml:space="preserve"> of the action plan</w:t>
      </w:r>
    </w:p>
    <w:p w14:paraId="213D794D" w14:textId="77777777" w:rsidR="00816902" w:rsidRDefault="00816902" w:rsidP="00AA30A2">
      <w:r>
        <w:t>TSAG has the ultimate responsibility to manage and review the output of the action plan.  TSAG should prepare a report and recommendations for presentation to Council for further action and consideration and submit a report to WTSA-24. That said, Members can use (or not) the output of the action plan as they wish ahead of any consideration by WTSA on a decision for restructuring the ITU-T study groups.</w:t>
      </w:r>
    </w:p>
    <w:p w14:paraId="50C0DE5C" w14:textId="40F6535E" w:rsidR="00816902" w:rsidRDefault="00816902" w:rsidP="00AA30A2">
      <w:pPr>
        <w:rPr>
          <w:rFonts w:eastAsia="Times New Roman"/>
        </w:rPr>
      </w:pPr>
      <w:r>
        <w:rPr>
          <w:rFonts w:eastAsia="Times New Roman"/>
        </w:rPr>
        <w:t xml:space="preserve">The main responsible coordination point for this action plan should remain with TSAG. </w:t>
      </w:r>
      <w:r>
        <w:t xml:space="preserve">The analytics team, with very clear and specified tasks, should include ITU membership with support from TSB. </w:t>
      </w:r>
    </w:p>
    <w:p w14:paraId="5E5FF92B" w14:textId="628F26DB" w:rsidR="00816902" w:rsidRPr="0087586E" w:rsidRDefault="00816902" w:rsidP="0089088E">
      <w:pPr>
        <w:rPr>
          <w:rFonts w:eastAsia="Calibri" w:cstheme="minorHAnsi"/>
        </w:rPr>
      </w:pPr>
    </w:p>
    <w:p w14:paraId="4EE4EE2A" w14:textId="77777777" w:rsidR="00794F4F" w:rsidRDefault="00394DBF" w:rsidP="001200A6">
      <w:pPr>
        <w:jc w:val="center"/>
      </w:pPr>
      <w:r>
        <w:t>_______________________</w:t>
      </w:r>
    </w:p>
    <w:sectPr w:rsidR="00794F4F" w:rsidSect="004F3BFE">
      <w:headerReference w:type="default" r:id="rId15"/>
      <w:pgSz w:w="12240" w:h="15840" w:code="1"/>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9A4C0" w14:textId="77777777" w:rsidR="00B17AFD" w:rsidRDefault="00B17AFD" w:rsidP="00C42125">
      <w:pPr>
        <w:spacing w:before="0"/>
      </w:pPr>
      <w:r>
        <w:separator/>
      </w:r>
    </w:p>
  </w:endnote>
  <w:endnote w:type="continuationSeparator" w:id="0">
    <w:p w14:paraId="56A51FDD" w14:textId="77777777" w:rsidR="00B17AFD" w:rsidRDefault="00B17AF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1861E" w14:textId="77777777" w:rsidR="00B17AFD" w:rsidRDefault="00B17AFD" w:rsidP="00C42125">
      <w:pPr>
        <w:spacing w:before="0"/>
      </w:pPr>
      <w:r>
        <w:separator/>
      </w:r>
    </w:p>
  </w:footnote>
  <w:footnote w:type="continuationSeparator" w:id="0">
    <w:p w14:paraId="2AC35BD5" w14:textId="77777777" w:rsidR="00B17AFD" w:rsidRDefault="00B17AFD" w:rsidP="00C42125">
      <w:pPr>
        <w:spacing w:before="0"/>
      </w:pPr>
      <w:r>
        <w:continuationSeparator/>
      </w:r>
    </w:p>
  </w:footnote>
  <w:footnote w:id="1">
    <w:p w14:paraId="570B9D20" w14:textId="3A9FD68D" w:rsidR="00E001CE" w:rsidRPr="00E1270E" w:rsidRDefault="00E001CE">
      <w:pPr>
        <w:pStyle w:val="FootnoteText"/>
      </w:pPr>
      <w:r>
        <w:rPr>
          <w:rStyle w:val="FootnoteReference"/>
        </w:rPr>
        <w:footnoteRef/>
      </w:r>
      <w:r>
        <w:t xml:space="preserve"> </w:t>
      </w:r>
      <w:r w:rsidR="00E1270E">
        <w:rPr>
          <w:lang w:val="en-US"/>
        </w:rPr>
        <w:t>While the general period of study is agreed to be from 2008 through 2021, it is recognized that the data related to</w:t>
      </w:r>
      <w:r w:rsidR="00E1270E">
        <w:rPr>
          <w:rFonts w:eastAsia="Calibri"/>
        </w:rPr>
        <w:t xml:space="preserve"> the A.1 and A.13 justifications are available only from a subset of these years.  Care should be taken in drawing conclusions </w:t>
      </w:r>
      <w:r w:rsidR="000C0BF9">
        <w:rPr>
          <w:rFonts w:eastAsia="Calibri"/>
        </w:rPr>
        <w:t xml:space="preserve">from </w:t>
      </w:r>
      <w:r w:rsidR="00E1270E">
        <w:rPr>
          <w:rFonts w:eastAsia="Calibri"/>
        </w:rPr>
        <w:t>these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100B" w14:textId="79F9B08E" w:rsidR="005976A1" w:rsidRPr="00473213" w:rsidRDefault="00473213" w:rsidP="00473213">
    <w:pPr>
      <w:pStyle w:val="Header"/>
      <w:rPr>
        <w:sz w:val="18"/>
      </w:rPr>
    </w:pPr>
    <w:r w:rsidRPr="00473213">
      <w:rPr>
        <w:sz w:val="18"/>
      </w:rPr>
      <w:t xml:space="preserve">- </w:t>
    </w:r>
    <w:r w:rsidRPr="00473213">
      <w:rPr>
        <w:sz w:val="18"/>
      </w:rPr>
      <w:fldChar w:fldCharType="begin"/>
    </w:r>
    <w:r w:rsidRPr="00473213">
      <w:rPr>
        <w:sz w:val="18"/>
      </w:rPr>
      <w:instrText xml:space="preserve"> PAGE  \* MERGEFORMAT </w:instrText>
    </w:r>
    <w:r w:rsidRPr="00473213">
      <w:rPr>
        <w:sz w:val="18"/>
      </w:rPr>
      <w:fldChar w:fldCharType="separate"/>
    </w:r>
    <w:r w:rsidR="00161609">
      <w:rPr>
        <w:noProof/>
        <w:sz w:val="18"/>
      </w:rPr>
      <w:t>7</w:t>
    </w:r>
    <w:r w:rsidRPr="00473213">
      <w:rPr>
        <w:sz w:val="18"/>
      </w:rPr>
      <w:fldChar w:fldCharType="end"/>
    </w:r>
    <w:r w:rsidRPr="00473213">
      <w:rPr>
        <w:sz w:val="18"/>
      </w:rPr>
      <w:t xml:space="preserve"> -</w:t>
    </w:r>
  </w:p>
  <w:p w14:paraId="01540DE4" w14:textId="07D1135B" w:rsidR="00473213" w:rsidRPr="00473213" w:rsidRDefault="00243C1B" w:rsidP="00473213">
    <w:pPr>
      <w:pStyle w:val="Header"/>
      <w:spacing w:after="240"/>
      <w:rPr>
        <w:sz w:val="18"/>
      </w:rPr>
    </w:pPr>
    <w:r>
      <w:rPr>
        <w:sz w:val="18"/>
      </w:rPr>
      <w:t>TSAG-TD</w:t>
    </w:r>
    <w:r w:rsidR="00C51651">
      <w:rPr>
        <w:sz w:val="18"/>
      </w:rPr>
      <w:t>1319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F1995"/>
    <w:multiLevelType w:val="hybridMultilevel"/>
    <w:tmpl w:val="1A9086DE"/>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1"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5" w15:restartNumberingAfterBreak="0">
    <w:nsid w:val="20C269BC"/>
    <w:multiLevelType w:val="hybridMultilevel"/>
    <w:tmpl w:val="182A7E3C"/>
    <w:lvl w:ilvl="0" w:tplc="2036389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71455F"/>
    <w:multiLevelType w:val="hybridMultilevel"/>
    <w:tmpl w:val="34286E22"/>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8" w15:restartNumberingAfterBreak="0">
    <w:nsid w:val="2B0061AC"/>
    <w:multiLevelType w:val="hybridMultilevel"/>
    <w:tmpl w:val="C0B69C92"/>
    <w:lvl w:ilvl="0" w:tplc="C9FA341A">
      <w:start w:val="1"/>
      <w:numFmt w:val="decimal"/>
      <w:lvlText w:val="5.%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8109DB"/>
    <w:multiLevelType w:val="hybridMultilevel"/>
    <w:tmpl w:val="7DDCBCEE"/>
    <w:lvl w:ilvl="0" w:tplc="889C60D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813EF9"/>
    <w:multiLevelType w:val="hybridMultilevel"/>
    <w:tmpl w:val="3266CE2A"/>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3" w15:restartNumberingAfterBreak="0">
    <w:nsid w:val="52467D95"/>
    <w:multiLevelType w:val="hybridMultilevel"/>
    <w:tmpl w:val="45183140"/>
    <w:lvl w:ilvl="0" w:tplc="AE02FC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15326"/>
    <w:multiLevelType w:val="hybridMultilevel"/>
    <w:tmpl w:val="1B1A3BAC"/>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5" w15:restartNumberingAfterBreak="0">
    <w:nsid w:val="56A36FB7"/>
    <w:multiLevelType w:val="hybridMultilevel"/>
    <w:tmpl w:val="40FED734"/>
    <w:lvl w:ilvl="0" w:tplc="D9DA3384">
      <w:start w:val="1"/>
      <w:numFmt w:val="decimal"/>
      <w:lvlText w:val="1.%1."/>
      <w:lvlJc w:val="left"/>
      <w:pPr>
        <w:ind w:left="18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0036D"/>
    <w:multiLevelType w:val="hybridMultilevel"/>
    <w:tmpl w:val="1FF09EA2"/>
    <w:lvl w:ilvl="0" w:tplc="BBC049D4">
      <w:start w:val="1"/>
      <w:numFmt w:val="decimal"/>
      <w:lvlText w:val="2.%1."/>
      <w:lvlJc w:val="left"/>
      <w:pPr>
        <w:ind w:left="18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34F38"/>
    <w:multiLevelType w:val="hybridMultilevel"/>
    <w:tmpl w:val="D870C548"/>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AE02FC3E">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638498B"/>
    <w:multiLevelType w:val="hybridMultilevel"/>
    <w:tmpl w:val="26D05D94"/>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31" w15:restartNumberingAfterBreak="0">
    <w:nsid w:val="6AAD41A6"/>
    <w:multiLevelType w:val="hybridMultilevel"/>
    <w:tmpl w:val="B8449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30"/>
  </w:num>
  <w:num w:numId="16">
    <w:abstractNumId w:val="22"/>
  </w:num>
  <w:num w:numId="17">
    <w:abstractNumId w:val="10"/>
  </w:num>
  <w:num w:numId="18">
    <w:abstractNumId w:val="24"/>
  </w:num>
  <w:num w:numId="19">
    <w:abstractNumId w:val="14"/>
  </w:num>
  <w:num w:numId="20">
    <w:abstractNumId w:val="29"/>
  </w:num>
  <w:num w:numId="21">
    <w:abstractNumId w:val="11"/>
  </w:num>
  <w:num w:numId="22">
    <w:abstractNumId w:val="16"/>
  </w:num>
  <w:num w:numId="23">
    <w:abstractNumId w:val="19"/>
  </w:num>
  <w:num w:numId="24">
    <w:abstractNumId w:val="20"/>
  </w:num>
  <w:num w:numId="25">
    <w:abstractNumId w:val="25"/>
  </w:num>
  <w:num w:numId="26">
    <w:abstractNumId w:val="13"/>
  </w:num>
  <w:num w:numId="27">
    <w:abstractNumId w:val="26"/>
  </w:num>
  <w:num w:numId="28">
    <w:abstractNumId w:val="12"/>
  </w:num>
  <w:num w:numId="29">
    <w:abstractNumId w:val="23"/>
  </w:num>
  <w:num w:numId="30">
    <w:abstractNumId w:val="27"/>
  </w:num>
  <w:num w:numId="31">
    <w:abstractNumId w:val="28"/>
  </w:num>
  <w:num w:numId="32">
    <w:abstractNumId w:val="15"/>
  </w:num>
  <w:num w:numId="33">
    <w:abstractNumId w:val="21"/>
  </w:num>
  <w:num w:numId="34">
    <w:abstractNumId w:val="21"/>
    <w:lvlOverride w:ilvl="0">
      <w:lvl w:ilvl="0" w:tplc="FFFFFFFF">
        <w:start w:val="1"/>
        <w:numFmt w:val="decimal"/>
        <w:lvlText w:val="5.%1."/>
        <w:lvlJc w:val="left"/>
        <w:pPr>
          <w:ind w:left="2160" w:hanging="180"/>
        </w:pPr>
        <w:rPr>
          <w:rFonts w:hint="default"/>
        </w:rPr>
      </w:lvl>
    </w:lvlOverride>
    <w:lvlOverride w:ilvl="1">
      <w:lvl w:ilvl="1" w:tplc="FFFFFFFF">
        <w:start w:val="1"/>
        <w:numFmt w:val="lowerLetter"/>
        <w:lvlText w:val="%2."/>
        <w:lvlJc w:val="left"/>
        <w:pPr>
          <w:ind w:left="1440" w:hanging="360"/>
        </w:pPr>
      </w:lvl>
    </w:lvlOverride>
    <w:lvlOverride w:ilvl="2">
      <w:lvl w:ilvl="2" w:tplc="2036389C">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GB" w:vendorID="64" w:dllVersion="131078" w:nlCheck="1" w:checkStyle="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25146"/>
    <w:rsid w:val="0003582E"/>
    <w:rsid w:val="00043D75"/>
    <w:rsid w:val="00051403"/>
    <w:rsid w:val="00053529"/>
    <w:rsid w:val="00054393"/>
    <w:rsid w:val="00057000"/>
    <w:rsid w:val="000640E0"/>
    <w:rsid w:val="00086D80"/>
    <w:rsid w:val="000966A8"/>
    <w:rsid w:val="000A0A5C"/>
    <w:rsid w:val="000A5CA2"/>
    <w:rsid w:val="000C0BF9"/>
    <w:rsid w:val="000C4D48"/>
    <w:rsid w:val="000D52D3"/>
    <w:rsid w:val="000E3C61"/>
    <w:rsid w:val="000E3E55"/>
    <w:rsid w:val="000E6083"/>
    <w:rsid w:val="000E6125"/>
    <w:rsid w:val="000F7966"/>
    <w:rsid w:val="00100BAF"/>
    <w:rsid w:val="00111D08"/>
    <w:rsid w:val="00113DBE"/>
    <w:rsid w:val="001200A6"/>
    <w:rsid w:val="001251DA"/>
    <w:rsid w:val="00125432"/>
    <w:rsid w:val="00126371"/>
    <w:rsid w:val="00136DDD"/>
    <w:rsid w:val="00137E9D"/>
    <w:rsid w:val="00137F40"/>
    <w:rsid w:val="00144BDF"/>
    <w:rsid w:val="0015533D"/>
    <w:rsid w:val="00155DDC"/>
    <w:rsid w:val="00161609"/>
    <w:rsid w:val="001659C0"/>
    <w:rsid w:val="001668CC"/>
    <w:rsid w:val="0018363F"/>
    <w:rsid w:val="001871EC"/>
    <w:rsid w:val="001A20C3"/>
    <w:rsid w:val="001A670F"/>
    <w:rsid w:val="001B385C"/>
    <w:rsid w:val="001B3A09"/>
    <w:rsid w:val="001B6A45"/>
    <w:rsid w:val="001C021D"/>
    <w:rsid w:val="001C1003"/>
    <w:rsid w:val="001C62B8"/>
    <w:rsid w:val="001D22D8"/>
    <w:rsid w:val="001D4296"/>
    <w:rsid w:val="001E60B1"/>
    <w:rsid w:val="001E7B0E"/>
    <w:rsid w:val="001F141D"/>
    <w:rsid w:val="001F7723"/>
    <w:rsid w:val="00200A06"/>
    <w:rsid w:val="00200A98"/>
    <w:rsid w:val="00201AFA"/>
    <w:rsid w:val="00203957"/>
    <w:rsid w:val="00206CDF"/>
    <w:rsid w:val="002140DC"/>
    <w:rsid w:val="002229F1"/>
    <w:rsid w:val="00233F75"/>
    <w:rsid w:val="00236B6E"/>
    <w:rsid w:val="00243C1B"/>
    <w:rsid w:val="00253DBE"/>
    <w:rsid w:val="00253DC6"/>
    <w:rsid w:val="0025489C"/>
    <w:rsid w:val="002622FA"/>
    <w:rsid w:val="00263518"/>
    <w:rsid w:val="00264BEA"/>
    <w:rsid w:val="002759E7"/>
    <w:rsid w:val="00277326"/>
    <w:rsid w:val="00277BD6"/>
    <w:rsid w:val="002A11C4"/>
    <w:rsid w:val="002A399B"/>
    <w:rsid w:val="002B7258"/>
    <w:rsid w:val="002C26C0"/>
    <w:rsid w:val="002C2BC5"/>
    <w:rsid w:val="002C4625"/>
    <w:rsid w:val="002E0407"/>
    <w:rsid w:val="002E79CB"/>
    <w:rsid w:val="002F0471"/>
    <w:rsid w:val="002F0E87"/>
    <w:rsid w:val="002F1714"/>
    <w:rsid w:val="002F718F"/>
    <w:rsid w:val="002F7F55"/>
    <w:rsid w:val="0030745F"/>
    <w:rsid w:val="00307EF1"/>
    <w:rsid w:val="00312768"/>
    <w:rsid w:val="00314630"/>
    <w:rsid w:val="0032090A"/>
    <w:rsid w:val="00321CDE"/>
    <w:rsid w:val="0032611A"/>
    <w:rsid w:val="00332FB6"/>
    <w:rsid w:val="00333E15"/>
    <w:rsid w:val="00336378"/>
    <w:rsid w:val="00350C05"/>
    <w:rsid w:val="00356AE3"/>
    <w:rsid w:val="003571BC"/>
    <w:rsid w:val="0036090C"/>
    <w:rsid w:val="00364979"/>
    <w:rsid w:val="00372234"/>
    <w:rsid w:val="003743D8"/>
    <w:rsid w:val="00375860"/>
    <w:rsid w:val="00385B9C"/>
    <w:rsid w:val="00385FB5"/>
    <w:rsid w:val="0038715D"/>
    <w:rsid w:val="00392E84"/>
    <w:rsid w:val="00394DBF"/>
    <w:rsid w:val="003957A6"/>
    <w:rsid w:val="003A38AE"/>
    <w:rsid w:val="003A43EF"/>
    <w:rsid w:val="003B60A2"/>
    <w:rsid w:val="003B784F"/>
    <w:rsid w:val="003C1AF9"/>
    <w:rsid w:val="003C7445"/>
    <w:rsid w:val="003D0D72"/>
    <w:rsid w:val="003E39A2"/>
    <w:rsid w:val="003E57AB"/>
    <w:rsid w:val="003F1D47"/>
    <w:rsid w:val="003F2BED"/>
    <w:rsid w:val="003F7960"/>
    <w:rsid w:val="00400B49"/>
    <w:rsid w:val="00443878"/>
    <w:rsid w:val="00446478"/>
    <w:rsid w:val="004539A8"/>
    <w:rsid w:val="0046125C"/>
    <w:rsid w:val="0046397F"/>
    <w:rsid w:val="004712CA"/>
    <w:rsid w:val="00473213"/>
    <w:rsid w:val="0047422E"/>
    <w:rsid w:val="00476312"/>
    <w:rsid w:val="00480FBB"/>
    <w:rsid w:val="00486429"/>
    <w:rsid w:val="0049674B"/>
    <w:rsid w:val="004A27E7"/>
    <w:rsid w:val="004B22F6"/>
    <w:rsid w:val="004C0673"/>
    <w:rsid w:val="004C4E4E"/>
    <w:rsid w:val="004E5864"/>
    <w:rsid w:val="004E68E7"/>
    <w:rsid w:val="004F3816"/>
    <w:rsid w:val="004F3BFE"/>
    <w:rsid w:val="004F500A"/>
    <w:rsid w:val="00501AB7"/>
    <w:rsid w:val="005126A0"/>
    <w:rsid w:val="005179E9"/>
    <w:rsid w:val="00543D41"/>
    <w:rsid w:val="00545472"/>
    <w:rsid w:val="005461F9"/>
    <w:rsid w:val="0055262F"/>
    <w:rsid w:val="00554FB0"/>
    <w:rsid w:val="005571A4"/>
    <w:rsid w:val="00560F12"/>
    <w:rsid w:val="00566EDA"/>
    <w:rsid w:val="0057081A"/>
    <w:rsid w:val="00572654"/>
    <w:rsid w:val="005969D2"/>
    <w:rsid w:val="005976A1"/>
    <w:rsid w:val="005A34E7"/>
    <w:rsid w:val="005B5629"/>
    <w:rsid w:val="005C0300"/>
    <w:rsid w:val="005C27A2"/>
    <w:rsid w:val="005D4FEB"/>
    <w:rsid w:val="005D65ED"/>
    <w:rsid w:val="005D6F6E"/>
    <w:rsid w:val="005E0E6C"/>
    <w:rsid w:val="005F388A"/>
    <w:rsid w:val="005F4B6A"/>
    <w:rsid w:val="005F69D0"/>
    <w:rsid w:val="006010F3"/>
    <w:rsid w:val="006108F6"/>
    <w:rsid w:val="00615A0A"/>
    <w:rsid w:val="00615CD5"/>
    <w:rsid w:val="006332AD"/>
    <w:rsid w:val="006333D4"/>
    <w:rsid w:val="00633A7B"/>
    <w:rsid w:val="006369B2"/>
    <w:rsid w:val="0063718D"/>
    <w:rsid w:val="00647525"/>
    <w:rsid w:val="00647A71"/>
    <w:rsid w:val="0065002B"/>
    <w:rsid w:val="006530A8"/>
    <w:rsid w:val="006570B0"/>
    <w:rsid w:val="0066022F"/>
    <w:rsid w:val="00670300"/>
    <w:rsid w:val="006823F3"/>
    <w:rsid w:val="0069210B"/>
    <w:rsid w:val="00695DD7"/>
    <w:rsid w:val="00696A86"/>
    <w:rsid w:val="006A4055"/>
    <w:rsid w:val="006A7C27"/>
    <w:rsid w:val="006B2701"/>
    <w:rsid w:val="006B2FE4"/>
    <w:rsid w:val="006B37B0"/>
    <w:rsid w:val="006B6B3A"/>
    <w:rsid w:val="006C4233"/>
    <w:rsid w:val="006C5641"/>
    <w:rsid w:val="006D1089"/>
    <w:rsid w:val="006D1B86"/>
    <w:rsid w:val="006D7355"/>
    <w:rsid w:val="006E1164"/>
    <w:rsid w:val="006E38D7"/>
    <w:rsid w:val="006F31A2"/>
    <w:rsid w:val="006F7DEE"/>
    <w:rsid w:val="00707DF2"/>
    <w:rsid w:val="00715CA6"/>
    <w:rsid w:val="00721142"/>
    <w:rsid w:val="00725BB9"/>
    <w:rsid w:val="00731135"/>
    <w:rsid w:val="007324AF"/>
    <w:rsid w:val="007409B4"/>
    <w:rsid w:val="00741974"/>
    <w:rsid w:val="00745FE2"/>
    <w:rsid w:val="0075525E"/>
    <w:rsid w:val="00756D3D"/>
    <w:rsid w:val="00766DC2"/>
    <w:rsid w:val="007806C2"/>
    <w:rsid w:val="00781FEE"/>
    <w:rsid w:val="007903F8"/>
    <w:rsid w:val="00794F4F"/>
    <w:rsid w:val="007974BE"/>
    <w:rsid w:val="007A0916"/>
    <w:rsid w:val="007A0DFD"/>
    <w:rsid w:val="007A2DAB"/>
    <w:rsid w:val="007A479D"/>
    <w:rsid w:val="007B41D4"/>
    <w:rsid w:val="007C39BF"/>
    <w:rsid w:val="007C7122"/>
    <w:rsid w:val="007D0B74"/>
    <w:rsid w:val="007D2282"/>
    <w:rsid w:val="007D38AA"/>
    <w:rsid w:val="007D3F11"/>
    <w:rsid w:val="007E2C69"/>
    <w:rsid w:val="007E53E4"/>
    <w:rsid w:val="007E656A"/>
    <w:rsid w:val="007F3CAA"/>
    <w:rsid w:val="007F664D"/>
    <w:rsid w:val="00816902"/>
    <w:rsid w:val="00837203"/>
    <w:rsid w:val="00842137"/>
    <w:rsid w:val="00853F5F"/>
    <w:rsid w:val="00855E05"/>
    <w:rsid w:val="00856C7A"/>
    <w:rsid w:val="008623ED"/>
    <w:rsid w:val="0087012B"/>
    <w:rsid w:val="0087586E"/>
    <w:rsid w:val="00875AA6"/>
    <w:rsid w:val="008762F5"/>
    <w:rsid w:val="00880181"/>
    <w:rsid w:val="00880944"/>
    <w:rsid w:val="0089088E"/>
    <w:rsid w:val="00891C17"/>
    <w:rsid w:val="00892297"/>
    <w:rsid w:val="008964D6"/>
    <w:rsid w:val="008A33E3"/>
    <w:rsid w:val="008A37B5"/>
    <w:rsid w:val="008A3B8D"/>
    <w:rsid w:val="008B5123"/>
    <w:rsid w:val="008C42E8"/>
    <w:rsid w:val="008C6CCD"/>
    <w:rsid w:val="008E0172"/>
    <w:rsid w:val="008E5389"/>
    <w:rsid w:val="008E76FB"/>
    <w:rsid w:val="008E7F65"/>
    <w:rsid w:val="008F2687"/>
    <w:rsid w:val="009049E9"/>
    <w:rsid w:val="00905A1F"/>
    <w:rsid w:val="0091458E"/>
    <w:rsid w:val="00927CE0"/>
    <w:rsid w:val="0093032E"/>
    <w:rsid w:val="009341D1"/>
    <w:rsid w:val="00934B2F"/>
    <w:rsid w:val="00936852"/>
    <w:rsid w:val="00937E9F"/>
    <w:rsid w:val="0094045D"/>
    <w:rsid w:val="009406B5"/>
    <w:rsid w:val="00940ADC"/>
    <w:rsid w:val="00941ADC"/>
    <w:rsid w:val="00946166"/>
    <w:rsid w:val="00954C60"/>
    <w:rsid w:val="00982C17"/>
    <w:rsid w:val="00983164"/>
    <w:rsid w:val="00993015"/>
    <w:rsid w:val="009972EF"/>
    <w:rsid w:val="009B5035"/>
    <w:rsid w:val="009C3160"/>
    <w:rsid w:val="009D0F99"/>
    <w:rsid w:val="009D644B"/>
    <w:rsid w:val="009E766E"/>
    <w:rsid w:val="009F1960"/>
    <w:rsid w:val="009F4B1A"/>
    <w:rsid w:val="009F6172"/>
    <w:rsid w:val="009F715E"/>
    <w:rsid w:val="009F7A27"/>
    <w:rsid w:val="00A10DBB"/>
    <w:rsid w:val="00A11720"/>
    <w:rsid w:val="00A21247"/>
    <w:rsid w:val="00A31D47"/>
    <w:rsid w:val="00A4013E"/>
    <w:rsid w:val="00A4045F"/>
    <w:rsid w:val="00A427CD"/>
    <w:rsid w:val="00A45FEE"/>
    <w:rsid w:val="00A4600B"/>
    <w:rsid w:val="00A50506"/>
    <w:rsid w:val="00A51EF0"/>
    <w:rsid w:val="00A67A81"/>
    <w:rsid w:val="00A730A6"/>
    <w:rsid w:val="00A90478"/>
    <w:rsid w:val="00A96899"/>
    <w:rsid w:val="00A971A0"/>
    <w:rsid w:val="00AA1186"/>
    <w:rsid w:val="00AA1F22"/>
    <w:rsid w:val="00AA3BB5"/>
    <w:rsid w:val="00AB01F9"/>
    <w:rsid w:val="00B04D26"/>
    <w:rsid w:val="00B05102"/>
    <w:rsid w:val="00B05821"/>
    <w:rsid w:val="00B06B11"/>
    <w:rsid w:val="00B100D6"/>
    <w:rsid w:val="00B164C9"/>
    <w:rsid w:val="00B17AFD"/>
    <w:rsid w:val="00B26698"/>
    <w:rsid w:val="00B26C28"/>
    <w:rsid w:val="00B329F3"/>
    <w:rsid w:val="00B371CA"/>
    <w:rsid w:val="00B4174C"/>
    <w:rsid w:val="00B43819"/>
    <w:rsid w:val="00B453F5"/>
    <w:rsid w:val="00B461ED"/>
    <w:rsid w:val="00B61624"/>
    <w:rsid w:val="00B66481"/>
    <w:rsid w:val="00B7189C"/>
    <w:rsid w:val="00B718A5"/>
    <w:rsid w:val="00B8018C"/>
    <w:rsid w:val="00B852F9"/>
    <w:rsid w:val="00BA788A"/>
    <w:rsid w:val="00BB4983"/>
    <w:rsid w:val="00BB7597"/>
    <w:rsid w:val="00BC62E2"/>
    <w:rsid w:val="00BE1D6F"/>
    <w:rsid w:val="00BE31C0"/>
    <w:rsid w:val="00BF23F9"/>
    <w:rsid w:val="00C042BC"/>
    <w:rsid w:val="00C42125"/>
    <w:rsid w:val="00C468BD"/>
    <w:rsid w:val="00C51651"/>
    <w:rsid w:val="00C60FDD"/>
    <w:rsid w:val="00C62814"/>
    <w:rsid w:val="00C65E9E"/>
    <w:rsid w:val="00C668D6"/>
    <w:rsid w:val="00C67B25"/>
    <w:rsid w:val="00C748F7"/>
    <w:rsid w:val="00C74937"/>
    <w:rsid w:val="00C76C68"/>
    <w:rsid w:val="00C9113F"/>
    <w:rsid w:val="00CA752B"/>
    <w:rsid w:val="00CB2599"/>
    <w:rsid w:val="00CC0FCE"/>
    <w:rsid w:val="00CC386F"/>
    <w:rsid w:val="00CD2139"/>
    <w:rsid w:val="00CE059D"/>
    <w:rsid w:val="00CE157D"/>
    <w:rsid w:val="00CE4F13"/>
    <w:rsid w:val="00CE5986"/>
    <w:rsid w:val="00D0291D"/>
    <w:rsid w:val="00D26477"/>
    <w:rsid w:val="00D349A8"/>
    <w:rsid w:val="00D44AE7"/>
    <w:rsid w:val="00D45894"/>
    <w:rsid w:val="00D5038B"/>
    <w:rsid w:val="00D647EF"/>
    <w:rsid w:val="00D65662"/>
    <w:rsid w:val="00D73137"/>
    <w:rsid w:val="00D977A2"/>
    <w:rsid w:val="00DA1D47"/>
    <w:rsid w:val="00DA4E91"/>
    <w:rsid w:val="00DB0706"/>
    <w:rsid w:val="00DB2539"/>
    <w:rsid w:val="00DD1347"/>
    <w:rsid w:val="00DD50DE"/>
    <w:rsid w:val="00DE3062"/>
    <w:rsid w:val="00DE7763"/>
    <w:rsid w:val="00DF3483"/>
    <w:rsid w:val="00E001CE"/>
    <w:rsid w:val="00E0581D"/>
    <w:rsid w:val="00E1270E"/>
    <w:rsid w:val="00E1590B"/>
    <w:rsid w:val="00E204DD"/>
    <w:rsid w:val="00E228B7"/>
    <w:rsid w:val="00E353EC"/>
    <w:rsid w:val="00E426C8"/>
    <w:rsid w:val="00E46BCC"/>
    <w:rsid w:val="00E51F61"/>
    <w:rsid w:val="00E53C24"/>
    <w:rsid w:val="00E557CE"/>
    <w:rsid w:val="00E56E77"/>
    <w:rsid w:val="00E61C1E"/>
    <w:rsid w:val="00E72F99"/>
    <w:rsid w:val="00EA0BE7"/>
    <w:rsid w:val="00EB444D"/>
    <w:rsid w:val="00EC33B0"/>
    <w:rsid w:val="00EC679B"/>
    <w:rsid w:val="00EE178A"/>
    <w:rsid w:val="00EE1A06"/>
    <w:rsid w:val="00EE5C0D"/>
    <w:rsid w:val="00EE6166"/>
    <w:rsid w:val="00EF2757"/>
    <w:rsid w:val="00EF4792"/>
    <w:rsid w:val="00F02294"/>
    <w:rsid w:val="00F03EA6"/>
    <w:rsid w:val="00F20F44"/>
    <w:rsid w:val="00F27B32"/>
    <w:rsid w:val="00F30DE7"/>
    <w:rsid w:val="00F318C5"/>
    <w:rsid w:val="00F35F57"/>
    <w:rsid w:val="00F36F13"/>
    <w:rsid w:val="00F50467"/>
    <w:rsid w:val="00F53EF3"/>
    <w:rsid w:val="00F562A0"/>
    <w:rsid w:val="00F57FA4"/>
    <w:rsid w:val="00F62D83"/>
    <w:rsid w:val="00F8121B"/>
    <w:rsid w:val="00F902D4"/>
    <w:rsid w:val="00F971EE"/>
    <w:rsid w:val="00FA02CB"/>
    <w:rsid w:val="00FA2177"/>
    <w:rsid w:val="00FA3470"/>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0A0E"/>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超?级链,CEO_Hyperlink,Style 58,超????,하이퍼링크2"/>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Title">
    <w:name w:val="Title"/>
    <w:basedOn w:val="Normal"/>
    <w:next w:val="Normal"/>
    <w:link w:val="TitleChar"/>
    <w:uiPriority w:val="10"/>
    <w:qFormat/>
    <w:rsid w:val="0081690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902"/>
    <w:rPr>
      <w:rFonts w:asciiTheme="majorHAnsi" w:eastAsiaTheme="majorEastAsia" w:hAnsiTheme="majorHAnsi" w:cstheme="majorBidi"/>
      <w:spacing w:val="-10"/>
      <w:kern w:val="28"/>
      <w:sz w:val="56"/>
      <w:szCs w:val="56"/>
      <w:lang w:val="en-GB" w:eastAsia="ja-JP"/>
    </w:rPr>
  </w:style>
  <w:style w:type="character" w:customStyle="1" w:styleId="ListParagraphChar">
    <w:name w:val="List Paragraph Char"/>
    <w:link w:val="ListParagraph"/>
    <w:uiPriority w:val="34"/>
    <w:qFormat/>
    <w:locked/>
    <w:rsid w:val="00816902"/>
    <w:rPr>
      <w:lang w:val="en-GB" w:eastAsia="ja-JP"/>
    </w:rPr>
  </w:style>
  <w:style w:type="paragraph" w:styleId="ListParagraph">
    <w:name w:val="List Paragraph"/>
    <w:basedOn w:val="Normal"/>
    <w:link w:val="ListParagraphChar"/>
    <w:uiPriority w:val="34"/>
    <w:qFormat/>
    <w:rsid w:val="00816902"/>
    <w:pPr>
      <w:spacing w:before="0"/>
      <w:ind w:left="720"/>
    </w:pPr>
    <w:rPr>
      <w:rFonts w:asciiTheme="minorHAnsi" w:hAnsiTheme="minorHAnsi" w:cstheme="minorBidi"/>
      <w:sz w:val="22"/>
      <w:szCs w:val="22"/>
    </w:rPr>
  </w:style>
  <w:style w:type="character" w:customStyle="1" w:styleId="enumlev1Char">
    <w:name w:val="enumlev1 Char"/>
    <w:link w:val="enumlev1"/>
    <w:locked/>
    <w:rsid w:val="00816902"/>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816902"/>
  </w:style>
  <w:style w:type="character" w:customStyle="1" w:styleId="viiyi">
    <w:name w:val="viiyi"/>
    <w:basedOn w:val="DefaultParagraphFont"/>
    <w:rsid w:val="00816902"/>
  </w:style>
  <w:style w:type="character" w:customStyle="1" w:styleId="UnresolvedMention1">
    <w:name w:val="Unresolved Mention1"/>
    <w:basedOn w:val="DefaultParagraphFont"/>
    <w:uiPriority w:val="99"/>
    <w:semiHidden/>
    <w:unhideWhenUsed/>
    <w:rsid w:val="002B7258"/>
    <w:rPr>
      <w:color w:val="605E5C"/>
      <w:shd w:val="clear" w:color="auto" w:fill="E1DFDD"/>
    </w:rPr>
  </w:style>
  <w:style w:type="character" w:styleId="FollowedHyperlink">
    <w:name w:val="FollowedHyperlink"/>
    <w:basedOn w:val="DefaultParagraphFont"/>
    <w:uiPriority w:val="99"/>
    <w:semiHidden/>
    <w:unhideWhenUsed/>
    <w:rsid w:val="00C60FDD"/>
    <w:rPr>
      <w:color w:val="954F72" w:themeColor="followedHyperlink"/>
      <w:u w:val="single"/>
    </w:rPr>
  </w:style>
  <w:style w:type="paragraph" w:styleId="Revision">
    <w:name w:val="Revision"/>
    <w:hidden/>
    <w:uiPriority w:val="99"/>
    <w:semiHidden/>
    <w:rsid w:val="00B43819"/>
    <w:pPr>
      <w:spacing w:after="0" w:line="240" w:lineRule="auto"/>
    </w:pPr>
    <w:rPr>
      <w:rFonts w:ascii="Times New Roman" w:hAnsi="Times New Roman" w:cs="Times New Roman"/>
      <w:sz w:val="24"/>
      <w:szCs w:val="24"/>
      <w:lang w:val="en-GB" w:eastAsia="ja-JP"/>
    </w:rPr>
  </w:style>
  <w:style w:type="paragraph" w:styleId="FootnoteText">
    <w:name w:val="footnote text"/>
    <w:basedOn w:val="Normal"/>
    <w:link w:val="FootnoteTextChar"/>
    <w:uiPriority w:val="99"/>
    <w:semiHidden/>
    <w:unhideWhenUsed/>
    <w:rsid w:val="00E001CE"/>
    <w:pPr>
      <w:spacing w:before="0"/>
    </w:pPr>
    <w:rPr>
      <w:sz w:val="20"/>
      <w:szCs w:val="20"/>
    </w:rPr>
  </w:style>
  <w:style w:type="character" w:customStyle="1" w:styleId="FootnoteTextChar">
    <w:name w:val="Footnote Text Char"/>
    <w:basedOn w:val="DefaultParagraphFont"/>
    <w:link w:val="FootnoteText"/>
    <w:uiPriority w:val="99"/>
    <w:semiHidden/>
    <w:rsid w:val="00E001C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E00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F404F9"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F404F9"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F4BFF96DDF984974AC574373254A7AC1"/>
        <w:category>
          <w:name w:val="General"/>
          <w:gallery w:val="placeholder"/>
        </w:category>
        <w:types>
          <w:type w:val="bbPlcHdr"/>
        </w:types>
        <w:behaviors>
          <w:behavior w:val="content"/>
        </w:behaviors>
        <w:guid w:val="{D5C60EBC-3282-40E1-80FC-D980DC186DCA}"/>
      </w:docPartPr>
      <w:docPartBody>
        <w:p w:rsidR="00574D20" w:rsidRDefault="00F404F9" w:rsidP="00F404F9">
          <w:pPr>
            <w:pStyle w:val="F4BFF96DDF984974AC574373254A7AC1"/>
          </w:pPr>
          <w:r>
            <w:rPr>
              <w:rStyle w:val="PlaceholderText"/>
            </w:rPr>
            <w:t>Click here to enter text.</w:t>
          </w:r>
        </w:p>
      </w:docPartBody>
    </w:docPart>
    <w:docPart>
      <w:docPartPr>
        <w:name w:val="05A04FBDA3714B77B322C18203C04D4D"/>
        <w:category>
          <w:name w:val="General"/>
          <w:gallery w:val="placeholder"/>
        </w:category>
        <w:types>
          <w:type w:val="bbPlcHdr"/>
        </w:types>
        <w:behaviors>
          <w:behavior w:val="content"/>
        </w:behaviors>
        <w:guid w:val="{3EA88DED-4FE0-4AA5-BEEA-20AF5F5423A2}"/>
      </w:docPartPr>
      <w:docPartBody>
        <w:p w:rsidR="00574D20" w:rsidRDefault="00F404F9" w:rsidP="00F404F9">
          <w:pPr>
            <w:pStyle w:val="05A04FBDA3714B77B322C18203C04D4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345BBE"/>
    <w:rsid w:val="00420748"/>
    <w:rsid w:val="00574D20"/>
    <w:rsid w:val="005D2410"/>
    <w:rsid w:val="008F2CE8"/>
    <w:rsid w:val="00AD4540"/>
    <w:rsid w:val="00E93320"/>
    <w:rsid w:val="00F404F9"/>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4F9"/>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F4BFF96DDF984974AC574373254A7AC1">
    <w:name w:val="F4BFF96DDF984974AC574373254A7AC1"/>
    <w:rsid w:val="00F404F9"/>
  </w:style>
  <w:style w:type="paragraph" w:customStyle="1" w:styleId="05A04FBDA3714B77B322C18203C04D4D">
    <w:name w:val="05A04FBDA3714B77B322C18203C04D4D"/>
    <w:rsid w:val="00F40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The November 2021 meeting of the TSAG Rapporteur Group on Work Programme and Study Group Structure (RG-WP) discussed the draft action plan contained T17-TSAGRGM-RGWP-211122-TD-0003 (https://extranet.itu.int/meetings/ITU-T/T17-TSAGRGM/RGWP-211122/TDs/T17-TSAGRGM-RGWP-211122-TD-0003.docx ) and updated that draft plan.
The present document reflects the results of that RG-WP meeting and January 2022 TSAG meeting.</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Virtual, 10 January 2022</Place>
    <IsTooLateSubmitted xmlns="3f6fad35-1f81-480e-a4e5-6e5474dcfb96">false</IsTooLateSubmitted>
    <Observations xmlns="3f6fad35-1f81-480e-a4e5-6e5474dcfb96" xsi:nil="true"/>
    <DocumentSource xmlns="3f6fad35-1f81-480e-a4e5-6e5474dcfb96">Editor</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3f6fad35-1f81-480e-a4e5-6e5474dcfb96"/>
    <ds:schemaRef ds:uri="http://schemas.openxmlformats.org/package/2006/metadata/core-properties"/>
    <ds:schemaRef ds:uri="http://schemas.microsoft.com/office/2006/documentManagement/types"/>
    <ds:schemaRef ds:uri="http://schemas.microsoft.com/sharepoint.v3"/>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B2559-5C27-4761-AD8A-5A6EAAF8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2042</Words>
  <Characters>11640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DRAFT Action plan for the analysis of ITU-T study group restructuring</vt:lpstr>
    </vt:vector>
  </TitlesOfParts>
  <Manager>ITU-T</Manager>
  <Company>International Telecommunication Union (ITU)</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Action plan for the analysis of ITU-T study group restructuring</dc:title>
  <dc:subject/>
  <dc:creator>Editor</dc:creator>
  <cp:keywords>Restructuring; Rapporteur Group on Work Programme and Study Group Structure (RG-WP);</cp:keywords>
  <dc:description>TSAG-TD1237  For: Virtual, 10-17 January 2022_x000d_Document date: _x000d_Saved by R01 at 13:31:22 on 29.11.2021</dc:description>
  <cp:lastModifiedBy>Al-Mnini, Lara</cp:lastModifiedBy>
  <cp:revision>2</cp:revision>
  <cp:lastPrinted>2022-01-13T09:32:00Z</cp:lastPrinted>
  <dcterms:created xsi:type="dcterms:W3CDTF">2022-01-13T11:44:00Z</dcterms:created>
  <dcterms:modified xsi:type="dcterms:W3CDTF">2022-01-13T11:44:00Z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TSAG-TD1237</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10-17 January 2022</vt:lpwstr>
  </property>
  <property fmtid="{D5CDD505-2E9C-101B-9397-08002B2CF9AE}" pid="7" name="Docauthor">
    <vt:lpwstr>Editor</vt:lpwstr>
  </property>
</Properties>
</file>