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2F396B" w:rsidRPr="00DB3EB3" w:rsidTr="00905238">
        <w:trPr>
          <w:cantSplit/>
        </w:trPr>
        <w:tc>
          <w:tcPr>
            <w:tcW w:w="1418" w:type="dxa"/>
            <w:vAlign w:val="center"/>
          </w:tcPr>
          <w:p w:rsidR="002F396B" w:rsidRPr="00DB3EB3" w:rsidRDefault="002F396B" w:rsidP="00905238">
            <w:pPr>
              <w:tabs>
                <w:tab w:val="right" w:pos="8732"/>
              </w:tabs>
              <w:spacing w:before="0"/>
              <w:rPr>
                <w:b/>
                <w:bCs/>
                <w:iCs/>
                <w:color w:val="FFFFFF"/>
                <w:sz w:val="30"/>
                <w:szCs w:val="30"/>
              </w:rPr>
            </w:pPr>
            <w:r w:rsidRPr="00DB3EB3">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2F396B" w:rsidRPr="00DB3EB3" w:rsidRDefault="002F396B" w:rsidP="00905238">
            <w:pPr>
              <w:spacing w:before="0"/>
              <w:rPr>
                <w:rFonts w:cs="Times New Roman Bold"/>
                <w:b/>
                <w:bCs/>
                <w:smallCaps/>
                <w:sz w:val="26"/>
                <w:szCs w:val="26"/>
              </w:rPr>
            </w:pPr>
            <w:r w:rsidRPr="00DB3EB3">
              <w:rPr>
                <w:rFonts w:cs="Times New Roman Bold"/>
                <w:b/>
                <w:bCs/>
                <w:smallCaps/>
                <w:sz w:val="36"/>
                <w:szCs w:val="36"/>
              </w:rPr>
              <w:t>Unión Internacional de Telecomunicaciones</w:t>
            </w:r>
          </w:p>
          <w:p w:rsidR="002F396B" w:rsidRPr="00DB3EB3" w:rsidRDefault="002F396B" w:rsidP="00905238">
            <w:pPr>
              <w:tabs>
                <w:tab w:val="right" w:pos="8732"/>
              </w:tabs>
              <w:spacing w:before="0"/>
              <w:rPr>
                <w:b/>
                <w:bCs/>
                <w:iCs/>
                <w:color w:val="FFFFFF"/>
                <w:sz w:val="30"/>
                <w:szCs w:val="30"/>
              </w:rPr>
            </w:pPr>
            <w:r w:rsidRPr="00DB3EB3">
              <w:rPr>
                <w:rFonts w:cs="Times New Roman Bold"/>
                <w:b/>
                <w:bCs/>
                <w:iCs/>
                <w:smallCaps/>
                <w:sz w:val="28"/>
                <w:szCs w:val="28"/>
              </w:rPr>
              <w:t>Oficina de Normalización de las Telecomunicaciones</w:t>
            </w:r>
          </w:p>
        </w:tc>
        <w:tc>
          <w:tcPr>
            <w:tcW w:w="1984" w:type="dxa"/>
            <w:vAlign w:val="center"/>
          </w:tcPr>
          <w:p w:rsidR="002F396B" w:rsidRPr="00DB3EB3" w:rsidRDefault="002F396B" w:rsidP="00905238">
            <w:pPr>
              <w:spacing w:before="0"/>
              <w:jc w:val="right"/>
              <w:rPr>
                <w:color w:val="FFFFFF"/>
                <w:sz w:val="26"/>
                <w:szCs w:val="26"/>
              </w:rPr>
            </w:pPr>
            <w:r w:rsidRPr="00DB3EB3">
              <w:rPr>
                <w:rFonts w:cs="Calibri"/>
                <w:noProof/>
                <w:lang w:val="en-US" w:eastAsia="zh-CN"/>
              </w:rPr>
              <w:drawing>
                <wp:inline distT="0" distB="0" distL="0" distR="0" wp14:anchorId="73030643" wp14:editId="561439AA">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C34772" w:rsidRPr="00DB3EB3" w:rsidRDefault="00C34772" w:rsidP="00634D4D">
      <w:pPr>
        <w:tabs>
          <w:tab w:val="clear" w:pos="794"/>
          <w:tab w:val="clear" w:pos="1191"/>
          <w:tab w:val="clear" w:pos="1588"/>
          <w:tab w:val="clear" w:pos="1985"/>
          <w:tab w:val="left" w:pos="4962"/>
        </w:tabs>
      </w:pPr>
      <w:r w:rsidRPr="00DB3EB3">
        <w:tab/>
        <w:t>Ginebra,</w:t>
      </w:r>
      <w:r w:rsidR="00251BCD" w:rsidRPr="00DB3EB3">
        <w:t xml:space="preserve"> </w:t>
      </w:r>
      <w:r w:rsidR="00634D4D">
        <w:t>14</w:t>
      </w:r>
      <w:r w:rsidR="00811D78" w:rsidRPr="00DB3EB3">
        <w:t xml:space="preserve"> de </w:t>
      </w:r>
      <w:r w:rsidR="00634D4D">
        <w:t>diciembre</w:t>
      </w:r>
      <w:r w:rsidR="00251BCD" w:rsidRPr="00DB3EB3">
        <w:t xml:space="preserve"> de 2016</w:t>
      </w:r>
      <w:r w:rsidRPr="00DB3EB3">
        <w:t xml:space="preserve"> </w:t>
      </w:r>
    </w:p>
    <w:p w:rsidR="00C34772" w:rsidRPr="00DB3EB3" w:rsidRDefault="00C34772" w:rsidP="00E41379">
      <w:pPr>
        <w:spacing w:before="0"/>
      </w:pPr>
    </w:p>
    <w:tbl>
      <w:tblPr>
        <w:tblW w:w="10065" w:type="dxa"/>
        <w:tblInd w:w="8" w:type="dxa"/>
        <w:tblLayout w:type="fixed"/>
        <w:tblCellMar>
          <w:left w:w="0" w:type="dxa"/>
          <w:right w:w="0" w:type="dxa"/>
        </w:tblCellMar>
        <w:tblLook w:val="0000" w:firstRow="0" w:lastRow="0" w:firstColumn="0" w:lastColumn="0" w:noHBand="0" w:noVBand="0"/>
      </w:tblPr>
      <w:tblGrid>
        <w:gridCol w:w="1126"/>
        <w:gridCol w:w="3751"/>
        <w:gridCol w:w="5188"/>
      </w:tblGrid>
      <w:tr w:rsidR="00C34772" w:rsidRPr="00DB3EB3" w:rsidTr="00E70AEB">
        <w:trPr>
          <w:cantSplit/>
          <w:trHeight w:val="340"/>
        </w:trPr>
        <w:tc>
          <w:tcPr>
            <w:tcW w:w="1126" w:type="dxa"/>
          </w:tcPr>
          <w:p w:rsidR="00C34772" w:rsidRPr="00DB3EB3" w:rsidRDefault="00C34772" w:rsidP="00E41379">
            <w:pPr>
              <w:tabs>
                <w:tab w:val="left" w:pos="4111"/>
              </w:tabs>
              <w:spacing w:before="10"/>
              <w:ind w:left="57"/>
              <w:rPr>
                <w:sz w:val="22"/>
              </w:rPr>
            </w:pPr>
            <w:r w:rsidRPr="00DB3EB3">
              <w:rPr>
                <w:sz w:val="22"/>
              </w:rPr>
              <w:t>Ref.:</w:t>
            </w:r>
          </w:p>
        </w:tc>
        <w:tc>
          <w:tcPr>
            <w:tcW w:w="3751" w:type="dxa"/>
          </w:tcPr>
          <w:p w:rsidR="00C34772" w:rsidRPr="00DB3EB3" w:rsidRDefault="00251BCD" w:rsidP="00634D4D">
            <w:pPr>
              <w:tabs>
                <w:tab w:val="left" w:pos="4111"/>
              </w:tabs>
              <w:spacing w:before="0"/>
              <w:ind w:left="57"/>
              <w:rPr>
                <w:b/>
              </w:rPr>
            </w:pPr>
            <w:r w:rsidRPr="00DB3EB3">
              <w:rPr>
                <w:b/>
              </w:rPr>
              <w:t xml:space="preserve">Circular TSB </w:t>
            </w:r>
            <w:r w:rsidR="00634D4D">
              <w:rPr>
                <w:b/>
              </w:rPr>
              <w:t>3</w:t>
            </w:r>
          </w:p>
          <w:p w:rsidR="00C34772" w:rsidRPr="00DB3EB3" w:rsidRDefault="00C34772" w:rsidP="00634D4D">
            <w:pPr>
              <w:tabs>
                <w:tab w:val="left" w:pos="4111"/>
              </w:tabs>
              <w:spacing w:before="0"/>
              <w:ind w:left="57"/>
            </w:pPr>
          </w:p>
        </w:tc>
        <w:tc>
          <w:tcPr>
            <w:tcW w:w="5188" w:type="dxa"/>
          </w:tcPr>
          <w:p w:rsidR="00C34772" w:rsidRDefault="00C34772" w:rsidP="007F76FC">
            <w:pPr>
              <w:tabs>
                <w:tab w:val="clear" w:pos="794"/>
                <w:tab w:val="left" w:pos="226"/>
                <w:tab w:val="left" w:pos="4111"/>
              </w:tabs>
              <w:spacing w:before="0"/>
              <w:ind w:left="226" w:hanging="226"/>
            </w:pPr>
            <w:r w:rsidRPr="00DB3EB3">
              <w:t>-</w:t>
            </w:r>
            <w:r w:rsidRPr="00DB3EB3">
              <w:tab/>
              <w:t>A las Administraciones de los Estados Miembros de la Unión</w:t>
            </w:r>
          </w:p>
          <w:p w:rsidR="00634D4D" w:rsidRPr="00DB3EB3" w:rsidRDefault="00634D4D" w:rsidP="007F76FC">
            <w:pPr>
              <w:tabs>
                <w:tab w:val="clear" w:pos="794"/>
                <w:tab w:val="left" w:pos="226"/>
                <w:tab w:val="left" w:pos="4111"/>
              </w:tabs>
              <w:spacing w:before="0"/>
            </w:pPr>
            <w:r w:rsidRPr="00DB3EB3">
              <w:t>-</w:t>
            </w:r>
            <w:r w:rsidRPr="00DB3EB3">
              <w:tab/>
              <w:t>A los Miembros del Sector UIT-T;</w:t>
            </w:r>
          </w:p>
          <w:p w:rsidR="00634D4D" w:rsidRPr="00DB3EB3" w:rsidRDefault="00634D4D" w:rsidP="007F76FC">
            <w:pPr>
              <w:tabs>
                <w:tab w:val="clear" w:pos="794"/>
                <w:tab w:val="left" w:pos="226"/>
                <w:tab w:val="left" w:pos="4111"/>
              </w:tabs>
              <w:spacing w:before="0"/>
            </w:pPr>
            <w:r w:rsidRPr="00DB3EB3">
              <w:t>-</w:t>
            </w:r>
            <w:r w:rsidRPr="00DB3EB3">
              <w:tab/>
              <w:t>A los Asociados de la CE</w:t>
            </w:r>
            <w:r>
              <w:t xml:space="preserve"> 1</w:t>
            </w:r>
            <w:r w:rsidRPr="00DB3EB3">
              <w:t>2 del UIT-T;</w:t>
            </w:r>
          </w:p>
          <w:p w:rsidR="00634D4D" w:rsidRPr="00DB3EB3" w:rsidRDefault="00634D4D" w:rsidP="007F76FC">
            <w:pPr>
              <w:tabs>
                <w:tab w:val="clear" w:pos="794"/>
                <w:tab w:val="left" w:pos="226"/>
                <w:tab w:val="left" w:pos="4111"/>
              </w:tabs>
              <w:spacing w:before="0"/>
            </w:pPr>
            <w:r w:rsidRPr="00DB3EB3">
              <w:t>-</w:t>
            </w:r>
            <w:r w:rsidRPr="00DB3EB3">
              <w:tab/>
              <w:t>A las Instituciones Académicas de la UIT</w:t>
            </w:r>
          </w:p>
        </w:tc>
      </w:tr>
      <w:tr w:rsidR="00C34772" w:rsidRPr="00DB3EB3" w:rsidTr="00E70AEB">
        <w:trPr>
          <w:cantSplit/>
        </w:trPr>
        <w:tc>
          <w:tcPr>
            <w:tcW w:w="1126" w:type="dxa"/>
          </w:tcPr>
          <w:p w:rsidR="00C34772" w:rsidRPr="00DB3EB3" w:rsidRDefault="00C34772" w:rsidP="00E41379">
            <w:pPr>
              <w:tabs>
                <w:tab w:val="left" w:pos="4111"/>
              </w:tabs>
              <w:spacing w:before="10"/>
              <w:ind w:left="57"/>
              <w:rPr>
                <w:sz w:val="22"/>
              </w:rPr>
            </w:pPr>
          </w:p>
          <w:p w:rsidR="00C34772" w:rsidRPr="00DB3EB3" w:rsidRDefault="00C34772" w:rsidP="00E41379">
            <w:pPr>
              <w:tabs>
                <w:tab w:val="left" w:pos="4111"/>
              </w:tabs>
              <w:spacing w:before="10"/>
              <w:ind w:left="57"/>
            </w:pPr>
            <w:r w:rsidRPr="00DB3EB3">
              <w:t>Tel.:</w:t>
            </w:r>
            <w:r w:rsidRPr="00DB3EB3">
              <w:br/>
              <w:t>Fax:</w:t>
            </w:r>
            <w:r w:rsidRPr="00DB3EB3">
              <w:br/>
              <w:t>Correo-e:</w:t>
            </w:r>
          </w:p>
        </w:tc>
        <w:tc>
          <w:tcPr>
            <w:tcW w:w="3751" w:type="dxa"/>
          </w:tcPr>
          <w:p w:rsidR="00C34772" w:rsidRPr="00DB3EB3" w:rsidRDefault="00C34772" w:rsidP="00E41379">
            <w:pPr>
              <w:tabs>
                <w:tab w:val="left" w:pos="4111"/>
              </w:tabs>
              <w:spacing w:before="0"/>
              <w:ind w:left="57"/>
            </w:pPr>
          </w:p>
          <w:p w:rsidR="00C34772" w:rsidRPr="00DB3EB3" w:rsidRDefault="00C34772" w:rsidP="00634D4D">
            <w:pPr>
              <w:tabs>
                <w:tab w:val="left" w:pos="4111"/>
              </w:tabs>
              <w:spacing w:before="0"/>
              <w:ind w:left="57"/>
            </w:pPr>
            <w:r w:rsidRPr="00DB3EB3">
              <w:t>+41 22 730</w:t>
            </w:r>
            <w:r w:rsidR="00251BCD" w:rsidRPr="00DB3EB3">
              <w:t xml:space="preserve"> </w:t>
            </w:r>
            <w:r w:rsidR="00634D4D">
              <w:t>6828</w:t>
            </w:r>
            <w:r w:rsidRPr="00DB3EB3">
              <w:br/>
              <w:t>+41 22 730 5853</w:t>
            </w:r>
            <w:r w:rsidRPr="00DB3EB3">
              <w:br/>
            </w:r>
            <w:hyperlink r:id="rId10" w:history="1">
              <w:r w:rsidR="00634D4D" w:rsidRPr="00EF76EF">
                <w:rPr>
                  <w:rStyle w:val="Hyperlink"/>
                </w:rPr>
                <w:t>tsbsg12@itu.int</w:t>
              </w:r>
            </w:hyperlink>
          </w:p>
        </w:tc>
        <w:tc>
          <w:tcPr>
            <w:tcW w:w="5188" w:type="dxa"/>
          </w:tcPr>
          <w:p w:rsidR="00C34772" w:rsidRPr="00DB3EB3" w:rsidRDefault="00C34772" w:rsidP="00E41379">
            <w:pPr>
              <w:tabs>
                <w:tab w:val="left" w:pos="4111"/>
              </w:tabs>
              <w:spacing w:before="0"/>
            </w:pPr>
            <w:r w:rsidRPr="00DB3EB3">
              <w:rPr>
                <w:b/>
              </w:rPr>
              <w:t>Copia</w:t>
            </w:r>
            <w:r w:rsidRPr="00DB3EB3">
              <w:t>:</w:t>
            </w:r>
          </w:p>
          <w:p w:rsidR="00C34772" w:rsidRPr="00DB3EB3" w:rsidRDefault="00C34772" w:rsidP="00634D4D">
            <w:pPr>
              <w:tabs>
                <w:tab w:val="left" w:pos="226"/>
                <w:tab w:val="left" w:pos="4111"/>
              </w:tabs>
              <w:spacing w:before="0"/>
              <w:ind w:left="226" w:hanging="226"/>
            </w:pPr>
            <w:r w:rsidRPr="00DB3EB3">
              <w:t>-</w:t>
            </w:r>
            <w:r w:rsidRPr="00DB3EB3">
              <w:tab/>
              <w:t>A</w:t>
            </w:r>
            <w:r w:rsidR="00634D4D">
              <w:t xml:space="preserve"> </w:t>
            </w:r>
            <w:r w:rsidRPr="00DB3EB3">
              <w:t>l</w:t>
            </w:r>
            <w:r w:rsidR="00634D4D">
              <w:t>os</w:t>
            </w:r>
            <w:r w:rsidRPr="00DB3EB3">
              <w:t xml:space="preserve"> Presidente</w:t>
            </w:r>
            <w:r w:rsidR="00634D4D">
              <w:t>s</w:t>
            </w:r>
            <w:r w:rsidRPr="00DB3EB3">
              <w:t xml:space="preserve"> y Vicepresidentes de la</w:t>
            </w:r>
            <w:r w:rsidR="00634D4D">
              <w:t>s</w:t>
            </w:r>
            <w:r w:rsidRPr="00DB3EB3">
              <w:t xml:space="preserve"> </w:t>
            </w:r>
            <w:r w:rsidR="00634D4D" w:rsidRPr="00DB3EB3">
              <w:t>Comision</w:t>
            </w:r>
            <w:r w:rsidR="00634D4D">
              <w:t>es</w:t>
            </w:r>
            <w:r w:rsidRPr="00DB3EB3">
              <w:t xml:space="preserve"> de Estudio </w:t>
            </w:r>
            <w:r w:rsidR="00251BCD" w:rsidRPr="00DB3EB3">
              <w:t>del UIT-T</w:t>
            </w:r>
            <w:r w:rsidRPr="00DB3EB3">
              <w:t>;</w:t>
            </w:r>
          </w:p>
          <w:p w:rsidR="00C34772" w:rsidRPr="00DB3EB3" w:rsidRDefault="00C34772" w:rsidP="00E41379">
            <w:pPr>
              <w:tabs>
                <w:tab w:val="clear" w:pos="794"/>
                <w:tab w:val="left" w:pos="218"/>
                <w:tab w:val="left" w:pos="4111"/>
              </w:tabs>
              <w:spacing w:before="0"/>
              <w:ind w:left="218" w:hanging="218"/>
            </w:pPr>
            <w:r w:rsidRPr="00DB3EB3">
              <w:t>-</w:t>
            </w:r>
            <w:r w:rsidRPr="00DB3EB3">
              <w:tab/>
              <w:t>Al Director de la Oficina de Desarrollo de las Telecomunicaciones;</w:t>
            </w:r>
          </w:p>
          <w:p w:rsidR="00C34772" w:rsidRDefault="00C34772" w:rsidP="00E41379">
            <w:pPr>
              <w:tabs>
                <w:tab w:val="clear" w:pos="794"/>
                <w:tab w:val="left" w:pos="226"/>
                <w:tab w:val="left" w:pos="4111"/>
              </w:tabs>
              <w:spacing w:before="0"/>
            </w:pPr>
            <w:r w:rsidRPr="00DB3EB3">
              <w:t>-</w:t>
            </w:r>
            <w:r w:rsidRPr="00DB3EB3">
              <w:tab/>
              <w:t>Al Director de la Oficina de Radiocomunicaciones</w:t>
            </w:r>
          </w:p>
          <w:p w:rsidR="00634D4D" w:rsidRPr="00DB3EB3" w:rsidRDefault="00634D4D" w:rsidP="00634D4D">
            <w:pPr>
              <w:tabs>
                <w:tab w:val="clear" w:pos="794"/>
                <w:tab w:val="left" w:pos="226"/>
                <w:tab w:val="left" w:pos="4111"/>
              </w:tabs>
              <w:spacing w:before="0"/>
            </w:pPr>
            <w:r w:rsidRPr="00DB3EB3">
              <w:t>-</w:t>
            </w:r>
            <w:r w:rsidRPr="00DB3EB3">
              <w:tab/>
              <w:t>A</w:t>
            </w:r>
            <w:r>
              <w:t xml:space="preserve"> los Copresidentes del </w:t>
            </w:r>
            <w:r w:rsidRPr="00634D4D">
              <w:t xml:space="preserve">Grupo de Expertos en </w:t>
            </w:r>
            <w:r>
              <w:tab/>
            </w:r>
            <w:r w:rsidRPr="00634D4D">
              <w:t>calidad vídeo (VQEG)</w:t>
            </w:r>
          </w:p>
        </w:tc>
      </w:tr>
    </w:tbl>
    <w:p w:rsidR="00C34772" w:rsidRPr="00DB3EB3" w:rsidRDefault="00C34772" w:rsidP="00E41379">
      <w:pPr>
        <w:spacing w:before="0"/>
      </w:pPr>
    </w:p>
    <w:tbl>
      <w:tblPr>
        <w:tblW w:w="10057" w:type="dxa"/>
        <w:tblInd w:w="8" w:type="dxa"/>
        <w:tblLayout w:type="fixed"/>
        <w:tblCellMar>
          <w:left w:w="0" w:type="dxa"/>
          <w:right w:w="0" w:type="dxa"/>
        </w:tblCellMar>
        <w:tblLook w:val="0000" w:firstRow="0" w:lastRow="0" w:firstColumn="0" w:lastColumn="0" w:noHBand="0" w:noVBand="0"/>
      </w:tblPr>
      <w:tblGrid>
        <w:gridCol w:w="1126"/>
        <w:gridCol w:w="8931"/>
      </w:tblGrid>
      <w:tr w:rsidR="00C34772" w:rsidRPr="00DB3EB3" w:rsidTr="00E70AEB">
        <w:trPr>
          <w:cantSplit/>
          <w:trHeight w:val="680"/>
        </w:trPr>
        <w:tc>
          <w:tcPr>
            <w:tcW w:w="1126" w:type="dxa"/>
          </w:tcPr>
          <w:p w:rsidR="00C34772" w:rsidRPr="00E70AEB" w:rsidRDefault="00C34772" w:rsidP="00E70AEB">
            <w:pPr>
              <w:tabs>
                <w:tab w:val="left" w:pos="4111"/>
              </w:tabs>
              <w:spacing w:before="10" w:after="40"/>
              <w:ind w:left="57"/>
              <w:rPr>
                <w:b/>
                <w:bCs/>
                <w:szCs w:val="24"/>
              </w:rPr>
            </w:pPr>
            <w:r w:rsidRPr="00E70AEB">
              <w:rPr>
                <w:b/>
                <w:bCs/>
                <w:szCs w:val="24"/>
              </w:rPr>
              <w:t>Asunto:</w:t>
            </w:r>
          </w:p>
        </w:tc>
        <w:tc>
          <w:tcPr>
            <w:tcW w:w="8931" w:type="dxa"/>
          </w:tcPr>
          <w:p w:rsidR="00C34772" w:rsidRPr="00DB3EB3" w:rsidRDefault="00634D4D" w:rsidP="00E70AEB">
            <w:pPr>
              <w:tabs>
                <w:tab w:val="left" w:pos="4111"/>
              </w:tabs>
              <w:spacing w:before="0" w:after="40"/>
              <w:ind w:left="57"/>
            </w:pPr>
            <w:r>
              <w:rPr>
                <w:b/>
              </w:rPr>
              <w:t xml:space="preserve">Llamada de la Comisión de Estudio 12 y del VQEG a la participación en la Fase 2 de AVHD-AS/P.NATS: </w:t>
            </w:r>
            <w:r w:rsidRPr="00634D4D">
              <w:rPr>
                <w:b/>
              </w:rPr>
              <w:t xml:space="preserve">modelo de opinión </w:t>
            </w:r>
            <w:r>
              <w:rPr>
                <w:b/>
              </w:rPr>
              <w:t xml:space="preserve">para calcular la calidad de vídeo de las aplicaciones de tipo </w:t>
            </w:r>
            <w:r w:rsidRPr="00634D4D">
              <w:rPr>
                <w:b/>
              </w:rPr>
              <w:t xml:space="preserve">flujo continuo adaptable </w:t>
            </w:r>
          </w:p>
        </w:tc>
      </w:tr>
      <w:tr w:rsidR="00634D4D" w:rsidRPr="00DB3EB3" w:rsidTr="00E70AEB">
        <w:trPr>
          <w:cantSplit/>
          <w:trHeight w:val="680"/>
        </w:trPr>
        <w:tc>
          <w:tcPr>
            <w:tcW w:w="1126" w:type="dxa"/>
          </w:tcPr>
          <w:p w:rsidR="00634D4D" w:rsidRPr="00E70AEB" w:rsidRDefault="00634D4D" w:rsidP="00E70AEB">
            <w:pPr>
              <w:tabs>
                <w:tab w:val="left" w:pos="4111"/>
              </w:tabs>
              <w:spacing w:before="40"/>
              <w:ind w:left="57"/>
              <w:rPr>
                <w:b/>
                <w:bCs/>
                <w:szCs w:val="24"/>
              </w:rPr>
            </w:pPr>
            <w:r w:rsidRPr="00E70AEB">
              <w:rPr>
                <w:b/>
                <w:bCs/>
                <w:szCs w:val="24"/>
              </w:rPr>
              <w:t>Acción:</w:t>
            </w:r>
          </w:p>
        </w:tc>
        <w:tc>
          <w:tcPr>
            <w:tcW w:w="8931" w:type="dxa"/>
          </w:tcPr>
          <w:p w:rsidR="00634D4D" w:rsidRPr="00DB3EB3" w:rsidRDefault="00634D4D" w:rsidP="00E70AEB">
            <w:pPr>
              <w:tabs>
                <w:tab w:val="left" w:pos="4111"/>
              </w:tabs>
              <w:spacing w:before="40"/>
              <w:ind w:left="57"/>
            </w:pPr>
            <w:r w:rsidRPr="00AE2412">
              <w:rPr>
                <w:bCs/>
              </w:rPr>
              <w:t>Sírvase anunciar su intención provisional de participar en el desarrollo de la Fase 2 de AVHD-AS/P.NATS</w:t>
            </w:r>
            <w:r w:rsidR="00AE2412" w:rsidRPr="00AE2412">
              <w:rPr>
                <w:bCs/>
              </w:rPr>
              <w:t xml:space="preserve"> hasta el</w:t>
            </w:r>
            <w:r w:rsidR="00AE2412">
              <w:rPr>
                <w:b/>
              </w:rPr>
              <w:t xml:space="preserve"> 9 de enero de 2017 </w:t>
            </w:r>
            <w:r w:rsidR="00AE2412" w:rsidRPr="00AE2412">
              <w:rPr>
                <w:bCs/>
              </w:rPr>
              <w:t xml:space="preserve">enviando un correo-e a la dirección </w:t>
            </w:r>
            <w:hyperlink r:id="rId11" w:history="1">
              <w:r w:rsidR="00AE2412" w:rsidRPr="00AE2412">
                <w:rPr>
                  <w:rStyle w:val="Hyperlink"/>
                  <w:bCs/>
                </w:rPr>
                <w:t>tsbsg12@itu.int</w:t>
              </w:r>
            </w:hyperlink>
            <w:r w:rsidR="00AE2412">
              <w:rPr>
                <w:b/>
              </w:rPr>
              <w:t xml:space="preserve"> </w:t>
            </w:r>
          </w:p>
        </w:tc>
      </w:tr>
    </w:tbl>
    <w:p w:rsidR="00C34772" w:rsidRPr="00DB3EB3" w:rsidRDefault="00C34772" w:rsidP="00E41379">
      <w:pPr>
        <w:spacing w:before="240"/>
      </w:pPr>
      <w:r w:rsidRPr="00DB3EB3">
        <w:t>Muy Señora mía/Muy Señor mío:</w:t>
      </w:r>
    </w:p>
    <w:p w:rsidR="00F266DB" w:rsidRDefault="00C34772" w:rsidP="00F266DB">
      <w:r w:rsidRPr="00DB3EB3">
        <w:rPr>
          <w:bCs/>
        </w:rPr>
        <w:t>1</w:t>
      </w:r>
      <w:r w:rsidRPr="00DB3EB3">
        <w:tab/>
      </w:r>
      <w:r w:rsidR="00AE2412">
        <w:t>La Cuestión 14 de la Comisión de Estudio 12 del UIT-T (</w:t>
      </w:r>
      <w:r w:rsidR="00AE2412" w:rsidRPr="00AE2412">
        <w:t>Calidad de funcionamiento, calidad de servicio y calidad percibida</w:t>
      </w:r>
      <w:r w:rsidR="00AE2412">
        <w:t xml:space="preserve">) </w:t>
      </w:r>
      <w:r w:rsidR="00F266DB">
        <w:t xml:space="preserve">tiene como objetivo acelerar la segunda fase de P.NAT, un modelo de opinión para calcular </w:t>
      </w:r>
      <w:r w:rsidR="00F266DB" w:rsidRPr="00F266DB">
        <w:t>la calidad de vídeo de las aplicaciones de tipo flujo continuo adaptable</w:t>
      </w:r>
      <w:r w:rsidR="00F266DB">
        <w:t>.</w:t>
      </w:r>
    </w:p>
    <w:p w:rsidR="00F266DB" w:rsidRDefault="00F266DB" w:rsidP="00F266DB">
      <w:r>
        <w:t>2</w:t>
      </w:r>
      <w:r>
        <w:tab/>
        <w:t xml:space="preserve">Esta labor se llevará a cabo como proyecto conjunto entre la C14/12 del UIT-T y el </w:t>
      </w:r>
      <w:r w:rsidRPr="00F266DB">
        <w:t>Grupo de Expertos en calidad vídeo (VQEG)</w:t>
      </w:r>
      <w:r>
        <w:t xml:space="preserve">, y se conocerá como Fase 2 de </w:t>
      </w:r>
      <w:r w:rsidRPr="00F266DB">
        <w:t>AVHD-AS/P.NATS</w:t>
      </w:r>
      <w:r>
        <w:t>.</w:t>
      </w:r>
    </w:p>
    <w:p w:rsidR="00F266DB" w:rsidRDefault="00F266DB" w:rsidP="00F266DB">
      <w:r>
        <w:t>3</w:t>
      </w:r>
      <w:r>
        <w:tab/>
        <w:t xml:space="preserve">En el Anexo 1 a la presente Circular se facilita el llamamiento a la participación en la </w:t>
      </w:r>
      <w:r w:rsidRPr="00F266DB">
        <w:t>Fase 2 de AVHD-AS/P.NATS</w:t>
      </w:r>
      <w:r>
        <w:t>.</w:t>
      </w:r>
    </w:p>
    <w:p w:rsidR="00F266DB" w:rsidRDefault="00F266DB" w:rsidP="00F266DB">
      <w:r>
        <w:t>4</w:t>
      </w:r>
      <w:r>
        <w:tab/>
        <w:t xml:space="preserve">Le quedaría agradecido si pudiera anunciar su intención provisional de participar en el </w:t>
      </w:r>
      <w:r w:rsidRPr="00F266DB">
        <w:t xml:space="preserve">desarrollo de la Fase 2 de AVHD-AS/P.NATS hasta el </w:t>
      </w:r>
      <w:r w:rsidRPr="00F266DB">
        <w:rPr>
          <w:b/>
          <w:bCs/>
        </w:rPr>
        <w:t>9 de enero de 2017</w:t>
      </w:r>
      <w:r w:rsidRPr="00F266DB">
        <w:t xml:space="preserve"> enviando un correo-e a la dirección </w:t>
      </w:r>
      <w:hyperlink r:id="rId12" w:history="1">
        <w:r w:rsidRPr="006D590E">
          <w:rPr>
            <w:rStyle w:val="Hyperlink"/>
          </w:rPr>
          <w:t>tsbsg12@itu.int</w:t>
        </w:r>
      </w:hyperlink>
      <w:r>
        <w:t>.</w:t>
      </w:r>
    </w:p>
    <w:p w:rsidR="00D357B0" w:rsidRPr="005100F7" w:rsidRDefault="00F266DB" w:rsidP="00F266DB">
      <w:pPr>
        <w:rPr>
          <w:sz w:val="20"/>
        </w:rPr>
      </w:pPr>
      <w:r>
        <w:t>5</w:t>
      </w:r>
      <w:r>
        <w:tab/>
        <w:t xml:space="preserve">Toda solicitud de detalles o aclaraciones respecto de este llamamiento a la participación debe enviarse al Sr. </w:t>
      </w:r>
      <w:proofErr w:type="spellStart"/>
      <w:r>
        <w:t>Jörgen</w:t>
      </w:r>
      <w:proofErr w:type="spellEnd"/>
      <w:r>
        <w:t xml:space="preserve"> </w:t>
      </w:r>
      <w:proofErr w:type="spellStart"/>
      <w:r>
        <w:t>Gustafsson</w:t>
      </w:r>
      <w:proofErr w:type="spellEnd"/>
      <w:r>
        <w:t xml:space="preserve"> (</w:t>
      </w:r>
      <w:hyperlink r:id="rId13" w:history="1">
        <w:r w:rsidRPr="006D590E">
          <w:rPr>
            <w:rStyle w:val="Hyperlink"/>
          </w:rPr>
          <w:t>jorgen.gustafsson@ericsson.com</w:t>
        </w:r>
      </w:hyperlink>
      <w:r>
        <w:t xml:space="preserve">), el Sr. Alexander </w:t>
      </w:r>
      <w:proofErr w:type="spellStart"/>
      <w:r>
        <w:t>Raake</w:t>
      </w:r>
      <w:proofErr w:type="spellEnd"/>
      <w:r>
        <w:t xml:space="preserve"> (</w:t>
      </w:r>
      <w:hyperlink r:id="rId14" w:history="1">
        <w:r w:rsidRPr="006D590E">
          <w:rPr>
            <w:rStyle w:val="Hyperlink"/>
          </w:rPr>
          <w:t>alexander.raake@tu-ilmenau.de</w:t>
        </w:r>
      </w:hyperlink>
      <w:r>
        <w:t xml:space="preserve">), el Sr. </w:t>
      </w:r>
      <w:proofErr w:type="spellStart"/>
      <w:r>
        <w:t>Shahid</w:t>
      </w:r>
      <w:proofErr w:type="spellEnd"/>
      <w:r>
        <w:t xml:space="preserve"> </w:t>
      </w:r>
      <w:proofErr w:type="spellStart"/>
      <w:r>
        <w:t>Mahmood</w:t>
      </w:r>
      <w:proofErr w:type="spellEnd"/>
      <w:r>
        <w:t xml:space="preserve"> </w:t>
      </w:r>
      <w:proofErr w:type="spellStart"/>
      <w:r>
        <w:t>Satti</w:t>
      </w:r>
      <w:proofErr w:type="spellEnd"/>
      <w:r>
        <w:t xml:space="preserve"> (</w:t>
      </w:r>
      <w:hyperlink r:id="rId15" w:history="1">
        <w:r w:rsidRPr="006D590E">
          <w:rPr>
            <w:rStyle w:val="Hyperlink"/>
          </w:rPr>
          <w:t>ss@opticom.de</w:t>
        </w:r>
      </w:hyperlink>
      <w:r>
        <w:t xml:space="preserve">) y el Sr. Silvio </w:t>
      </w:r>
      <w:proofErr w:type="spellStart"/>
      <w:r>
        <w:t>Borer</w:t>
      </w:r>
      <w:proofErr w:type="spellEnd"/>
      <w:r>
        <w:t xml:space="preserve"> (</w:t>
      </w:r>
      <w:hyperlink r:id="rId16" w:history="1">
        <w:r w:rsidRPr="006D590E">
          <w:rPr>
            <w:rStyle w:val="Hyperlink"/>
          </w:rPr>
          <w:t>Silvio.Borer@rohde-schwarz.com</w:t>
        </w:r>
      </w:hyperlink>
      <w:r>
        <w:t xml:space="preserve">). </w:t>
      </w:r>
    </w:p>
    <w:p w:rsidR="001549A6" w:rsidRPr="00DB3EB3" w:rsidRDefault="00F266DB" w:rsidP="00E70AEB">
      <w:pPr>
        <w:keepNext/>
        <w:keepLines/>
        <w:rPr>
          <w:rFonts w:ascii="Calibri" w:hAnsi="Calibri"/>
        </w:rPr>
      </w:pPr>
      <w:r>
        <w:rPr>
          <w:rFonts w:ascii="Calibri" w:hAnsi="Calibri"/>
        </w:rPr>
        <w:lastRenderedPageBreak/>
        <w:t>6</w:t>
      </w:r>
      <w:r w:rsidR="00D357B0" w:rsidRPr="00DB3EB3">
        <w:rPr>
          <w:rFonts w:ascii="Calibri" w:hAnsi="Calibri"/>
        </w:rPr>
        <w:tab/>
      </w:r>
      <w:r>
        <w:rPr>
          <w:rFonts w:ascii="Calibri" w:hAnsi="Calibri"/>
        </w:rPr>
        <w:t xml:space="preserve">Deseo destacar la importancia de su participación en este tema de trabajo, ya que ayudaría a la Comisión de Estudio 12 del UIT-T y el VQEG en sus esfuerzos para hacer avanzar el trabajo en relación con la elaboración de modelos </w:t>
      </w:r>
      <w:r w:rsidR="00DA3D1C">
        <w:rPr>
          <w:rFonts w:ascii="Calibri" w:hAnsi="Calibri"/>
        </w:rPr>
        <w:t xml:space="preserve">de calidad de vídeo </w:t>
      </w:r>
      <w:r>
        <w:rPr>
          <w:rFonts w:ascii="Calibri" w:hAnsi="Calibri"/>
        </w:rPr>
        <w:t xml:space="preserve">para los </w:t>
      </w:r>
      <w:r w:rsidR="00DA3D1C">
        <w:rPr>
          <w:rFonts w:ascii="Calibri" w:hAnsi="Calibri"/>
        </w:rPr>
        <w:t xml:space="preserve">sistemas de </w:t>
      </w:r>
      <w:r w:rsidR="00DA3D1C" w:rsidRPr="00DA3D1C">
        <w:rPr>
          <w:rFonts w:ascii="Calibri" w:hAnsi="Calibri"/>
        </w:rPr>
        <w:t>flujo continuo adaptable</w:t>
      </w:r>
      <w:r w:rsidR="00D357B0" w:rsidRPr="00DB3EB3">
        <w:rPr>
          <w:rFonts w:ascii="Calibri" w:hAnsi="Calibri"/>
        </w:rPr>
        <w:t>.</w:t>
      </w:r>
    </w:p>
    <w:p w:rsidR="00C34772" w:rsidRDefault="00D357B0" w:rsidP="00E41379">
      <w:r w:rsidRPr="00DB3EB3">
        <w:t>Atentamente</w:t>
      </w:r>
      <w:r w:rsidR="007D1C91">
        <w:t>,</w:t>
      </w:r>
    </w:p>
    <w:p w:rsidR="007D1C91" w:rsidRPr="00E70AEB" w:rsidRDefault="007D1C91" w:rsidP="007D1C91">
      <w:pPr>
        <w:spacing w:before="0"/>
        <w:rPr>
          <w:noProof/>
          <w:lang w:eastAsia="zh-CN"/>
        </w:rPr>
      </w:pPr>
    </w:p>
    <w:p w:rsidR="007D1C91" w:rsidRDefault="007D1C91" w:rsidP="007D1C91">
      <w:pPr>
        <w:spacing w:before="0"/>
      </w:pPr>
    </w:p>
    <w:p w:rsidR="00721788" w:rsidRDefault="00721788" w:rsidP="007D1C91">
      <w:pPr>
        <w:spacing w:before="0"/>
      </w:pPr>
    </w:p>
    <w:p w:rsidR="00721788" w:rsidRPr="00DB3EB3" w:rsidRDefault="00721788" w:rsidP="007D1C91">
      <w:pPr>
        <w:spacing w:before="0"/>
      </w:pPr>
      <w:bookmarkStart w:id="0" w:name="_GoBack"/>
      <w:bookmarkEnd w:id="0"/>
    </w:p>
    <w:p w:rsidR="00E70AEB" w:rsidRDefault="00AF3479" w:rsidP="00721788">
      <w:pPr>
        <w:spacing w:before="0"/>
      </w:pPr>
      <w:r w:rsidRPr="00DB3EB3">
        <w:t>Chaesub Lee</w:t>
      </w:r>
      <w:r w:rsidR="00C34772" w:rsidRPr="00DB3EB3">
        <w:br/>
        <w:t>Director de la Oficina de</w:t>
      </w:r>
      <w:r w:rsidR="00C34772" w:rsidRPr="00DB3EB3">
        <w:br/>
        <w:t>Normalización de las Telecomunicaciones</w:t>
      </w:r>
    </w:p>
    <w:p w:rsidR="00E70AEB" w:rsidRDefault="00E70AEB" w:rsidP="00E70AEB">
      <w:pPr>
        <w:spacing w:before="160" w:after="160"/>
      </w:pPr>
    </w:p>
    <w:p w:rsidR="00E70AEB" w:rsidRDefault="00E70AEB" w:rsidP="00E70AEB">
      <w:pPr>
        <w:spacing w:before="160" w:after="160"/>
      </w:pPr>
    </w:p>
    <w:p w:rsidR="00E70AEB" w:rsidRPr="003902E8" w:rsidRDefault="00DA3D1C" w:rsidP="00E70AEB">
      <w:pPr>
        <w:spacing w:before="0"/>
        <w:rPr>
          <w:lang w:val="en-GB"/>
        </w:rPr>
      </w:pPr>
      <w:proofErr w:type="spellStart"/>
      <w:r w:rsidRPr="003902E8">
        <w:rPr>
          <w:b/>
          <w:bCs/>
          <w:lang w:val="en-GB"/>
        </w:rPr>
        <w:t>Anexo</w:t>
      </w:r>
      <w:proofErr w:type="spellEnd"/>
      <w:r w:rsidRPr="003902E8">
        <w:rPr>
          <w:lang w:val="en-GB"/>
        </w:rPr>
        <w:t>: 1</w:t>
      </w:r>
    </w:p>
    <w:p w:rsidR="00E70AEB" w:rsidRPr="003902E8" w:rsidRDefault="00E70AEB">
      <w:pPr>
        <w:tabs>
          <w:tab w:val="clear" w:pos="794"/>
          <w:tab w:val="clear" w:pos="1191"/>
          <w:tab w:val="clear" w:pos="1588"/>
          <w:tab w:val="clear" w:pos="1985"/>
        </w:tabs>
        <w:overflowPunct/>
        <w:autoSpaceDE/>
        <w:autoSpaceDN/>
        <w:adjustRightInd/>
        <w:spacing w:before="0"/>
        <w:textAlignment w:val="auto"/>
        <w:rPr>
          <w:lang w:val="en-GB"/>
        </w:rPr>
      </w:pPr>
    </w:p>
    <w:p w:rsidR="00E70AEB" w:rsidRPr="003902E8" w:rsidRDefault="00E70AEB">
      <w:pPr>
        <w:tabs>
          <w:tab w:val="clear" w:pos="794"/>
          <w:tab w:val="clear" w:pos="1191"/>
          <w:tab w:val="clear" w:pos="1588"/>
          <w:tab w:val="clear" w:pos="1985"/>
        </w:tabs>
        <w:overflowPunct/>
        <w:autoSpaceDE/>
        <w:autoSpaceDN/>
        <w:adjustRightInd/>
        <w:spacing w:before="0"/>
        <w:textAlignment w:val="auto"/>
        <w:rPr>
          <w:lang w:val="en-GB"/>
        </w:rPr>
      </w:pPr>
      <w:r w:rsidRPr="003902E8">
        <w:rPr>
          <w:lang w:val="en-GB"/>
        </w:rPr>
        <w:br w:type="page"/>
      </w:r>
    </w:p>
    <w:p w:rsidR="00AC4493" w:rsidRPr="00300042" w:rsidRDefault="00AC4493" w:rsidP="00AC4493">
      <w:pPr>
        <w:pStyle w:val="Normalaftertitle"/>
        <w:jc w:val="center"/>
        <w:rPr>
          <w:lang w:val="en-US"/>
        </w:rPr>
      </w:pPr>
      <w:r w:rsidRPr="00300042">
        <w:rPr>
          <w:b/>
          <w:bCs/>
          <w:lang w:val="en-US"/>
        </w:rPr>
        <w:lastRenderedPageBreak/>
        <w:t>ANNEX 1</w:t>
      </w:r>
      <w:r w:rsidRPr="00300042">
        <w:rPr>
          <w:b/>
          <w:bCs/>
          <w:lang w:val="en-US"/>
        </w:rPr>
        <w:br/>
      </w:r>
      <w:r w:rsidRPr="00300042">
        <w:rPr>
          <w:lang w:val="en-US"/>
        </w:rPr>
        <w:t>(to TSB Circular 3)</w:t>
      </w:r>
    </w:p>
    <w:p w:rsidR="00AC4493" w:rsidRPr="00300042" w:rsidRDefault="00AC4493" w:rsidP="00AC4493">
      <w:pPr>
        <w:pStyle w:val="Normalaftertitle"/>
        <w:jc w:val="center"/>
        <w:rPr>
          <w:b/>
          <w:bCs/>
          <w:lang w:val="en-US"/>
        </w:rPr>
      </w:pPr>
      <w:r w:rsidRPr="00300042">
        <w:rPr>
          <w:b/>
          <w:bCs/>
          <w:lang w:val="en-US"/>
        </w:rPr>
        <w:t>Call for participation on AVHD-AS/P.NATS Phase 2</w:t>
      </w:r>
      <w:r w:rsidRPr="00300042">
        <w:rPr>
          <w:b/>
          <w:bCs/>
          <w:lang w:val="en-US"/>
        </w:rPr>
        <w:br/>
        <w:t>Opinion model for estimating video quality of adaptive streaming services</w:t>
      </w:r>
    </w:p>
    <w:p w:rsidR="00AC4493" w:rsidRPr="00300042" w:rsidRDefault="00AC4493" w:rsidP="00AC4493">
      <w:pPr>
        <w:rPr>
          <w:b/>
          <w:szCs w:val="24"/>
          <w:lang w:val="en-US"/>
        </w:rPr>
      </w:pPr>
      <w:r w:rsidRPr="00300042">
        <w:rPr>
          <w:b/>
          <w:szCs w:val="24"/>
          <w:lang w:val="en-US"/>
        </w:rPr>
        <w:t>Abstract</w:t>
      </w:r>
    </w:p>
    <w:p w:rsidR="00AC4493" w:rsidRPr="00300042" w:rsidRDefault="00AC4493" w:rsidP="00AC4493">
      <w:pPr>
        <w:rPr>
          <w:szCs w:val="24"/>
          <w:lang w:val="en-US"/>
        </w:rPr>
      </w:pPr>
      <w:r w:rsidRPr="00300042">
        <w:rPr>
          <w:szCs w:val="24"/>
          <w:lang w:val="en-US"/>
        </w:rPr>
        <w:t>This Call for Participation is directed to all parties who are interested to contribute to AVHD</w:t>
      </w:r>
      <w:r w:rsidRPr="00300042">
        <w:rPr>
          <w:szCs w:val="24"/>
          <w:lang w:val="en-US"/>
        </w:rPr>
        <w:noBreakHyphen/>
        <w:t>AS/P.NATS Phase 2 models for objective assessment of progressive download and adaptive streaming type video. Those parties are invited to announce their interest in contributing to AVHD</w:t>
      </w:r>
      <w:r w:rsidRPr="00300042">
        <w:rPr>
          <w:szCs w:val="24"/>
          <w:lang w:val="en-US"/>
        </w:rPr>
        <w:noBreakHyphen/>
        <w:t>AS/P.NATS Phase 2 and spending further active development and analysis efforts into the project. Interested parties are expected to announce their interest before 9 January 2017.</w:t>
      </w:r>
    </w:p>
    <w:p w:rsidR="00AC4493" w:rsidRPr="00300042" w:rsidRDefault="00AC4493" w:rsidP="00AC4493">
      <w:pPr>
        <w:rPr>
          <w:b/>
          <w:szCs w:val="24"/>
          <w:lang w:val="en-US"/>
        </w:rPr>
      </w:pPr>
      <w:r w:rsidRPr="00300042">
        <w:rPr>
          <w:b/>
          <w:szCs w:val="24"/>
          <w:lang w:val="en-US"/>
        </w:rPr>
        <w:t>Background</w:t>
      </w:r>
    </w:p>
    <w:p w:rsidR="00AC4493" w:rsidRPr="00300042" w:rsidRDefault="00AC4493" w:rsidP="00AC4493">
      <w:pPr>
        <w:rPr>
          <w:szCs w:val="24"/>
          <w:lang w:val="en-US"/>
        </w:rPr>
      </w:pPr>
      <w:r w:rsidRPr="00300042">
        <w:rPr>
          <w:szCs w:val="24"/>
          <w:lang w:val="en-US"/>
        </w:rPr>
        <w:t xml:space="preserve">The ITU-T P.1203 series of standards which target the parametric and </w:t>
      </w:r>
      <w:proofErr w:type="spellStart"/>
      <w:r w:rsidRPr="00300042">
        <w:rPr>
          <w:szCs w:val="24"/>
          <w:lang w:val="en-US"/>
        </w:rPr>
        <w:t>bitstream</w:t>
      </w:r>
      <w:proofErr w:type="spellEnd"/>
      <w:r w:rsidRPr="00300042">
        <w:rPr>
          <w:szCs w:val="24"/>
          <w:lang w:val="en-US"/>
        </w:rPr>
        <w:t xml:space="preserve"> based modelling of video quality have recently been consented to support progressive download and adaptive streaming types of HD video using H.264 video codec. The next step in Q14/12 model standardization is to broaden the scope of P.1203 for various video codecs and higher resolution, aiming at a more comprehensive model that can meet the requirements of modern day Ultra HD video streaming applications.</w:t>
      </w:r>
    </w:p>
    <w:p w:rsidR="00AC4493" w:rsidRPr="00300042" w:rsidRDefault="00AC4493" w:rsidP="00AC4493">
      <w:pPr>
        <w:rPr>
          <w:szCs w:val="24"/>
          <w:lang w:val="en-US"/>
        </w:rPr>
      </w:pPr>
      <w:r w:rsidRPr="00300042">
        <w:rPr>
          <w:szCs w:val="24"/>
          <w:lang w:val="en-US"/>
        </w:rPr>
        <w:t>The ITU-T J.341/J.342 and J.343 series of standards were developed within VQEG targeting pure pixel</w:t>
      </w:r>
      <w:r w:rsidRPr="00300042">
        <w:rPr>
          <w:szCs w:val="24"/>
          <w:lang w:val="en-US"/>
        </w:rPr>
        <w:noBreakHyphen/>
        <w:t>based and hybrid models to support video quality measurement for HDTV digital cable and IP</w:t>
      </w:r>
      <w:r w:rsidRPr="00300042">
        <w:rPr>
          <w:szCs w:val="24"/>
          <w:lang w:val="en-US"/>
        </w:rPr>
        <w:noBreakHyphen/>
        <w:t>based video services, respectively. At present no standardized pixel-based and hybrid models are available for adaptive streaming applications. In addition, modern day streaming services involve a plethora of video codecs and streaming resolutions (up to and including Ultra-HD) for which these types of models need to be researched.</w:t>
      </w:r>
    </w:p>
    <w:p w:rsidR="00AC4493" w:rsidRPr="00300042" w:rsidRDefault="00AC4493" w:rsidP="00AC4493">
      <w:pPr>
        <w:rPr>
          <w:szCs w:val="24"/>
          <w:lang w:val="en-US"/>
        </w:rPr>
      </w:pPr>
      <w:r w:rsidRPr="00300042">
        <w:rPr>
          <w:szCs w:val="24"/>
          <w:lang w:val="en-US"/>
        </w:rPr>
        <w:t xml:space="preserve">In an effort to measure video quality in a broad operational scope – ranging from head-end encoding optimization to in-network and client side quality monitoring – this project aims to develop different type of models using a common training/validation dataset to determine the potential of these model types in challenging measurement scenarios. </w:t>
      </w:r>
    </w:p>
    <w:p w:rsidR="00AC4493" w:rsidRPr="00300042" w:rsidRDefault="00AC4493" w:rsidP="00AC4493">
      <w:pPr>
        <w:rPr>
          <w:b/>
          <w:szCs w:val="24"/>
          <w:lang w:val="en-US"/>
        </w:rPr>
      </w:pPr>
      <w:r w:rsidRPr="00300042">
        <w:rPr>
          <w:b/>
          <w:szCs w:val="24"/>
          <w:lang w:val="en-US"/>
        </w:rPr>
        <w:t>AVHD-AS/P.NATS Phase 2 work item</w:t>
      </w:r>
    </w:p>
    <w:p w:rsidR="00AC4493" w:rsidRPr="00300042" w:rsidRDefault="00AC4493" w:rsidP="00AC4493">
      <w:pPr>
        <w:rPr>
          <w:szCs w:val="24"/>
          <w:lang w:val="en-US"/>
        </w:rPr>
      </w:pPr>
      <w:r w:rsidRPr="00300042">
        <w:rPr>
          <w:szCs w:val="24"/>
          <w:lang w:val="en-US"/>
        </w:rPr>
        <w:t xml:space="preserve">The AVHD-AS/P.NATS Phase 2 model will be developed using a dedicated training phase with a jointly developed set of training databases followed by cross-validation using a jointly developed set of validation databases. </w:t>
      </w:r>
    </w:p>
    <w:p w:rsidR="00AC4493" w:rsidRPr="00300042" w:rsidRDefault="00AC4493" w:rsidP="00AC4493">
      <w:pPr>
        <w:rPr>
          <w:szCs w:val="24"/>
          <w:lang w:val="en-US"/>
        </w:rPr>
      </w:pPr>
      <w:r w:rsidRPr="00300042">
        <w:rPr>
          <w:szCs w:val="24"/>
          <w:lang w:val="en-US"/>
        </w:rPr>
        <w:t xml:space="preserve">The AVHD-AS/P.NATS Phase 2 work item is planned to have three tracks. Track 1 is a </w:t>
      </w:r>
      <w:proofErr w:type="spellStart"/>
      <w:r w:rsidRPr="00300042">
        <w:rPr>
          <w:szCs w:val="24"/>
          <w:lang w:val="en-US"/>
        </w:rPr>
        <w:t>bitstream</w:t>
      </w:r>
      <w:proofErr w:type="spellEnd"/>
      <w:r w:rsidRPr="00300042">
        <w:rPr>
          <w:szCs w:val="24"/>
          <w:lang w:val="en-US"/>
        </w:rPr>
        <w:t xml:space="preserve">-based parametric video-only model, where the provided information is given in the same way as P.1203.1. As such, the first track is planned to result in an extension of P.1203.1 for a broader scope. In tracks 2 and 3, Recommendations are being developed which describe how the output of pure pixel-based and hybrid models can be used to obtain the quality of long (up to five minutes) videos in the context of adaptive streaming. </w:t>
      </w:r>
    </w:p>
    <w:p w:rsidR="00AC4493" w:rsidRPr="00300042" w:rsidRDefault="00AC4493" w:rsidP="00AC4493">
      <w:pPr>
        <w:tabs>
          <w:tab w:val="clear" w:pos="794"/>
          <w:tab w:val="clear" w:pos="1191"/>
          <w:tab w:val="clear" w:pos="1588"/>
          <w:tab w:val="clear" w:pos="1985"/>
        </w:tabs>
        <w:overflowPunct/>
        <w:autoSpaceDE/>
        <w:autoSpaceDN/>
        <w:adjustRightInd/>
        <w:spacing w:before="0"/>
        <w:textAlignment w:val="auto"/>
        <w:rPr>
          <w:szCs w:val="24"/>
          <w:lang w:val="en-US"/>
        </w:rPr>
      </w:pPr>
      <w:r w:rsidRPr="00300042">
        <w:rPr>
          <w:szCs w:val="24"/>
          <w:lang w:val="en-US"/>
        </w:rPr>
        <w:br w:type="page"/>
      </w:r>
    </w:p>
    <w:p w:rsidR="00AC4493" w:rsidRPr="00300042" w:rsidRDefault="00AC4493" w:rsidP="00AC4493">
      <w:pPr>
        <w:spacing w:before="360" w:after="240"/>
        <w:rPr>
          <w:szCs w:val="24"/>
          <w:lang w:val="en-US"/>
        </w:rPr>
      </w:pPr>
      <w:r w:rsidRPr="00300042">
        <w:rPr>
          <w:szCs w:val="24"/>
          <w:lang w:val="en-US"/>
        </w:rPr>
        <w:lastRenderedPageBreak/>
        <w:t xml:space="preserve">The building blocks of the AVHD-AS/P.NATS Phase 2 models are shown in Figure 1 below: </w:t>
      </w:r>
    </w:p>
    <w:p w:rsidR="00AC4493" w:rsidRPr="00300042" w:rsidRDefault="00AC4493" w:rsidP="00AC4493">
      <w:pPr>
        <w:jc w:val="center"/>
      </w:pPr>
      <w:r w:rsidRPr="00300042">
        <w:rPr>
          <w:b/>
          <w:noProof/>
          <w:lang w:val="en-US" w:eastAsia="zh-CN"/>
        </w:rPr>
        <w:drawing>
          <wp:inline distT="0" distB="0" distL="0" distR="0" wp14:anchorId="1B01DF64" wp14:editId="31E3C65D">
            <wp:extent cx="5888355"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88355" cy="2743200"/>
                    </a:xfrm>
                    <a:prstGeom prst="rect">
                      <a:avLst/>
                    </a:prstGeom>
                    <a:noFill/>
                  </pic:spPr>
                </pic:pic>
              </a:graphicData>
            </a:graphic>
          </wp:inline>
        </w:drawing>
      </w:r>
    </w:p>
    <w:p w:rsidR="00AC4493" w:rsidRPr="00300042" w:rsidRDefault="00AC4493" w:rsidP="00AC4493"/>
    <w:p w:rsidR="00AC4493" w:rsidRPr="00300042" w:rsidRDefault="00AC4493" w:rsidP="00AC4493">
      <w:pPr>
        <w:pStyle w:val="FigureTitle"/>
        <w:spacing w:after="360"/>
        <w:rPr>
          <w:bCs/>
          <w:lang w:val="en-US"/>
        </w:rPr>
      </w:pPr>
      <w:r w:rsidRPr="00300042">
        <w:rPr>
          <w:bCs/>
          <w:lang w:val="en-US"/>
        </w:rPr>
        <w:t xml:space="preserve">Figure 1 (a): </w:t>
      </w:r>
      <w:r w:rsidRPr="00300042">
        <w:rPr>
          <w:bCs/>
          <w:lang w:val="en-US"/>
        </w:rPr>
        <w:tab/>
        <w:t xml:space="preserve">Building blocks of the </w:t>
      </w:r>
      <w:proofErr w:type="spellStart"/>
      <w:r w:rsidRPr="00300042">
        <w:rPr>
          <w:bCs/>
          <w:lang w:val="en-US"/>
        </w:rPr>
        <w:t>bitstream</w:t>
      </w:r>
      <w:proofErr w:type="spellEnd"/>
      <w:r w:rsidRPr="00300042">
        <w:rPr>
          <w:bCs/>
          <w:lang w:val="en-US"/>
        </w:rPr>
        <w:t xml:space="preserve"> model (track1), only red shaded blocks will be developed, blue blocks are taken from P.1203 for characterization</w:t>
      </w:r>
    </w:p>
    <w:p w:rsidR="00AC4493" w:rsidRPr="00300042" w:rsidRDefault="00AC4493" w:rsidP="00AC4493">
      <w:pPr>
        <w:jc w:val="center"/>
      </w:pPr>
      <w:r w:rsidRPr="00300042">
        <w:rPr>
          <w:noProof/>
          <w:lang w:val="en-US" w:eastAsia="zh-CN"/>
        </w:rPr>
        <w:drawing>
          <wp:inline distT="0" distB="0" distL="0" distR="0" wp14:anchorId="0A3D98C2" wp14:editId="7819FC13">
            <wp:extent cx="5582823"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82823" cy="2743200"/>
                    </a:xfrm>
                    <a:prstGeom prst="rect">
                      <a:avLst/>
                    </a:prstGeom>
                    <a:noFill/>
                  </pic:spPr>
                </pic:pic>
              </a:graphicData>
            </a:graphic>
          </wp:inline>
        </w:drawing>
      </w:r>
    </w:p>
    <w:p w:rsidR="00AC4493" w:rsidRPr="00300042" w:rsidRDefault="00AC4493" w:rsidP="00AC4493">
      <w:pPr>
        <w:pStyle w:val="FigureTitle"/>
        <w:spacing w:after="240"/>
        <w:rPr>
          <w:bCs/>
          <w:lang w:val="en-US"/>
        </w:rPr>
      </w:pPr>
      <w:r w:rsidRPr="00300042">
        <w:rPr>
          <w:bCs/>
          <w:lang w:val="en-US"/>
        </w:rPr>
        <w:t xml:space="preserve">Figure 1 (b): </w:t>
      </w:r>
      <w:r w:rsidRPr="00300042">
        <w:rPr>
          <w:bCs/>
          <w:lang w:val="en-US"/>
        </w:rPr>
        <w:tab/>
        <w:t>Building blocks of the pixel-based (track2) and hybrid models (track3), only red shaded blocks will be developed, blue blocks are taken from P.1203 for characterization</w:t>
      </w:r>
    </w:p>
    <w:p w:rsidR="00AC4493" w:rsidRPr="00300042" w:rsidRDefault="00AC4493" w:rsidP="00AC4493">
      <w:pPr>
        <w:tabs>
          <w:tab w:val="left" w:pos="720"/>
        </w:tabs>
        <w:spacing w:before="0"/>
        <w:rPr>
          <w:szCs w:val="24"/>
          <w:lang w:val="en-US"/>
        </w:rPr>
      </w:pPr>
      <w:r w:rsidRPr="00300042">
        <w:rPr>
          <w:szCs w:val="24"/>
          <w:lang w:val="en-US"/>
        </w:rPr>
        <w:t>The individual outputs can be summarized as follows:</w:t>
      </w:r>
    </w:p>
    <w:p w:rsidR="00AC4493" w:rsidRPr="00300042" w:rsidRDefault="00AC4493" w:rsidP="00AC4493">
      <w:pPr>
        <w:numPr>
          <w:ilvl w:val="0"/>
          <w:numId w:val="6"/>
        </w:numPr>
        <w:overflowPunct/>
        <w:autoSpaceDE/>
        <w:adjustRightInd/>
        <w:spacing w:before="0"/>
        <w:textAlignment w:val="auto"/>
        <w:rPr>
          <w:szCs w:val="24"/>
          <w:lang w:val="en-US"/>
        </w:rPr>
      </w:pPr>
      <w:r w:rsidRPr="00300042">
        <w:rPr>
          <w:szCs w:val="24"/>
          <w:lang w:val="en-US"/>
        </w:rPr>
        <w:t>O.27: Final short-term video coding quality score</w:t>
      </w:r>
    </w:p>
    <w:p w:rsidR="00AC4493" w:rsidRPr="00300042" w:rsidRDefault="00AC4493" w:rsidP="00AC4493">
      <w:pPr>
        <w:numPr>
          <w:ilvl w:val="1"/>
          <w:numId w:val="6"/>
        </w:numPr>
        <w:overflowPunct/>
        <w:autoSpaceDE/>
        <w:adjustRightInd/>
        <w:spacing w:before="0"/>
        <w:textAlignment w:val="auto"/>
        <w:rPr>
          <w:szCs w:val="24"/>
          <w:lang w:val="en-US"/>
        </w:rPr>
      </w:pPr>
      <w:r w:rsidRPr="00300042">
        <w:rPr>
          <w:szCs w:val="24"/>
          <w:lang w:val="en-US"/>
        </w:rPr>
        <w:t>Single score for each short-length video, on 1-5 quality scale</w:t>
      </w:r>
    </w:p>
    <w:p w:rsidR="00AC4493" w:rsidRPr="00300042" w:rsidRDefault="00AC4493" w:rsidP="00AC4493">
      <w:pPr>
        <w:numPr>
          <w:ilvl w:val="1"/>
          <w:numId w:val="6"/>
        </w:numPr>
        <w:tabs>
          <w:tab w:val="clear" w:pos="794"/>
          <w:tab w:val="clear" w:pos="1191"/>
        </w:tabs>
        <w:overflowPunct/>
        <w:autoSpaceDE/>
        <w:adjustRightInd/>
        <w:spacing w:before="0"/>
        <w:textAlignment w:val="auto"/>
        <w:rPr>
          <w:szCs w:val="24"/>
          <w:lang w:val="en-US"/>
        </w:rPr>
      </w:pPr>
      <w:r w:rsidRPr="00300042">
        <w:rPr>
          <w:szCs w:val="24"/>
          <w:lang w:val="en-US"/>
        </w:rPr>
        <w:t>Excludes aspects of temporal integration with initial- or re-buffering</w:t>
      </w:r>
    </w:p>
    <w:p w:rsidR="00AC4493" w:rsidRPr="00300042" w:rsidRDefault="00AC4493" w:rsidP="00AC4493">
      <w:pPr>
        <w:numPr>
          <w:ilvl w:val="0"/>
          <w:numId w:val="6"/>
        </w:numPr>
        <w:overflowPunct/>
        <w:autoSpaceDE/>
        <w:adjustRightInd/>
        <w:spacing w:before="0"/>
        <w:textAlignment w:val="auto"/>
        <w:rPr>
          <w:szCs w:val="24"/>
          <w:lang w:val="en-US"/>
        </w:rPr>
      </w:pPr>
      <w:r w:rsidRPr="00300042">
        <w:rPr>
          <w:szCs w:val="24"/>
          <w:lang w:val="en-US"/>
        </w:rPr>
        <w:t>O.46: Final media session quality score</w:t>
      </w:r>
    </w:p>
    <w:p w:rsidR="00AC4493" w:rsidRPr="00300042" w:rsidRDefault="00AC4493" w:rsidP="00AC4493">
      <w:pPr>
        <w:numPr>
          <w:ilvl w:val="1"/>
          <w:numId w:val="6"/>
        </w:numPr>
        <w:overflowPunct/>
        <w:autoSpaceDE/>
        <w:adjustRightInd/>
        <w:spacing w:before="0"/>
        <w:textAlignment w:val="auto"/>
        <w:rPr>
          <w:szCs w:val="24"/>
          <w:lang w:val="en-US"/>
        </w:rPr>
      </w:pPr>
      <w:r w:rsidRPr="00300042">
        <w:rPr>
          <w:szCs w:val="24"/>
          <w:lang w:val="en-US"/>
        </w:rPr>
        <w:t>Single score for the session, on a 1-5 quality scale</w:t>
      </w:r>
    </w:p>
    <w:p w:rsidR="00AC4493" w:rsidRPr="00300042" w:rsidRDefault="00AC4493" w:rsidP="00AC4493">
      <w:pPr>
        <w:numPr>
          <w:ilvl w:val="1"/>
          <w:numId w:val="6"/>
        </w:numPr>
        <w:overflowPunct/>
        <w:autoSpaceDE/>
        <w:adjustRightInd/>
        <w:spacing w:before="0"/>
        <w:textAlignment w:val="auto"/>
        <w:rPr>
          <w:szCs w:val="24"/>
          <w:lang w:val="en-US"/>
        </w:rPr>
      </w:pPr>
      <w:r w:rsidRPr="00300042">
        <w:rPr>
          <w:szCs w:val="24"/>
          <w:lang w:val="en-US"/>
        </w:rPr>
        <w:t xml:space="preserve">Includes initial buffering and stalling and rate </w:t>
      </w:r>
      <w:proofErr w:type="spellStart"/>
      <w:r w:rsidRPr="00300042">
        <w:rPr>
          <w:szCs w:val="24"/>
          <w:lang w:val="en-US"/>
        </w:rPr>
        <w:t>adaptivity</w:t>
      </w:r>
      <w:proofErr w:type="spellEnd"/>
      <w:r w:rsidRPr="00300042">
        <w:rPr>
          <w:szCs w:val="24"/>
          <w:lang w:val="en-US"/>
        </w:rPr>
        <w:t xml:space="preserve"> aspects.</w:t>
      </w:r>
    </w:p>
    <w:p w:rsidR="00AC4493" w:rsidRPr="00300042" w:rsidRDefault="00AC4493" w:rsidP="00AC4493">
      <w:pPr>
        <w:numPr>
          <w:ilvl w:val="0"/>
          <w:numId w:val="6"/>
        </w:numPr>
        <w:overflowPunct/>
        <w:autoSpaceDE/>
        <w:adjustRightInd/>
        <w:spacing w:before="0"/>
        <w:textAlignment w:val="auto"/>
        <w:rPr>
          <w:szCs w:val="24"/>
          <w:lang w:val="en-US"/>
        </w:rPr>
      </w:pPr>
      <w:r w:rsidRPr="00300042">
        <w:rPr>
          <w:szCs w:val="24"/>
          <w:lang w:val="en-US"/>
        </w:rPr>
        <w:t>O.22: Video coding quality per output sampling interval</w:t>
      </w:r>
    </w:p>
    <w:p w:rsidR="00AC4493" w:rsidRPr="00300042" w:rsidRDefault="00AC4493" w:rsidP="00AC4493">
      <w:pPr>
        <w:numPr>
          <w:ilvl w:val="1"/>
          <w:numId w:val="6"/>
        </w:numPr>
        <w:tabs>
          <w:tab w:val="clear" w:pos="794"/>
          <w:tab w:val="clear" w:pos="1191"/>
        </w:tabs>
        <w:overflowPunct/>
        <w:autoSpaceDE/>
        <w:adjustRightInd/>
        <w:spacing w:before="0"/>
        <w:textAlignment w:val="auto"/>
        <w:rPr>
          <w:szCs w:val="24"/>
          <w:lang w:val="en-US"/>
        </w:rPr>
      </w:pPr>
      <w:r w:rsidRPr="00300042">
        <w:rPr>
          <w:szCs w:val="24"/>
          <w:lang w:val="en-US"/>
        </w:rPr>
        <w:t xml:space="preserve">Multiple segment scores provided per session and on a 1-5 quality scale </w:t>
      </w:r>
    </w:p>
    <w:p w:rsidR="00AC4493" w:rsidRPr="00300042" w:rsidRDefault="00AC4493" w:rsidP="00AC4493">
      <w:pPr>
        <w:keepNext/>
        <w:keepLines/>
        <w:numPr>
          <w:ilvl w:val="0"/>
          <w:numId w:val="6"/>
        </w:numPr>
        <w:overflowPunct/>
        <w:autoSpaceDE/>
        <w:adjustRightInd/>
        <w:spacing w:before="0"/>
        <w:ind w:hanging="357"/>
        <w:textAlignment w:val="auto"/>
        <w:rPr>
          <w:szCs w:val="24"/>
          <w:lang w:val="en-US"/>
        </w:rPr>
      </w:pPr>
      <w:r w:rsidRPr="00300042">
        <w:rPr>
          <w:szCs w:val="24"/>
          <w:lang w:val="en-US"/>
        </w:rPr>
        <w:lastRenderedPageBreak/>
        <w:t>O.21: Audio coding quality per output sampling interval</w:t>
      </w:r>
    </w:p>
    <w:p w:rsidR="00AC4493" w:rsidRPr="00300042" w:rsidRDefault="00AC4493" w:rsidP="00AC4493">
      <w:pPr>
        <w:keepNext/>
        <w:keepLines/>
        <w:numPr>
          <w:ilvl w:val="1"/>
          <w:numId w:val="6"/>
        </w:numPr>
        <w:tabs>
          <w:tab w:val="clear" w:pos="794"/>
          <w:tab w:val="clear" w:pos="1191"/>
        </w:tabs>
        <w:overflowPunct/>
        <w:autoSpaceDE/>
        <w:adjustRightInd/>
        <w:spacing w:before="0"/>
        <w:ind w:hanging="357"/>
        <w:textAlignment w:val="auto"/>
        <w:rPr>
          <w:szCs w:val="24"/>
          <w:lang w:val="en-US"/>
        </w:rPr>
      </w:pPr>
      <w:r w:rsidRPr="00300042">
        <w:rPr>
          <w:szCs w:val="24"/>
          <w:lang w:val="en-US"/>
        </w:rPr>
        <w:t xml:space="preserve">Multiple segment scores provided per session and on a 1-5 quality scale </w:t>
      </w:r>
    </w:p>
    <w:p w:rsidR="00AC4493" w:rsidRPr="00300042" w:rsidRDefault="00AC4493" w:rsidP="00AC4493">
      <w:pPr>
        <w:numPr>
          <w:ilvl w:val="0"/>
          <w:numId w:val="6"/>
        </w:numPr>
        <w:overflowPunct/>
        <w:autoSpaceDE/>
        <w:adjustRightInd/>
        <w:spacing w:before="0"/>
        <w:textAlignment w:val="auto"/>
        <w:rPr>
          <w:szCs w:val="24"/>
        </w:rPr>
      </w:pPr>
      <w:r w:rsidRPr="00300042">
        <w:rPr>
          <w:szCs w:val="24"/>
        </w:rPr>
        <w:t xml:space="preserve">O.23: Perceptual </w:t>
      </w:r>
      <w:proofErr w:type="spellStart"/>
      <w:r w:rsidRPr="00300042">
        <w:rPr>
          <w:szCs w:val="24"/>
        </w:rPr>
        <w:t>buffering</w:t>
      </w:r>
      <w:proofErr w:type="spellEnd"/>
      <w:r w:rsidRPr="00300042">
        <w:rPr>
          <w:szCs w:val="24"/>
        </w:rPr>
        <w:t xml:space="preserve"> </w:t>
      </w:r>
      <w:proofErr w:type="spellStart"/>
      <w:r w:rsidRPr="00300042">
        <w:rPr>
          <w:szCs w:val="24"/>
        </w:rPr>
        <w:t>indication</w:t>
      </w:r>
      <w:proofErr w:type="spellEnd"/>
    </w:p>
    <w:p w:rsidR="00AC4493" w:rsidRPr="00300042" w:rsidRDefault="00AC4493" w:rsidP="00AC4493">
      <w:pPr>
        <w:numPr>
          <w:ilvl w:val="1"/>
          <w:numId w:val="6"/>
        </w:numPr>
        <w:tabs>
          <w:tab w:val="clear" w:pos="794"/>
          <w:tab w:val="clear" w:pos="1191"/>
        </w:tabs>
        <w:overflowPunct/>
        <w:autoSpaceDE/>
        <w:adjustRightInd/>
        <w:spacing w:before="0"/>
        <w:textAlignment w:val="auto"/>
        <w:rPr>
          <w:szCs w:val="24"/>
          <w:lang w:val="en-US"/>
        </w:rPr>
      </w:pPr>
      <w:r w:rsidRPr="00300042">
        <w:rPr>
          <w:szCs w:val="24"/>
          <w:lang w:val="en-US"/>
        </w:rPr>
        <w:t>Single score on a 1-5 quality scale for the session</w:t>
      </w:r>
    </w:p>
    <w:p w:rsidR="00AC4493" w:rsidRPr="00300042" w:rsidRDefault="00AC4493" w:rsidP="00AC4493">
      <w:pPr>
        <w:numPr>
          <w:ilvl w:val="0"/>
          <w:numId w:val="6"/>
        </w:numPr>
        <w:overflowPunct/>
        <w:autoSpaceDE/>
        <w:adjustRightInd/>
        <w:spacing w:before="0"/>
        <w:textAlignment w:val="auto"/>
        <w:rPr>
          <w:szCs w:val="24"/>
          <w:lang w:val="en-US"/>
        </w:rPr>
      </w:pPr>
      <w:r w:rsidRPr="00300042">
        <w:rPr>
          <w:szCs w:val="24"/>
          <w:lang w:val="en-US"/>
        </w:rPr>
        <w:t>O.34: Audiovisual segment coding quality per output sampling interval</w:t>
      </w:r>
    </w:p>
    <w:p w:rsidR="00AC4493" w:rsidRPr="00300042" w:rsidRDefault="00AC4493" w:rsidP="00AC4493">
      <w:pPr>
        <w:numPr>
          <w:ilvl w:val="1"/>
          <w:numId w:val="6"/>
        </w:numPr>
        <w:tabs>
          <w:tab w:val="clear" w:pos="794"/>
          <w:tab w:val="clear" w:pos="1191"/>
        </w:tabs>
        <w:overflowPunct/>
        <w:autoSpaceDE/>
        <w:adjustRightInd/>
        <w:spacing w:before="0"/>
        <w:textAlignment w:val="auto"/>
        <w:rPr>
          <w:szCs w:val="24"/>
          <w:lang w:val="en-US"/>
        </w:rPr>
      </w:pPr>
      <w:r w:rsidRPr="00300042">
        <w:rPr>
          <w:szCs w:val="24"/>
          <w:lang w:val="en-US"/>
        </w:rPr>
        <w:t>Multiple segment scores provided per session</w:t>
      </w:r>
    </w:p>
    <w:p w:rsidR="00AC4493" w:rsidRPr="00300042" w:rsidRDefault="00AC4493" w:rsidP="00AC4493">
      <w:pPr>
        <w:numPr>
          <w:ilvl w:val="0"/>
          <w:numId w:val="6"/>
        </w:numPr>
        <w:overflowPunct/>
        <w:autoSpaceDE/>
        <w:adjustRightInd/>
        <w:spacing w:before="0"/>
        <w:textAlignment w:val="auto"/>
        <w:rPr>
          <w:szCs w:val="24"/>
          <w:lang w:val="en-US"/>
        </w:rPr>
      </w:pPr>
      <w:r w:rsidRPr="00300042">
        <w:rPr>
          <w:szCs w:val="24"/>
          <w:lang w:val="en-US"/>
        </w:rPr>
        <w:t>O.35: Final long-term audiovisual coding quality score</w:t>
      </w:r>
    </w:p>
    <w:p w:rsidR="00AC4493" w:rsidRPr="00300042" w:rsidRDefault="00AC4493" w:rsidP="00AC4493">
      <w:pPr>
        <w:numPr>
          <w:ilvl w:val="1"/>
          <w:numId w:val="6"/>
        </w:numPr>
        <w:tabs>
          <w:tab w:val="clear" w:pos="794"/>
          <w:tab w:val="clear" w:pos="1191"/>
        </w:tabs>
        <w:overflowPunct/>
        <w:autoSpaceDE/>
        <w:adjustRightInd/>
        <w:spacing w:before="0"/>
        <w:textAlignment w:val="auto"/>
        <w:rPr>
          <w:szCs w:val="24"/>
          <w:lang w:val="en-US"/>
        </w:rPr>
      </w:pPr>
      <w:r w:rsidRPr="00300042">
        <w:rPr>
          <w:szCs w:val="24"/>
          <w:lang w:val="en-US"/>
        </w:rPr>
        <w:t>Single score for the session, on a 1-5 quality scale</w:t>
      </w:r>
    </w:p>
    <w:p w:rsidR="00AC4493" w:rsidRPr="00300042" w:rsidRDefault="00AC4493" w:rsidP="00AC4493">
      <w:pPr>
        <w:numPr>
          <w:ilvl w:val="1"/>
          <w:numId w:val="6"/>
        </w:numPr>
        <w:tabs>
          <w:tab w:val="clear" w:pos="794"/>
          <w:tab w:val="clear" w:pos="1191"/>
        </w:tabs>
        <w:overflowPunct/>
        <w:autoSpaceDE/>
        <w:adjustRightInd/>
        <w:spacing w:before="0"/>
        <w:textAlignment w:val="auto"/>
        <w:rPr>
          <w:szCs w:val="24"/>
          <w:lang w:val="en-US"/>
        </w:rPr>
      </w:pPr>
      <w:r w:rsidRPr="00300042">
        <w:rPr>
          <w:szCs w:val="24"/>
          <w:lang w:val="en-US"/>
        </w:rPr>
        <w:t>Includes aspects of temporal integration with initial- or re-buffering</w:t>
      </w:r>
    </w:p>
    <w:p w:rsidR="00AC4493" w:rsidRPr="00300042" w:rsidRDefault="00AC4493" w:rsidP="00AC4493">
      <w:pPr>
        <w:tabs>
          <w:tab w:val="left" w:pos="720"/>
        </w:tabs>
        <w:spacing w:before="0"/>
        <w:rPr>
          <w:szCs w:val="24"/>
          <w:lang w:val="en-US"/>
        </w:rPr>
      </w:pPr>
    </w:p>
    <w:p w:rsidR="00AC4493" w:rsidRPr="00300042" w:rsidRDefault="00AC4493" w:rsidP="00AC4493">
      <w:pPr>
        <w:tabs>
          <w:tab w:val="left" w:pos="720"/>
        </w:tabs>
        <w:spacing w:before="0"/>
        <w:rPr>
          <w:szCs w:val="24"/>
          <w:lang w:val="en-US"/>
        </w:rPr>
      </w:pPr>
      <w:r w:rsidRPr="00300042">
        <w:rPr>
          <w:szCs w:val="24"/>
          <w:lang w:val="en-US"/>
        </w:rPr>
        <w:t>It is noted that the output nomenclature can be read as follows: The last number is incrementally specifying the index of the output, the first number specifies the level at which the information is obtained (the higher, the closer to the final media session quality score).</w:t>
      </w:r>
    </w:p>
    <w:p w:rsidR="00AC4493" w:rsidRPr="00300042" w:rsidRDefault="00AC4493" w:rsidP="00AC4493">
      <w:pPr>
        <w:rPr>
          <w:b/>
          <w:szCs w:val="24"/>
          <w:lang w:val="en-US"/>
        </w:rPr>
      </w:pPr>
      <w:r w:rsidRPr="00300042">
        <w:rPr>
          <w:b/>
          <w:szCs w:val="24"/>
          <w:lang w:val="en-US"/>
        </w:rPr>
        <w:t>Requirements on parties</w:t>
      </w:r>
    </w:p>
    <w:p w:rsidR="00AC4493" w:rsidRPr="00300042" w:rsidRDefault="00AC4493" w:rsidP="00AC4493">
      <w:pPr>
        <w:rPr>
          <w:szCs w:val="24"/>
          <w:lang w:val="en-US"/>
        </w:rPr>
      </w:pPr>
      <w:r w:rsidRPr="00300042">
        <w:rPr>
          <w:szCs w:val="24"/>
          <w:lang w:val="en-US"/>
        </w:rPr>
        <w:t>Interested parties are requested to announce their intent to participate before 9 January 2017, and may then take part in creating an initial set of documents specifying the project layout and modus operandi. The parties which take part in this first step can then, before 3 February 2017, commit to take part in the continued work, contribute to drafting the required documents, and take part in finally creating the new AVHD-AS/P.NATS Phase 2 Recommendation, or withdraw and contribute no further to the project. This work will include producing a number of subjective test databases. If the majority of the proponents consider that the Requirement Specification or the Terms of Reference (</w:t>
      </w:r>
      <w:proofErr w:type="spellStart"/>
      <w:r w:rsidRPr="00300042">
        <w:rPr>
          <w:szCs w:val="24"/>
          <w:lang w:val="en-US"/>
        </w:rPr>
        <w:t>ToR</w:t>
      </w:r>
      <w:proofErr w:type="spellEnd"/>
      <w:r w:rsidRPr="00300042">
        <w:rPr>
          <w:szCs w:val="24"/>
          <w:lang w:val="en-US"/>
        </w:rPr>
        <w:t>) documents are not mature enough, then the deadline for the second response will be delayed accordingly.</w:t>
      </w:r>
    </w:p>
    <w:p w:rsidR="00AC4493" w:rsidRPr="00300042" w:rsidRDefault="00AC4493" w:rsidP="00AC4493">
      <w:pPr>
        <w:rPr>
          <w:szCs w:val="24"/>
          <w:lang w:val="en-US"/>
        </w:rPr>
      </w:pPr>
      <w:r w:rsidRPr="00300042">
        <w:rPr>
          <w:szCs w:val="24"/>
          <w:lang w:val="en-US"/>
        </w:rPr>
        <w:t>The announcement of participation in the mentioned project is divided into two steps:</w:t>
      </w:r>
    </w:p>
    <w:p w:rsidR="00AC4493" w:rsidRPr="00300042" w:rsidRDefault="00AC4493" w:rsidP="00AC4493">
      <w:pPr>
        <w:widowControl w:val="0"/>
        <w:numPr>
          <w:ilvl w:val="0"/>
          <w:numId w:val="5"/>
        </w:numPr>
        <w:tabs>
          <w:tab w:val="clear" w:pos="794"/>
          <w:tab w:val="left" w:pos="709"/>
        </w:tabs>
        <w:overflowPunct/>
        <w:autoSpaceDE/>
        <w:autoSpaceDN/>
        <w:adjustRightInd/>
        <w:textAlignment w:val="auto"/>
        <w:rPr>
          <w:szCs w:val="24"/>
          <w:lang w:val="en-US"/>
        </w:rPr>
      </w:pPr>
      <w:r w:rsidRPr="00300042">
        <w:rPr>
          <w:szCs w:val="24"/>
          <w:lang w:val="en-US"/>
        </w:rPr>
        <w:t>Interested parties must announce their provisional intention to participate in the AVHD</w:t>
      </w:r>
      <w:r w:rsidRPr="00300042">
        <w:rPr>
          <w:szCs w:val="24"/>
          <w:lang w:val="en-US"/>
        </w:rPr>
        <w:noBreakHyphen/>
        <w:t xml:space="preserve">AS/P.NATS Phase 2 development by </w:t>
      </w:r>
      <w:r w:rsidRPr="00300042">
        <w:rPr>
          <w:b/>
          <w:bCs/>
          <w:szCs w:val="24"/>
          <w:lang w:val="en-US"/>
        </w:rPr>
        <w:t>9 January 2017</w:t>
      </w:r>
      <w:r w:rsidRPr="00300042">
        <w:rPr>
          <w:b/>
          <w:szCs w:val="24"/>
          <w:lang w:val="en-US"/>
        </w:rPr>
        <w:t xml:space="preserve"> </w:t>
      </w:r>
      <w:r w:rsidRPr="00300042">
        <w:rPr>
          <w:szCs w:val="24"/>
          <w:lang w:val="en-US"/>
        </w:rPr>
        <w:t xml:space="preserve">to </w:t>
      </w:r>
      <w:hyperlink r:id="rId19" w:history="1">
        <w:r w:rsidRPr="00300042">
          <w:rPr>
            <w:rStyle w:val="Hyperlink"/>
            <w:szCs w:val="24"/>
            <w:lang w:val="en-US"/>
          </w:rPr>
          <w:t>tsbsg12@itu.int</w:t>
        </w:r>
      </w:hyperlink>
      <w:r w:rsidRPr="00300042">
        <w:rPr>
          <w:szCs w:val="24"/>
          <w:lang w:val="en-US"/>
        </w:rPr>
        <w:t xml:space="preserve">. </w:t>
      </w:r>
    </w:p>
    <w:p w:rsidR="00AC4493" w:rsidRPr="00300042" w:rsidRDefault="00AC4493" w:rsidP="00AC4493">
      <w:pPr>
        <w:widowControl w:val="0"/>
        <w:numPr>
          <w:ilvl w:val="0"/>
          <w:numId w:val="5"/>
        </w:numPr>
        <w:tabs>
          <w:tab w:val="clear" w:pos="794"/>
          <w:tab w:val="left" w:pos="709"/>
        </w:tabs>
        <w:overflowPunct/>
        <w:autoSpaceDE/>
        <w:autoSpaceDN/>
        <w:adjustRightInd/>
        <w:textAlignment w:val="auto"/>
        <w:rPr>
          <w:szCs w:val="24"/>
          <w:lang w:val="en-US"/>
        </w:rPr>
      </w:pPr>
      <w:r w:rsidRPr="00300042">
        <w:rPr>
          <w:szCs w:val="24"/>
          <w:lang w:val="en-US"/>
        </w:rPr>
        <w:t>A binding commitment to participate in the AVHD-AS/P.NATS Phase 2 development has to be made by</w:t>
      </w:r>
      <w:r w:rsidRPr="00300042">
        <w:rPr>
          <w:b/>
          <w:szCs w:val="24"/>
          <w:lang w:val="en-US"/>
        </w:rPr>
        <w:t xml:space="preserve"> </w:t>
      </w:r>
      <w:r w:rsidRPr="00300042">
        <w:rPr>
          <w:b/>
          <w:bCs/>
          <w:szCs w:val="24"/>
          <w:lang w:val="en-US"/>
        </w:rPr>
        <w:t>3 February 2017</w:t>
      </w:r>
      <w:r w:rsidRPr="00300042">
        <w:rPr>
          <w:szCs w:val="24"/>
          <w:lang w:val="en-US"/>
        </w:rPr>
        <w:t xml:space="preserve"> to the secretariat of ITU-T SG12 (</w:t>
      </w:r>
      <w:hyperlink r:id="rId20" w:history="1">
        <w:r w:rsidRPr="00300042">
          <w:rPr>
            <w:rStyle w:val="Hyperlink"/>
            <w:szCs w:val="24"/>
            <w:lang w:val="en-US"/>
          </w:rPr>
          <w:t>tsbsg12@itu.int</w:t>
        </w:r>
      </w:hyperlink>
      <w:r w:rsidRPr="00300042">
        <w:rPr>
          <w:szCs w:val="24"/>
          <w:lang w:val="en-US"/>
        </w:rPr>
        <w:t>), and to the VQEG AVHD Co-Chairs (</w:t>
      </w:r>
      <w:hyperlink r:id="rId21" w:history="1">
        <w:r w:rsidRPr="00300042">
          <w:rPr>
            <w:rStyle w:val="Hyperlink"/>
            <w:szCs w:val="24"/>
            <w:lang w:val="en-US"/>
          </w:rPr>
          <w:t>cs@opticom.de</w:t>
        </w:r>
      </w:hyperlink>
      <w:r w:rsidRPr="00300042">
        <w:rPr>
          <w:szCs w:val="24"/>
          <w:lang w:val="en-US"/>
        </w:rPr>
        <w:t xml:space="preserve">; </w:t>
      </w:r>
      <w:hyperlink r:id="rId22" w:history="1">
        <w:r w:rsidRPr="00300042">
          <w:rPr>
            <w:rStyle w:val="Hyperlink"/>
            <w:szCs w:val="24"/>
            <w:lang w:val="en-US"/>
          </w:rPr>
          <w:t>Quan.Huynh-Thu@cisra.canon.com.au</w:t>
        </w:r>
      </w:hyperlink>
      <w:r w:rsidRPr="00300042">
        <w:rPr>
          <w:szCs w:val="24"/>
          <w:lang w:val="en-US"/>
        </w:rPr>
        <w:t xml:space="preserve">; </w:t>
      </w:r>
      <w:hyperlink r:id="rId23" w:history="1">
        <w:r w:rsidRPr="00300042">
          <w:rPr>
            <w:rStyle w:val="Hyperlink"/>
            <w:szCs w:val="24"/>
            <w:lang w:val="en-US"/>
          </w:rPr>
          <w:t>mpinson@ntia.doc.gov</w:t>
        </w:r>
      </w:hyperlink>
      <w:r w:rsidRPr="00300042">
        <w:rPr>
          <w:szCs w:val="24"/>
          <w:lang w:val="en-US"/>
        </w:rPr>
        <w:t>). Only parties who have previously announced their provisional intention to participate may make this commitment. This final commitment is based on a Requirement Specification and Terms of Reference for AVHD-AS/P.NATS Phase 2 that is considered as sufficient by Q14/12 and VQEG/AVHD for starting the development work, and which will be established jointly involving all declared participants according to this call for participation. It is noted that in case of later withdrawal, leaving parties have to grant usage of their already contributed test databases. These aspects will be, as it was done for example for the P.NAMS &amp; P.NBAMS, POLQA and P.NATS development, legally handled outside ITU</w:t>
      </w:r>
      <w:r w:rsidRPr="00300042">
        <w:rPr>
          <w:szCs w:val="24"/>
          <w:lang w:val="en-US"/>
        </w:rPr>
        <w:noBreakHyphen/>
        <w:t xml:space="preserve">T/VQEG using a respective agreement between the parties. </w:t>
      </w:r>
    </w:p>
    <w:p w:rsidR="00AC4493" w:rsidRPr="00AC4493" w:rsidRDefault="00AC4493" w:rsidP="00AC4493">
      <w:pPr>
        <w:tabs>
          <w:tab w:val="clear" w:pos="794"/>
          <w:tab w:val="clear" w:pos="1191"/>
          <w:tab w:val="clear" w:pos="1588"/>
          <w:tab w:val="clear" w:pos="1985"/>
        </w:tabs>
        <w:overflowPunct/>
        <w:autoSpaceDE/>
        <w:autoSpaceDN/>
        <w:adjustRightInd/>
        <w:spacing w:before="0"/>
        <w:textAlignment w:val="auto"/>
        <w:rPr>
          <w:b/>
          <w:szCs w:val="24"/>
          <w:lang w:val="en-GB"/>
        </w:rPr>
      </w:pPr>
      <w:r w:rsidRPr="00AC4493">
        <w:rPr>
          <w:b/>
          <w:szCs w:val="24"/>
          <w:lang w:val="en-GB"/>
        </w:rPr>
        <w:br w:type="page"/>
      </w:r>
    </w:p>
    <w:p w:rsidR="00AC4493" w:rsidRPr="00300042" w:rsidRDefault="00AC4493" w:rsidP="00AC4493">
      <w:pPr>
        <w:rPr>
          <w:b/>
          <w:szCs w:val="24"/>
        </w:rPr>
      </w:pPr>
      <w:proofErr w:type="spellStart"/>
      <w:r w:rsidRPr="00300042">
        <w:rPr>
          <w:b/>
          <w:szCs w:val="24"/>
        </w:rPr>
        <w:lastRenderedPageBreak/>
        <w:t>Draft</w:t>
      </w:r>
      <w:proofErr w:type="spellEnd"/>
      <w:r w:rsidRPr="00300042">
        <w:rPr>
          <w:b/>
          <w:szCs w:val="24"/>
        </w:rPr>
        <w:t xml:space="preserve"> </w:t>
      </w:r>
      <w:proofErr w:type="spellStart"/>
      <w:r w:rsidRPr="00300042">
        <w:rPr>
          <w:b/>
          <w:szCs w:val="24"/>
        </w:rPr>
        <w:t>overview</w:t>
      </w:r>
      <w:proofErr w:type="spellEnd"/>
      <w:r w:rsidRPr="00300042">
        <w:rPr>
          <w:b/>
          <w:szCs w:val="24"/>
        </w:rPr>
        <w:t xml:space="preserve"> time plan</w:t>
      </w:r>
    </w:p>
    <w:p w:rsidR="00AC4493" w:rsidRPr="00300042" w:rsidRDefault="00AC4493" w:rsidP="00AC4493">
      <w:pPr>
        <w:spacing w:before="0"/>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5519"/>
      </w:tblGrid>
      <w:tr w:rsidR="00AC4493" w:rsidRPr="00300042" w:rsidTr="00C76DCC">
        <w:trPr>
          <w:jc w:val="center"/>
        </w:trPr>
        <w:tc>
          <w:tcPr>
            <w:tcW w:w="0" w:type="auto"/>
            <w:shd w:val="clear" w:color="auto" w:fill="auto"/>
          </w:tcPr>
          <w:p w:rsidR="00AC4493" w:rsidRPr="00300042" w:rsidRDefault="00AC4493" w:rsidP="00C76DCC">
            <w:pPr>
              <w:spacing w:before="80"/>
              <w:rPr>
                <w:b/>
                <w:szCs w:val="24"/>
              </w:rPr>
            </w:pPr>
            <w:r w:rsidRPr="00300042">
              <w:rPr>
                <w:b/>
                <w:szCs w:val="24"/>
              </w:rPr>
              <w:t>Date (</w:t>
            </w:r>
            <w:proofErr w:type="spellStart"/>
            <w:r w:rsidRPr="00300042">
              <w:rPr>
                <w:b/>
                <w:szCs w:val="24"/>
              </w:rPr>
              <w:t>Tentative</w:t>
            </w:r>
            <w:proofErr w:type="spellEnd"/>
            <w:r w:rsidRPr="00300042">
              <w:rPr>
                <w:b/>
                <w:szCs w:val="24"/>
              </w:rPr>
              <w:t>)</w:t>
            </w:r>
          </w:p>
        </w:tc>
        <w:tc>
          <w:tcPr>
            <w:tcW w:w="0" w:type="auto"/>
            <w:shd w:val="clear" w:color="auto" w:fill="auto"/>
          </w:tcPr>
          <w:p w:rsidR="00AC4493" w:rsidRPr="00300042" w:rsidRDefault="00AC4493" w:rsidP="00C76DCC">
            <w:pPr>
              <w:spacing w:before="80"/>
              <w:rPr>
                <w:b/>
                <w:szCs w:val="24"/>
              </w:rPr>
            </w:pPr>
            <w:proofErr w:type="spellStart"/>
            <w:r w:rsidRPr="00300042">
              <w:rPr>
                <w:b/>
                <w:szCs w:val="24"/>
              </w:rPr>
              <w:t>Result</w:t>
            </w:r>
            <w:proofErr w:type="spellEnd"/>
            <w:r w:rsidRPr="00300042">
              <w:rPr>
                <w:b/>
                <w:szCs w:val="24"/>
              </w:rPr>
              <w:t>/</w:t>
            </w:r>
            <w:proofErr w:type="spellStart"/>
            <w:r w:rsidRPr="00300042">
              <w:rPr>
                <w:b/>
                <w:szCs w:val="24"/>
              </w:rPr>
              <w:t>activity</w:t>
            </w:r>
            <w:proofErr w:type="spellEnd"/>
            <w:r w:rsidRPr="00300042">
              <w:rPr>
                <w:b/>
                <w:szCs w:val="24"/>
              </w:rPr>
              <w:t xml:space="preserve"> </w:t>
            </w:r>
            <w:proofErr w:type="spellStart"/>
            <w:r w:rsidRPr="00300042">
              <w:rPr>
                <w:b/>
                <w:szCs w:val="24"/>
              </w:rPr>
              <w:t>completed</w:t>
            </w:r>
            <w:proofErr w:type="spellEnd"/>
          </w:p>
        </w:tc>
      </w:tr>
      <w:tr w:rsidR="00AC4493" w:rsidRPr="00300042" w:rsidTr="00C76DCC">
        <w:trPr>
          <w:jc w:val="center"/>
        </w:trPr>
        <w:tc>
          <w:tcPr>
            <w:tcW w:w="0" w:type="auto"/>
            <w:shd w:val="clear" w:color="auto" w:fill="auto"/>
          </w:tcPr>
          <w:p w:rsidR="00AC4493" w:rsidRPr="00300042" w:rsidRDefault="00AC4493" w:rsidP="00C76DCC">
            <w:pPr>
              <w:rPr>
                <w:szCs w:val="24"/>
              </w:rPr>
            </w:pPr>
            <w:r w:rsidRPr="00300042">
              <w:rPr>
                <w:szCs w:val="24"/>
              </w:rPr>
              <w:t xml:space="preserve">13 </w:t>
            </w:r>
            <w:proofErr w:type="spellStart"/>
            <w:r w:rsidRPr="00300042">
              <w:rPr>
                <w:szCs w:val="24"/>
              </w:rPr>
              <w:t>December</w:t>
            </w:r>
            <w:proofErr w:type="spellEnd"/>
            <w:r w:rsidRPr="00300042">
              <w:rPr>
                <w:szCs w:val="24"/>
              </w:rPr>
              <w:t xml:space="preserve"> 2016 </w:t>
            </w:r>
          </w:p>
        </w:tc>
        <w:tc>
          <w:tcPr>
            <w:tcW w:w="0" w:type="auto"/>
            <w:shd w:val="clear" w:color="auto" w:fill="auto"/>
          </w:tcPr>
          <w:p w:rsidR="00AC4493" w:rsidRPr="00300042" w:rsidRDefault="00AC4493" w:rsidP="00C76DCC">
            <w:pPr>
              <w:spacing w:before="80"/>
              <w:rPr>
                <w:szCs w:val="24"/>
                <w:lang w:val="en-US"/>
              </w:rPr>
            </w:pPr>
            <w:r w:rsidRPr="00300042">
              <w:rPr>
                <w:szCs w:val="24"/>
                <w:lang w:val="en-US"/>
              </w:rPr>
              <w:t>Call for indication of participation sent out</w:t>
            </w:r>
          </w:p>
          <w:p w:rsidR="00AC4493" w:rsidRPr="00300042" w:rsidRDefault="00AC4493" w:rsidP="00C76DCC">
            <w:pPr>
              <w:spacing w:before="80"/>
              <w:rPr>
                <w:szCs w:val="24"/>
              </w:rPr>
            </w:pPr>
            <w:proofErr w:type="spellStart"/>
            <w:r w:rsidRPr="00300042">
              <w:rPr>
                <w:szCs w:val="24"/>
              </w:rPr>
              <w:t>Stable</w:t>
            </w:r>
            <w:proofErr w:type="spellEnd"/>
            <w:r w:rsidRPr="00300042">
              <w:rPr>
                <w:szCs w:val="24"/>
              </w:rPr>
              <w:t xml:space="preserve"> </w:t>
            </w:r>
            <w:proofErr w:type="spellStart"/>
            <w:r w:rsidRPr="00300042">
              <w:rPr>
                <w:szCs w:val="24"/>
              </w:rPr>
              <w:t>ToR</w:t>
            </w:r>
            <w:proofErr w:type="spellEnd"/>
            <w:r w:rsidRPr="00300042">
              <w:rPr>
                <w:szCs w:val="24"/>
              </w:rPr>
              <w:t xml:space="preserve"> </w:t>
            </w:r>
            <w:proofErr w:type="spellStart"/>
            <w:r w:rsidRPr="00300042">
              <w:rPr>
                <w:szCs w:val="24"/>
              </w:rPr>
              <w:t>available</w:t>
            </w:r>
            <w:proofErr w:type="spellEnd"/>
          </w:p>
          <w:p w:rsidR="00AC4493" w:rsidRPr="00300042" w:rsidRDefault="00AC4493" w:rsidP="00C76DCC">
            <w:pPr>
              <w:spacing w:before="80"/>
              <w:rPr>
                <w:szCs w:val="24"/>
              </w:rPr>
            </w:pPr>
            <w:proofErr w:type="spellStart"/>
            <w:r w:rsidRPr="00300042">
              <w:rPr>
                <w:szCs w:val="24"/>
              </w:rPr>
              <w:t>Draft</w:t>
            </w:r>
            <w:proofErr w:type="spellEnd"/>
            <w:r w:rsidRPr="00300042">
              <w:rPr>
                <w:szCs w:val="24"/>
              </w:rPr>
              <w:t xml:space="preserve"> </w:t>
            </w:r>
            <w:proofErr w:type="spellStart"/>
            <w:r w:rsidRPr="00300042">
              <w:rPr>
                <w:szCs w:val="24"/>
              </w:rPr>
              <w:t>requirement</w:t>
            </w:r>
            <w:proofErr w:type="spellEnd"/>
            <w:r w:rsidRPr="00300042">
              <w:rPr>
                <w:szCs w:val="24"/>
              </w:rPr>
              <w:t xml:space="preserve"> </w:t>
            </w:r>
            <w:proofErr w:type="spellStart"/>
            <w:r w:rsidRPr="00300042">
              <w:rPr>
                <w:szCs w:val="24"/>
              </w:rPr>
              <w:t>specification</w:t>
            </w:r>
            <w:proofErr w:type="spellEnd"/>
          </w:p>
        </w:tc>
      </w:tr>
      <w:tr w:rsidR="00AC4493" w:rsidRPr="00721788" w:rsidTr="00C76DCC">
        <w:trPr>
          <w:jc w:val="center"/>
        </w:trPr>
        <w:tc>
          <w:tcPr>
            <w:tcW w:w="0" w:type="auto"/>
            <w:shd w:val="clear" w:color="auto" w:fill="auto"/>
          </w:tcPr>
          <w:p w:rsidR="00AC4493" w:rsidRPr="00300042" w:rsidRDefault="00AC4493" w:rsidP="00C76DCC">
            <w:pPr>
              <w:rPr>
                <w:b/>
                <w:szCs w:val="24"/>
              </w:rPr>
            </w:pPr>
            <w:r w:rsidRPr="00300042">
              <w:rPr>
                <w:b/>
                <w:szCs w:val="24"/>
              </w:rPr>
              <w:t xml:space="preserve">9 </w:t>
            </w:r>
            <w:proofErr w:type="spellStart"/>
            <w:r w:rsidRPr="00300042">
              <w:rPr>
                <w:b/>
                <w:szCs w:val="24"/>
              </w:rPr>
              <w:t>January</w:t>
            </w:r>
            <w:proofErr w:type="spellEnd"/>
            <w:r w:rsidRPr="00300042">
              <w:rPr>
                <w:b/>
                <w:szCs w:val="24"/>
              </w:rPr>
              <w:t xml:space="preserve"> 2017</w:t>
            </w:r>
          </w:p>
        </w:tc>
        <w:tc>
          <w:tcPr>
            <w:tcW w:w="0" w:type="auto"/>
            <w:shd w:val="clear" w:color="auto" w:fill="auto"/>
          </w:tcPr>
          <w:p w:rsidR="00AC4493" w:rsidRPr="00300042" w:rsidRDefault="00AC4493" w:rsidP="00C76DCC">
            <w:pPr>
              <w:rPr>
                <w:szCs w:val="24"/>
                <w:lang w:val="en-US"/>
              </w:rPr>
            </w:pPr>
            <w:r w:rsidRPr="00300042">
              <w:rPr>
                <w:szCs w:val="24"/>
                <w:lang w:val="en-US"/>
              </w:rPr>
              <w:t>Deadline for indication of participation</w:t>
            </w:r>
          </w:p>
        </w:tc>
      </w:tr>
      <w:tr w:rsidR="00AC4493" w:rsidRPr="00300042" w:rsidTr="00C76DCC">
        <w:trPr>
          <w:jc w:val="center"/>
        </w:trPr>
        <w:tc>
          <w:tcPr>
            <w:tcW w:w="0" w:type="auto"/>
            <w:shd w:val="clear" w:color="auto" w:fill="auto"/>
          </w:tcPr>
          <w:p w:rsidR="00AC4493" w:rsidRPr="00300042" w:rsidRDefault="00AC4493" w:rsidP="00C76DCC">
            <w:pPr>
              <w:rPr>
                <w:szCs w:val="24"/>
                <w:lang w:val="en-US"/>
              </w:rPr>
            </w:pPr>
            <w:r w:rsidRPr="00300042">
              <w:rPr>
                <w:szCs w:val="24"/>
                <w:lang w:val="en-US"/>
              </w:rPr>
              <w:t>End of SG12 January meeting</w:t>
            </w:r>
          </w:p>
        </w:tc>
        <w:tc>
          <w:tcPr>
            <w:tcW w:w="0" w:type="auto"/>
            <w:shd w:val="clear" w:color="auto" w:fill="auto"/>
          </w:tcPr>
          <w:p w:rsidR="00AC4493" w:rsidRPr="00300042" w:rsidRDefault="00AC4493" w:rsidP="00C76DCC">
            <w:pPr>
              <w:spacing w:before="80"/>
              <w:rPr>
                <w:szCs w:val="24"/>
                <w:lang w:val="en-US"/>
              </w:rPr>
            </w:pPr>
            <w:r w:rsidRPr="00300042">
              <w:rPr>
                <w:szCs w:val="24"/>
                <w:lang w:val="en-US"/>
              </w:rPr>
              <w:t xml:space="preserve">Updates (if any) for requirement specification and </w:t>
            </w:r>
            <w:proofErr w:type="spellStart"/>
            <w:r w:rsidRPr="00300042">
              <w:rPr>
                <w:szCs w:val="24"/>
                <w:lang w:val="en-US"/>
              </w:rPr>
              <w:t>ToR</w:t>
            </w:r>
            <w:proofErr w:type="spellEnd"/>
            <w:r w:rsidRPr="00300042">
              <w:rPr>
                <w:szCs w:val="24"/>
                <w:lang w:val="en-US"/>
              </w:rPr>
              <w:t xml:space="preserve"> </w:t>
            </w:r>
          </w:p>
          <w:p w:rsidR="00AC4493" w:rsidRPr="00300042" w:rsidRDefault="00AC4493" w:rsidP="00C76DCC">
            <w:pPr>
              <w:spacing w:before="80"/>
              <w:rPr>
                <w:szCs w:val="24"/>
              </w:rPr>
            </w:pPr>
            <w:proofErr w:type="spellStart"/>
            <w:r w:rsidRPr="00300042">
              <w:rPr>
                <w:szCs w:val="24"/>
              </w:rPr>
              <w:t>Draft</w:t>
            </w:r>
            <w:proofErr w:type="spellEnd"/>
            <w:r w:rsidRPr="00300042">
              <w:rPr>
                <w:szCs w:val="24"/>
              </w:rPr>
              <w:t xml:space="preserve"> test </w:t>
            </w:r>
            <w:proofErr w:type="spellStart"/>
            <w:r w:rsidRPr="00300042">
              <w:rPr>
                <w:szCs w:val="24"/>
              </w:rPr>
              <w:t>specification</w:t>
            </w:r>
            <w:proofErr w:type="spellEnd"/>
            <w:r w:rsidRPr="00300042">
              <w:rPr>
                <w:szCs w:val="24"/>
              </w:rPr>
              <w:t xml:space="preserve"> </w:t>
            </w:r>
            <w:proofErr w:type="spellStart"/>
            <w:r w:rsidRPr="00300042">
              <w:rPr>
                <w:szCs w:val="24"/>
              </w:rPr>
              <w:t>available</w:t>
            </w:r>
            <w:proofErr w:type="spellEnd"/>
          </w:p>
        </w:tc>
      </w:tr>
      <w:tr w:rsidR="00AC4493" w:rsidRPr="00721788" w:rsidTr="00C76DCC">
        <w:trPr>
          <w:jc w:val="center"/>
        </w:trPr>
        <w:tc>
          <w:tcPr>
            <w:tcW w:w="0" w:type="auto"/>
            <w:shd w:val="clear" w:color="auto" w:fill="auto"/>
          </w:tcPr>
          <w:p w:rsidR="00AC4493" w:rsidRPr="00300042" w:rsidRDefault="00AC4493" w:rsidP="00C76DCC">
            <w:pPr>
              <w:rPr>
                <w:b/>
                <w:szCs w:val="24"/>
              </w:rPr>
            </w:pPr>
            <w:r w:rsidRPr="00300042">
              <w:rPr>
                <w:b/>
                <w:szCs w:val="24"/>
              </w:rPr>
              <w:t xml:space="preserve">3 </w:t>
            </w:r>
            <w:proofErr w:type="spellStart"/>
            <w:r w:rsidRPr="00300042">
              <w:rPr>
                <w:b/>
                <w:szCs w:val="24"/>
              </w:rPr>
              <w:t>February</w:t>
            </w:r>
            <w:proofErr w:type="spellEnd"/>
            <w:r w:rsidRPr="00300042">
              <w:rPr>
                <w:b/>
                <w:szCs w:val="24"/>
              </w:rPr>
              <w:t xml:space="preserve"> 2017</w:t>
            </w:r>
          </w:p>
        </w:tc>
        <w:tc>
          <w:tcPr>
            <w:tcW w:w="0" w:type="auto"/>
            <w:shd w:val="clear" w:color="auto" w:fill="auto"/>
          </w:tcPr>
          <w:p w:rsidR="00AC4493" w:rsidRPr="00300042" w:rsidRDefault="00AC4493" w:rsidP="00C76DCC">
            <w:pPr>
              <w:rPr>
                <w:szCs w:val="24"/>
                <w:lang w:val="en-US"/>
              </w:rPr>
            </w:pPr>
            <w:r w:rsidRPr="00300042">
              <w:rPr>
                <w:szCs w:val="24"/>
                <w:lang w:val="en-US"/>
              </w:rPr>
              <w:t>Deadline response for binding call for participation</w:t>
            </w:r>
          </w:p>
        </w:tc>
      </w:tr>
      <w:tr w:rsidR="00AC4493" w:rsidRPr="00721788" w:rsidTr="00C76DCC">
        <w:trPr>
          <w:jc w:val="center"/>
        </w:trPr>
        <w:tc>
          <w:tcPr>
            <w:tcW w:w="0" w:type="auto"/>
            <w:shd w:val="clear" w:color="auto" w:fill="auto"/>
          </w:tcPr>
          <w:p w:rsidR="00AC4493" w:rsidRPr="00300042" w:rsidRDefault="00AC4493" w:rsidP="00C76DCC">
            <w:pPr>
              <w:rPr>
                <w:szCs w:val="24"/>
              </w:rPr>
            </w:pPr>
            <w:proofErr w:type="spellStart"/>
            <w:r w:rsidRPr="00300042">
              <w:rPr>
                <w:szCs w:val="24"/>
              </w:rPr>
              <w:t>May</w:t>
            </w:r>
            <w:proofErr w:type="spellEnd"/>
            <w:r w:rsidRPr="00300042">
              <w:rPr>
                <w:szCs w:val="24"/>
              </w:rPr>
              <w:t xml:space="preserve"> 2017</w:t>
            </w:r>
          </w:p>
        </w:tc>
        <w:tc>
          <w:tcPr>
            <w:tcW w:w="0" w:type="auto"/>
            <w:shd w:val="clear" w:color="auto" w:fill="auto"/>
          </w:tcPr>
          <w:p w:rsidR="00AC4493" w:rsidRPr="00300042" w:rsidRDefault="00AC4493" w:rsidP="00C76DCC">
            <w:pPr>
              <w:rPr>
                <w:szCs w:val="24"/>
                <w:lang w:val="en-US"/>
              </w:rPr>
            </w:pPr>
            <w:r w:rsidRPr="00300042">
              <w:rPr>
                <w:szCs w:val="24"/>
                <w:lang w:val="en-US"/>
              </w:rPr>
              <w:t>All details of test and processing chain set</w:t>
            </w:r>
          </w:p>
        </w:tc>
      </w:tr>
      <w:tr w:rsidR="00AC4493" w:rsidRPr="00300042" w:rsidTr="00C76DCC">
        <w:trPr>
          <w:jc w:val="center"/>
        </w:trPr>
        <w:tc>
          <w:tcPr>
            <w:tcW w:w="0" w:type="auto"/>
            <w:shd w:val="clear" w:color="auto" w:fill="auto"/>
          </w:tcPr>
          <w:p w:rsidR="00AC4493" w:rsidRPr="00300042" w:rsidRDefault="00AC4493" w:rsidP="00C76DCC">
            <w:pPr>
              <w:rPr>
                <w:szCs w:val="24"/>
              </w:rPr>
            </w:pPr>
            <w:proofErr w:type="spellStart"/>
            <w:r w:rsidRPr="00300042">
              <w:rPr>
                <w:szCs w:val="24"/>
              </w:rPr>
              <w:t>August</w:t>
            </w:r>
            <w:proofErr w:type="spellEnd"/>
            <w:r w:rsidRPr="00300042">
              <w:rPr>
                <w:szCs w:val="24"/>
              </w:rPr>
              <w:t xml:space="preserve"> 2017</w:t>
            </w:r>
          </w:p>
        </w:tc>
        <w:tc>
          <w:tcPr>
            <w:tcW w:w="0" w:type="auto"/>
            <w:shd w:val="clear" w:color="auto" w:fill="auto"/>
          </w:tcPr>
          <w:p w:rsidR="00AC4493" w:rsidRPr="00300042" w:rsidRDefault="00AC4493" w:rsidP="00C76DCC">
            <w:pPr>
              <w:rPr>
                <w:szCs w:val="24"/>
              </w:rPr>
            </w:pPr>
            <w:r w:rsidRPr="00300042">
              <w:rPr>
                <w:szCs w:val="24"/>
              </w:rPr>
              <w:t xml:space="preserve">Training </w:t>
            </w:r>
            <w:proofErr w:type="spellStart"/>
            <w:r w:rsidRPr="00300042">
              <w:rPr>
                <w:szCs w:val="24"/>
              </w:rPr>
              <w:t>databases</w:t>
            </w:r>
            <w:proofErr w:type="spellEnd"/>
            <w:r w:rsidRPr="00300042">
              <w:rPr>
                <w:szCs w:val="24"/>
              </w:rPr>
              <w:t xml:space="preserve"> </w:t>
            </w:r>
            <w:proofErr w:type="spellStart"/>
            <w:r w:rsidRPr="00300042">
              <w:rPr>
                <w:szCs w:val="24"/>
              </w:rPr>
              <w:t>submitted</w:t>
            </w:r>
            <w:proofErr w:type="spellEnd"/>
          </w:p>
        </w:tc>
      </w:tr>
      <w:tr w:rsidR="00AC4493" w:rsidRPr="00300042" w:rsidTr="00C76DCC">
        <w:trPr>
          <w:jc w:val="center"/>
        </w:trPr>
        <w:tc>
          <w:tcPr>
            <w:tcW w:w="0" w:type="auto"/>
            <w:shd w:val="clear" w:color="auto" w:fill="auto"/>
          </w:tcPr>
          <w:p w:rsidR="00AC4493" w:rsidRPr="00300042" w:rsidRDefault="00AC4493" w:rsidP="00C76DCC">
            <w:pPr>
              <w:rPr>
                <w:szCs w:val="24"/>
              </w:rPr>
            </w:pPr>
            <w:proofErr w:type="spellStart"/>
            <w:r w:rsidRPr="00300042">
              <w:rPr>
                <w:szCs w:val="24"/>
              </w:rPr>
              <w:t>November</w:t>
            </w:r>
            <w:proofErr w:type="spellEnd"/>
            <w:r w:rsidRPr="00300042">
              <w:rPr>
                <w:szCs w:val="24"/>
              </w:rPr>
              <w:t xml:space="preserve"> 2017</w:t>
            </w:r>
          </w:p>
        </w:tc>
        <w:tc>
          <w:tcPr>
            <w:tcW w:w="0" w:type="auto"/>
            <w:shd w:val="clear" w:color="auto" w:fill="auto"/>
          </w:tcPr>
          <w:p w:rsidR="00AC4493" w:rsidRPr="00300042" w:rsidRDefault="00AC4493" w:rsidP="00C76DCC">
            <w:pPr>
              <w:rPr>
                <w:szCs w:val="24"/>
              </w:rPr>
            </w:pPr>
            <w:proofErr w:type="spellStart"/>
            <w:r w:rsidRPr="00300042">
              <w:rPr>
                <w:szCs w:val="24"/>
              </w:rPr>
              <w:t>Model</w:t>
            </w:r>
            <w:proofErr w:type="spellEnd"/>
            <w:r w:rsidRPr="00300042">
              <w:rPr>
                <w:szCs w:val="24"/>
              </w:rPr>
              <w:t xml:space="preserve"> </w:t>
            </w:r>
            <w:proofErr w:type="spellStart"/>
            <w:r w:rsidRPr="00300042">
              <w:rPr>
                <w:szCs w:val="24"/>
              </w:rPr>
              <w:t>submission</w:t>
            </w:r>
            <w:proofErr w:type="spellEnd"/>
          </w:p>
        </w:tc>
      </w:tr>
    </w:tbl>
    <w:p w:rsidR="00AC4493" w:rsidRPr="00300042" w:rsidRDefault="00AC4493" w:rsidP="00AC4493">
      <w:pPr>
        <w:rPr>
          <w:b/>
        </w:rPr>
      </w:pPr>
      <w:proofErr w:type="spellStart"/>
      <w:r w:rsidRPr="00300042">
        <w:rPr>
          <w:b/>
        </w:rPr>
        <w:t>Communication</w:t>
      </w:r>
      <w:proofErr w:type="spellEnd"/>
    </w:p>
    <w:p w:rsidR="00AC4493" w:rsidRPr="00300042" w:rsidRDefault="00AC4493" w:rsidP="00AC4493">
      <w:pPr>
        <w:rPr>
          <w:lang w:val="en-US"/>
        </w:rPr>
      </w:pPr>
      <w:r w:rsidRPr="00300042">
        <w:rPr>
          <w:lang w:val="en-US"/>
        </w:rPr>
        <w:t>Participants are encouraged to respond to this call for participation as indicated above. Participants are also encouraged to subscribe to the e-mail reflector of AVHD-AS/P.NATS Phase 2 (</w:t>
      </w:r>
      <w:r w:rsidRPr="00300042">
        <w:rPr>
          <w:rStyle w:val="Hyperlink"/>
          <w:lang w:val="en-US"/>
        </w:rPr>
        <w:t>pnats2avhd@lists.itu.int</w:t>
      </w:r>
      <w:r w:rsidRPr="00300042">
        <w:rPr>
          <w:lang w:val="en-US"/>
        </w:rPr>
        <w:t xml:space="preserve">), to join the AVHD-AS/P.NATS Phase 2 conference calls announced on the email reflector, and to participate in the in-person project meetings. An ITU TIES or Guest account is required to subscribe. Participants can register for a Guest account at </w:t>
      </w:r>
      <w:hyperlink r:id="rId24" w:history="1">
        <w:r w:rsidRPr="00300042">
          <w:rPr>
            <w:rStyle w:val="Hyperlink"/>
            <w:lang w:val="en-US"/>
          </w:rPr>
          <w:t>https://www.itu.int/net/iwm/public/frmUserRegistration.aspx</w:t>
        </w:r>
      </w:hyperlink>
      <w:r w:rsidRPr="00300042">
        <w:rPr>
          <w:lang w:val="en-US"/>
        </w:rPr>
        <w:t xml:space="preserve"> and sign up for the e-mail reflector at </w:t>
      </w:r>
      <w:hyperlink r:id="rId25" w:history="1">
        <w:r w:rsidRPr="00300042">
          <w:rPr>
            <w:rStyle w:val="Hyperlink"/>
            <w:lang w:val="en-US"/>
          </w:rPr>
          <w:t>https://www.itu.int/net4/iwm/?p0=0&amp;p11=ITU&amp;p12=ITU-SEP-ITU-T-SEP-Other%20Groups-SEP-pnats2avhd&amp;p21=ITU&amp;p22=ITU-SEP-ITU-T-SEP-Other%20Groups-SEP-pnats2avhd</w:t>
        </w:r>
      </w:hyperlink>
      <w:r w:rsidRPr="00300042">
        <w:rPr>
          <w:lang w:val="en-US"/>
        </w:rPr>
        <w:t xml:space="preserve">.  </w:t>
      </w:r>
    </w:p>
    <w:p w:rsidR="00AC4493" w:rsidRPr="00300042" w:rsidRDefault="00AC4493" w:rsidP="00AC4493">
      <w:pPr>
        <w:rPr>
          <w:lang w:val="en-US"/>
        </w:rPr>
      </w:pPr>
      <w:r w:rsidRPr="00300042">
        <w:rPr>
          <w:lang w:val="en-US"/>
        </w:rPr>
        <w:t xml:space="preserve">More information about Study Group 12 can be found at: </w:t>
      </w:r>
      <w:r w:rsidRPr="00300042">
        <w:rPr>
          <w:lang w:val="en-US"/>
        </w:rPr>
        <w:br/>
      </w:r>
      <w:hyperlink r:id="rId26" w:history="1">
        <w:r w:rsidRPr="00300042">
          <w:rPr>
            <w:rStyle w:val="Hyperlink"/>
            <w:lang w:val="en-US"/>
          </w:rPr>
          <w:t>https://www.itu.int/en/ITU-T/studygroups/2017-2020/12/</w:t>
        </w:r>
      </w:hyperlink>
      <w:r w:rsidRPr="00300042">
        <w:rPr>
          <w:lang w:val="en-US"/>
        </w:rPr>
        <w:t>.</w:t>
      </w:r>
    </w:p>
    <w:p w:rsidR="00AC4493" w:rsidRPr="00AC4493" w:rsidRDefault="00AC4493" w:rsidP="00AC4493">
      <w:pPr>
        <w:rPr>
          <w:lang w:val="en-GB"/>
        </w:rPr>
      </w:pPr>
      <w:r w:rsidRPr="00300042">
        <w:rPr>
          <w:lang w:val="en-US"/>
        </w:rPr>
        <w:t xml:space="preserve">More information about VQEG can be found at </w:t>
      </w:r>
      <w:hyperlink r:id="rId27" w:history="1">
        <w:r w:rsidRPr="00300042">
          <w:rPr>
            <w:rStyle w:val="Hyperlink"/>
            <w:lang w:val="en-US"/>
          </w:rPr>
          <w:t>http://www.its.bldrdoc.gov/vqeg/</w:t>
        </w:r>
      </w:hyperlink>
      <w:r w:rsidRPr="00300042">
        <w:rPr>
          <w:lang w:val="en-US"/>
        </w:rPr>
        <w:t xml:space="preserve">. </w:t>
      </w:r>
    </w:p>
    <w:p w:rsidR="00AC4493" w:rsidRDefault="00AC4493" w:rsidP="0032202E">
      <w:pPr>
        <w:pStyle w:val="Reasons"/>
      </w:pPr>
    </w:p>
    <w:p w:rsidR="00AC4493" w:rsidRDefault="00AC4493">
      <w:pPr>
        <w:jc w:val="center"/>
      </w:pPr>
      <w:r>
        <w:t>______________</w:t>
      </w:r>
    </w:p>
    <w:sectPr w:rsidR="00AC4493">
      <w:headerReference w:type="default" r:id="rId28"/>
      <w:footerReference w:type="default" r:id="rId29"/>
      <w:footerReference w:type="first" r:id="rId30"/>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D4D" w:rsidRDefault="00634D4D">
      <w:r>
        <w:separator/>
      </w:r>
    </w:p>
  </w:endnote>
  <w:endnote w:type="continuationSeparator" w:id="0">
    <w:p w:rsidR="00634D4D" w:rsidRDefault="0063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4D" w:rsidRPr="002F20AB" w:rsidRDefault="003902E8" w:rsidP="003902E8">
    <w:pPr>
      <w:pStyle w:val="Footer"/>
      <w:rPr>
        <w:noProof/>
        <w:sz w:val="16"/>
        <w:szCs w:val="16"/>
        <w:lang w:val="fr-CH"/>
      </w:rPr>
    </w:pPr>
    <w:r w:rsidRPr="002F20AB">
      <w:rPr>
        <w:sz w:val="16"/>
        <w:szCs w:val="16"/>
        <w:lang w:val="fr-CH"/>
      </w:rPr>
      <w:t>ITU-T\BUREAU\CIRC\003S.DOC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4D" w:rsidRPr="007D1C91" w:rsidRDefault="00634D4D" w:rsidP="007D1C91">
    <w:pPr>
      <w:pStyle w:val="FirstFooter"/>
      <w:ind w:left="-397" w:right="-397"/>
      <w:jc w:val="center"/>
      <w:rPr>
        <w:szCs w:val="18"/>
      </w:rPr>
    </w:pPr>
    <w:r w:rsidRPr="00251BCD">
      <w:rPr>
        <w:szCs w:val="18"/>
      </w:rPr>
      <w:t xml:space="preserve">Unión Internacional de Telecomunicaciones • Place des </w:t>
    </w:r>
    <w:proofErr w:type="spellStart"/>
    <w:r w:rsidRPr="00251BCD">
      <w:rPr>
        <w:szCs w:val="18"/>
      </w:rPr>
      <w:t>Nations</w:t>
    </w:r>
    <w:proofErr w:type="spellEnd"/>
    <w:r w:rsidRPr="00251BCD">
      <w:rPr>
        <w:szCs w:val="18"/>
      </w:rPr>
      <w:t>, CH</w:t>
    </w:r>
    <w:r w:rsidRPr="00251BCD">
      <w:rPr>
        <w:szCs w:val="18"/>
      </w:rPr>
      <w:noBreakHyphen/>
      <w:t xml:space="preserve">1211 Ginebra 20, Suiza </w:t>
    </w:r>
    <w:r w:rsidRPr="00251BCD">
      <w:rPr>
        <w:szCs w:val="18"/>
      </w:rPr>
      <w:br/>
      <w:t>Tel</w:t>
    </w:r>
    <w:r>
      <w:rPr>
        <w:szCs w:val="18"/>
      </w:rPr>
      <w:t>.</w:t>
    </w:r>
    <w:r w:rsidRPr="00251BCD">
      <w:rPr>
        <w:szCs w:val="18"/>
      </w:rPr>
      <w:t xml:space="preserve">: +41 22 730 5111 • Fax: +41 22 733 7256 • Correo-e: </w:t>
    </w:r>
    <w:hyperlink r:id="rId1" w:history="1">
      <w:r w:rsidRPr="00251BCD">
        <w:rPr>
          <w:rStyle w:val="Hyperlink"/>
        </w:rPr>
        <w:t>itumail@itu.int</w:t>
      </w:r>
    </w:hyperlink>
    <w:r w:rsidRPr="00251BCD">
      <w:rPr>
        <w:szCs w:val="18"/>
      </w:rPr>
      <w:t xml:space="preserve"> • </w:t>
    </w:r>
    <w:hyperlink r:id="rId2" w:history="1">
      <w:r w:rsidRPr="00251BCD">
        <w:rPr>
          <w:rStyle w:val="Hyperlink"/>
        </w:rPr>
        <w:t>www.itu.int</w:t>
      </w:r>
    </w:hyperlink>
    <w:r w:rsidRPr="00251BCD">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D4D" w:rsidRDefault="00634D4D">
      <w:r>
        <w:t>____________________</w:t>
      </w:r>
    </w:p>
  </w:footnote>
  <w:footnote w:type="continuationSeparator" w:id="0">
    <w:p w:rsidR="00634D4D" w:rsidRDefault="00634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4D" w:rsidRPr="00303D62" w:rsidRDefault="00634D4D">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721788">
      <w:rPr>
        <w:rStyle w:val="PageNumber"/>
        <w:noProof/>
        <w:sz w:val="18"/>
        <w:szCs w:val="18"/>
      </w:rPr>
      <w:t>6</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360B"/>
    <w:multiLevelType w:val="hybridMultilevel"/>
    <w:tmpl w:val="0A4447A6"/>
    <w:lvl w:ilvl="0" w:tplc="3286C202">
      <w:start w:val="1"/>
      <w:numFmt w:val="bullet"/>
      <w:lvlText w:val="•"/>
      <w:lvlJc w:val="left"/>
      <w:pPr>
        <w:tabs>
          <w:tab w:val="num" w:pos="720"/>
        </w:tabs>
        <w:ind w:left="720" w:hanging="360"/>
      </w:pPr>
      <w:rPr>
        <w:rFonts w:ascii="Arial" w:hAnsi="Arial" w:cs="Times New Roman" w:hint="default"/>
      </w:rPr>
    </w:lvl>
    <w:lvl w:ilvl="1" w:tplc="5274B678">
      <w:start w:val="3042"/>
      <w:numFmt w:val="bullet"/>
      <w:lvlText w:val="–"/>
      <w:lvlJc w:val="left"/>
      <w:pPr>
        <w:tabs>
          <w:tab w:val="num" w:pos="1440"/>
        </w:tabs>
        <w:ind w:left="1440" w:hanging="360"/>
      </w:pPr>
      <w:rPr>
        <w:rFonts w:ascii="Arial" w:hAnsi="Arial" w:cs="Times New Roman" w:hint="default"/>
      </w:rPr>
    </w:lvl>
    <w:lvl w:ilvl="2" w:tplc="8DCAF868">
      <w:start w:val="1"/>
      <w:numFmt w:val="bullet"/>
      <w:lvlText w:val="•"/>
      <w:lvlJc w:val="left"/>
      <w:pPr>
        <w:tabs>
          <w:tab w:val="num" w:pos="2160"/>
        </w:tabs>
        <w:ind w:left="2160" w:hanging="360"/>
      </w:pPr>
      <w:rPr>
        <w:rFonts w:ascii="Arial" w:hAnsi="Arial" w:cs="Times New Roman" w:hint="default"/>
      </w:rPr>
    </w:lvl>
    <w:lvl w:ilvl="3" w:tplc="607A7BB4">
      <w:start w:val="1"/>
      <w:numFmt w:val="bullet"/>
      <w:lvlText w:val="•"/>
      <w:lvlJc w:val="left"/>
      <w:pPr>
        <w:tabs>
          <w:tab w:val="num" w:pos="2880"/>
        </w:tabs>
        <w:ind w:left="2880" w:hanging="360"/>
      </w:pPr>
      <w:rPr>
        <w:rFonts w:ascii="Arial" w:hAnsi="Arial" w:cs="Times New Roman" w:hint="default"/>
      </w:rPr>
    </w:lvl>
    <w:lvl w:ilvl="4" w:tplc="40C63E88">
      <w:start w:val="1"/>
      <w:numFmt w:val="bullet"/>
      <w:lvlText w:val="•"/>
      <w:lvlJc w:val="left"/>
      <w:pPr>
        <w:tabs>
          <w:tab w:val="num" w:pos="3600"/>
        </w:tabs>
        <w:ind w:left="3600" w:hanging="360"/>
      </w:pPr>
      <w:rPr>
        <w:rFonts w:ascii="Arial" w:hAnsi="Arial" w:cs="Times New Roman" w:hint="default"/>
      </w:rPr>
    </w:lvl>
    <w:lvl w:ilvl="5" w:tplc="49AA7CDC">
      <w:start w:val="1"/>
      <w:numFmt w:val="bullet"/>
      <w:lvlText w:val="•"/>
      <w:lvlJc w:val="left"/>
      <w:pPr>
        <w:tabs>
          <w:tab w:val="num" w:pos="4320"/>
        </w:tabs>
        <w:ind w:left="4320" w:hanging="360"/>
      </w:pPr>
      <w:rPr>
        <w:rFonts w:ascii="Arial" w:hAnsi="Arial" w:cs="Times New Roman" w:hint="default"/>
      </w:rPr>
    </w:lvl>
    <w:lvl w:ilvl="6" w:tplc="8A02CE4E">
      <w:start w:val="1"/>
      <w:numFmt w:val="bullet"/>
      <w:lvlText w:val="•"/>
      <w:lvlJc w:val="left"/>
      <w:pPr>
        <w:tabs>
          <w:tab w:val="num" w:pos="5040"/>
        </w:tabs>
        <w:ind w:left="5040" w:hanging="360"/>
      </w:pPr>
      <w:rPr>
        <w:rFonts w:ascii="Arial" w:hAnsi="Arial" w:cs="Times New Roman" w:hint="default"/>
      </w:rPr>
    </w:lvl>
    <w:lvl w:ilvl="7" w:tplc="0E1E01F2">
      <w:start w:val="1"/>
      <w:numFmt w:val="bullet"/>
      <w:lvlText w:val="•"/>
      <w:lvlJc w:val="left"/>
      <w:pPr>
        <w:tabs>
          <w:tab w:val="num" w:pos="5760"/>
        </w:tabs>
        <w:ind w:left="5760" w:hanging="360"/>
      </w:pPr>
      <w:rPr>
        <w:rFonts w:ascii="Arial" w:hAnsi="Arial" w:cs="Times New Roman" w:hint="default"/>
      </w:rPr>
    </w:lvl>
    <w:lvl w:ilvl="8" w:tplc="217C15D4">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374B652F"/>
    <w:multiLevelType w:val="hybridMultilevel"/>
    <w:tmpl w:val="71C4C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CD"/>
    <w:rsid w:val="00002529"/>
    <w:rsid w:val="00022615"/>
    <w:rsid w:val="00056F9C"/>
    <w:rsid w:val="00095876"/>
    <w:rsid w:val="000C382F"/>
    <w:rsid w:val="000D0F56"/>
    <w:rsid w:val="001173CC"/>
    <w:rsid w:val="00137E25"/>
    <w:rsid w:val="001549A6"/>
    <w:rsid w:val="00154AF8"/>
    <w:rsid w:val="001A54CC"/>
    <w:rsid w:val="002045F5"/>
    <w:rsid w:val="00221291"/>
    <w:rsid w:val="00251BCD"/>
    <w:rsid w:val="00257FB4"/>
    <w:rsid w:val="00270279"/>
    <w:rsid w:val="002F20AB"/>
    <w:rsid w:val="002F396B"/>
    <w:rsid w:val="00303D62"/>
    <w:rsid w:val="00306D15"/>
    <w:rsid w:val="00335367"/>
    <w:rsid w:val="00370C2D"/>
    <w:rsid w:val="003902E8"/>
    <w:rsid w:val="003C7AB9"/>
    <w:rsid w:val="003D1E8D"/>
    <w:rsid w:val="003D673B"/>
    <w:rsid w:val="003F2855"/>
    <w:rsid w:val="00401C20"/>
    <w:rsid w:val="0041566A"/>
    <w:rsid w:val="00454A96"/>
    <w:rsid w:val="004B4200"/>
    <w:rsid w:val="004B6CC7"/>
    <w:rsid w:val="004C4144"/>
    <w:rsid w:val="004F342D"/>
    <w:rsid w:val="005100F7"/>
    <w:rsid w:val="00582AE6"/>
    <w:rsid w:val="00634D4D"/>
    <w:rsid w:val="006969B4"/>
    <w:rsid w:val="006E0858"/>
    <w:rsid w:val="006E6B4B"/>
    <w:rsid w:val="00721788"/>
    <w:rsid w:val="00766C24"/>
    <w:rsid w:val="00781E2A"/>
    <w:rsid w:val="007D1C91"/>
    <w:rsid w:val="007F76FC"/>
    <w:rsid w:val="00811D78"/>
    <w:rsid w:val="008258C2"/>
    <w:rsid w:val="008505BD"/>
    <w:rsid w:val="00850C78"/>
    <w:rsid w:val="008C17AD"/>
    <w:rsid w:val="008D02CD"/>
    <w:rsid w:val="00905238"/>
    <w:rsid w:val="0095172A"/>
    <w:rsid w:val="009532EC"/>
    <w:rsid w:val="0096668E"/>
    <w:rsid w:val="00991430"/>
    <w:rsid w:val="009C786F"/>
    <w:rsid w:val="00A27522"/>
    <w:rsid w:val="00A5218B"/>
    <w:rsid w:val="00A54E47"/>
    <w:rsid w:val="00AC4493"/>
    <w:rsid w:val="00AE2412"/>
    <w:rsid w:val="00AE7093"/>
    <w:rsid w:val="00AF3479"/>
    <w:rsid w:val="00B214EE"/>
    <w:rsid w:val="00B422BC"/>
    <w:rsid w:val="00B43F77"/>
    <w:rsid w:val="00B85161"/>
    <w:rsid w:val="00B95F0A"/>
    <w:rsid w:val="00B96180"/>
    <w:rsid w:val="00C07C30"/>
    <w:rsid w:val="00C17AC0"/>
    <w:rsid w:val="00C34772"/>
    <w:rsid w:val="00C60891"/>
    <w:rsid w:val="00C959A3"/>
    <w:rsid w:val="00CB51CD"/>
    <w:rsid w:val="00CD591A"/>
    <w:rsid w:val="00CF35DC"/>
    <w:rsid w:val="00D357B0"/>
    <w:rsid w:val="00D81346"/>
    <w:rsid w:val="00DA023E"/>
    <w:rsid w:val="00DA3D1C"/>
    <w:rsid w:val="00DB3EB3"/>
    <w:rsid w:val="00DD77C9"/>
    <w:rsid w:val="00DE2ED8"/>
    <w:rsid w:val="00DF39D2"/>
    <w:rsid w:val="00E41379"/>
    <w:rsid w:val="00E70AEB"/>
    <w:rsid w:val="00E839B0"/>
    <w:rsid w:val="00E9195D"/>
    <w:rsid w:val="00E92C09"/>
    <w:rsid w:val="00EA4FAE"/>
    <w:rsid w:val="00EF24E2"/>
    <w:rsid w:val="00F266DB"/>
    <w:rsid w:val="00F33B2E"/>
    <w:rsid w:val="00F6461F"/>
    <w:rsid w:val="00FA60B2"/>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D38D9959-51C7-4617-AC3F-8DDBD97B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7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F266DB"/>
    <w:pPr>
      <w:ind w:left="720"/>
      <w:contextualSpacing/>
    </w:pPr>
  </w:style>
  <w:style w:type="paragraph" w:styleId="BalloonText">
    <w:name w:val="Balloon Text"/>
    <w:basedOn w:val="Normal"/>
    <w:link w:val="BalloonTextChar"/>
    <w:semiHidden/>
    <w:unhideWhenUsed/>
    <w:rsid w:val="000D0F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D0F56"/>
    <w:rPr>
      <w:rFonts w:ascii="Segoe UI" w:hAnsi="Segoe UI" w:cs="Segoe UI"/>
      <w:sz w:val="18"/>
      <w:szCs w:val="18"/>
      <w:lang w:val="es-ES_tradnl" w:eastAsia="en-US"/>
    </w:rPr>
  </w:style>
  <w:style w:type="paragraph" w:customStyle="1" w:styleId="Reasons">
    <w:name w:val="Reasons"/>
    <w:basedOn w:val="Normal"/>
    <w:qFormat/>
    <w:rsid w:val="00AC449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263539066">
      <w:bodyDiv w:val="1"/>
      <w:marLeft w:val="0"/>
      <w:marRight w:val="0"/>
      <w:marTop w:val="0"/>
      <w:marBottom w:val="0"/>
      <w:divBdr>
        <w:top w:val="none" w:sz="0" w:space="0" w:color="auto"/>
        <w:left w:val="none" w:sz="0" w:space="0" w:color="auto"/>
        <w:bottom w:val="none" w:sz="0" w:space="0" w:color="auto"/>
        <w:right w:val="none" w:sz="0" w:space="0" w:color="auto"/>
      </w:divBdr>
    </w:div>
    <w:div w:id="163429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rgen.gustafsson@ericsson.com" TargetMode="External"/><Relationship Id="rId18" Type="http://schemas.openxmlformats.org/officeDocument/2006/relationships/image" Target="media/image4.png"/><Relationship Id="rId26" Type="http://schemas.openxmlformats.org/officeDocument/2006/relationships/hyperlink" Target="https://www.itu.int/en/ITU-T/studygroups/2017-2020/12/" TargetMode="External"/><Relationship Id="rId3" Type="http://schemas.openxmlformats.org/officeDocument/2006/relationships/styles" Target="styles.xml"/><Relationship Id="rId21" Type="http://schemas.openxmlformats.org/officeDocument/2006/relationships/hyperlink" Target="mailto:cs@opticom.de" TargetMode="External"/><Relationship Id="rId7" Type="http://schemas.openxmlformats.org/officeDocument/2006/relationships/endnotes" Target="endnotes.xml"/><Relationship Id="rId12" Type="http://schemas.openxmlformats.org/officeDocument/2006/relationships/hyperlink" Target="mailto:tsbsg12@itu.int" TargetMode="External"/><Relationship Id="rId17" Type="http://schemas.openxmlformats.org/officeDocument/2006/relationships/image" Target="media/image3.png"/><Relationship Id="rId25" Type="http://schemas.openxmlformats.org/officeDocument/2006/relationships/hyperlink" Target="https://www.itu.int/net4/iwm/?p0=0&amp;p11=ITU&amp;p12=ITU-SEP-ITU-T-SEP-Other%20Groups-SEP-pnats2avhd&amp;p21=ITU&amp;p22=ITU-SEP-ITU-T-SEP-Other%20Groups-SEP-pnats2avhd" TargetMode="External"/><Relationship Id="rId2" Type="http://schemas.openxmlformats.org/officeDocument/2006/relationships/numbering" Target="numbering.xml"/><Relationship Id="rId16" Type="http://schemas.openxmlformats.org/officeDocument/2006/relationships/hyperlink" Target="mailto:Silvio.Borer@rohde-schwarz.com" TargetMode="External"/><Relationship Id="rId20" Type="http://schemas.openxmlformats.org/officeDocument/2006/relationships/hyperlink" Target="mailto:tsbsg12@itu.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2@itu.int" TargetMode="External"/><Relationship Id="rId24" Type="http://schemas.openxmlformats.org/officeDocument/2006/relationships/hyperlink" Target="https://www.itu.int/net/iwm/public/frmUserRegistration.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s@opticom.de" TargetMode="External"/><Relationship Id="rId23" Type="http://schemas.openxmlformats.org/officeDocument/2006/relationships/hyperlink" Target="mailto:mpinson@ntia.doc.gov" TargetMode="External"/><Relationship Id="rId28" Type="http://schemas.openxmlformats.org/officeDocument/2006/relationships/header" Target="header1.xml"/><Relationship Id="rId10" Type="http://schemas.openxmlformats.org/officeDocument/2006/relationships/hyperlink" Target="mailto:tsbsg12@itu.int" TargetMode="External"/><Relationship Id="rId19" Type="http://schemas.openxmlformats.org/officeDocument/2006/relationships/hyperlink" Target="mailto:tsbsg12@itu.i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lexander.raake@tu-ilmenau.de" TargetMode="External"/><Relationship Id="rId22" Type="http://schemas.openxmlformats.org/officeDocument/2006/relationships/hyperlink" Target="mailto:Quan.Huynh-Thu@cisra.canon.com.au" TargetMode="External"/><Relationship Id="rId27" Type="http://schemas.openxmlformats.org/officeDocument/2006/relationships/hyperlink" Target="http://www.its.bldrdoc.gov/vqeg/"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3EBEF-CD49-4F89-9FA3-7292B9F0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17</TotalTime>
  <Pages>6</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11634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
  <dc:description>243S.DOCX  For: _x000d_Document date: _x000d_Saved by ITU51011599 at 16:44:35 on 27/09/2016</dc:description>
  <cp:lastModifiedBy>Osvath, Alexandra</cp:lastModifiedBy>
  <cp:revision>9</cp:revision>
  <cp:lastPrinted>2017-01-05T11:19:00Z</cp:lastPrinted>
  <dcterms:created xsi:type="dcterms:W3CDTF">2016-12-20T12:15:00Z</dcterms:created>
  <dcterms:modified xsi:type="dcterms:W3CDTF">2017-01-05T11:19:00Z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243S.DOCX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