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0C7EAC" w:rsidTr="00AC7192">
        <w:trPr>
          <w:cantSplit/>
        </w:trPr>
        <w:tc>
          <w:tcPr>
            <w:tcW w:w="1418" w:type="dxa"/>
            <w:vAlign w:val="center"/>
          </w:tcPr>
          <w:p w:rsidR="00AC7192" w:rsidRPr="0093346C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3346C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93346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3346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93346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3346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93346C" w:rsidRDefault="001629DC" w:rsidP="00BB6B5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93346C">
        <w:rPr>
          <w:lang w:val="ru-RU"/>
        </w:rPr>
        <w:tab/>
      </w:r>
      <w:r w:rsidR="00AC7192" w:rsidRPr="0093346C">
        <w:rPr>
          <w:lang w:val="ru-RU"/>
        </w:rPr>
        <w:t>Женева, 2</w:t>
      </w:r>
      <w:r w:rsidR="00BB6B5C" w:rsidRPr="0093346C">
        <w:rPr>
          <w:lang w:val="ru-RU"/>
        </w:rPr>
        <w:t>1</w:t>
      </w:r>
      <w:r w:rsidR="00AC7192" w:rsidRPr="0093346C">
        <w:rPr>
          <w:lang w:val="ru-RU"/>
        </w:rPr>
        <w:t xml:space="preserve"> </w:t>
      </w:r>
      <w:r w:rsidR="00BB6B5C" w:rsidRPr="0093346C">
        <w:rPr>
          <w:lang w:val="ru-RU"/>
        </w:rPr>
        <w:t>апреля</w:t>
      </w:r>
      <w:r w:rsidR="00AC7192" w:rsidRPr="0093346C">
        <w:rPr>
          <w:lang w:val="ru-RU"/>
        </w:rPr>
        <w:t xml:space="preserve"> 2017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0C7EAC" w:rsidTr="0072564E">
        <w:trPr>
          <w:cantSplit/>
        </w:trPr>
        <w:tc>
          <w:tcPr>
            <w:tcW w:w="1418" w:type="dxa"/>
          </w:tcPr>
          <w:p w:rsidR="004E46B0" w:rsidRPr="0093346C" w:rsidRDefault="004E46B0" w:rsidP="00867192">
            <w:pPr>
              <w:spacing w:before="0"/>
              <w:rPr>
                <w:lang w:val="ru-RU"/>
              </w:rPr>
            </w:pPr>
            <w:r w:rsidRPr="0093346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3346C" w:rsidRDefault="004E46B0" w:rsidP="00BB6B5C">
            <w:pPr>
              <w:spacing w:before="0"/>
              <w:ind w:left="142"/>
              <w:rPr>
                <w:lang w:val="ru-RU"/>
              </w:rPr>
            </w:pPr>
            <w:r w:rsidRPr="0093346C">
              <w:rPr>
                <w:b/>
                <w:bCs/>
                <w:lang w:val="ru-RU"/>
              </w:rPr>
              <w:t xml:space="preserve">Циркуляр </w:t>
            </w:r>
            <w:r w:rsidR="00BB6B5C" w:rsidRPr="0093346C">
              <w:rPr>
                <w:b/>
                <w:bCs/>
                <w:lang w:val="ru-RU"/>
              </w:rPr>
              <w:t>1</w:t>
            </w:r>
            <w:r w:rsidR="000943AD" w:rsidRPr="0093346C">
              <w:rPr>
                <w:b/>
                <w:bCs/>
                <w:lang w:val="ru-RU"/>
              </w:rPr>
              <w:t>9</w:t>
            </w:r>
            <w:r w:rsidRPr="0093346C">
              <w:rPr>
                <w:b/>
                <w:bCs/>
                <w:lang w:val="ru-RU"/>
              </w:rPr>
              <w:t xml:space="preserve"> БСЭ</w:t>
            </w:r>
            <w:r w:rsidR="009145BE" w:rsidRPr="0093346C">
              <w:rPr>
                <w:b/>
                <w:bCs/>
                <w:lang w:val="ru-RU"/>
              </w:rPr>
              <w:br/>
            </w:r>
          </w:p>
        </w:tc>
        <w:tc>
          <w:tcPr>
            <w:tcW w:w="4242" w:type="dxa"/>
            <w:vMerge w:val="restart"/>
          </w:tcPr>
          <w:p w:rsidR="004E46B0" w:rsidRPr="0093346C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93346C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Членам Сектора МСЭ-Т</w:t>
            </w:r>
          </w:p>
          <w:p w:rsidR="004E46B0" w:rsidRPr="0093346C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Ассоциированным членам МСЭ-Т</w:t>
            </w:r>
          </w:p>
          <w:p w:rsidR="004E46B0" w:rsidRPr="0093346C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93346C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3346C">
              <w:rPr>
                <w:b/>
                <w:bCs/>
                <w:lang w:val="ru-RU"/>
              </w:rPr>
              <w:t>Копии</w:t>
            </w:r>
            <w:r w:rsidRPr="0093346C">
              <w:rPr>
                <w:lang w:val="ru-RU"/>
              </w:rPr>
              <w:t>:</w:t>
            </w:r>
          </w:p>
          <w:p w:rsidR="004E46B0" w:rsidRPr="0093346C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93346C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93346C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3346C">
              <w:rPr>
                <w:lang w:val="ru-RU"/>
              </w:rPr>
              <w:t>–</w:t>
            </w:r>
            <w:r w:rsidRPr="0093346C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93346C" w:rsidTr="004E46B0">
        <w:trPr>
          <w:cantSplit/>
          <w:trHeight w:val="1236"/>
        </w:trPr>
        <w:tc>
          <w:tcPr>
            <w:tcW w:w="1418" w:type="dxa"/>
          </w:tcPr>
          <w:p w:rsidR="004E46B0" w:rsidRPr="0093346C" w:rsidRDefault="004E46B0" w:rsidP="00867192">
            <w:pPr>
              <w:spacing w:before="0"/>
              <w:rPr>
                <w:lang w:val="ru-RU"/>
              </w:rPr>
            </w:pPr>
            <w:r w:rsidRPr="0093346C">
              <w:rPr>
                <w:lang w:val="ru-RU"/>
              </w:rPr>
              <w:t>Тел.:</w:t>
            </w:r>
            <w:r w:rsidRPr="0093346C">
              <w:rPr>
                <w:lang w:val="ru-RU"/>
              </w:rPr>
              <w:br/>
              <w:t>Факс:</w:t>
            </w:r>
            <w:r w:rsidRPr="0093346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93346C" w:rsidRDefault="000943AD" w:rsidP="00BB6B5C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93346C">
              <w:rPr>
                <w:lang w:val="ru-RU"/>
              </w:rPr>
              <w:t xml:space="preserve">+41 22 730 </w:t>
            </w:r>
            <w:r w:rsidR="00BB6B5C" w:rsidRPr="0093346C">
              <w:rPr>
                <w:lang w:val="ru-RU"/>
              </w:rPr>
              <w:t>5415</w:t>
            </w:r>
            <w:r w:rsidR="004E46B0" w:rsidRPr="0093346C">
              <w:rPr>
                <w:lang w:val="ru-RU"/>
              </w:rPr>
              <w:br/>
            </w:r>
            <w:r w:rsidRPr="0093346C">
              <w:rPr>
                <w:lang w:val="ru-RU"/>
              </w:rPr>
              <w:t>+41 22 730 5853</w:t>
            </w:r>
            <w:r w:rsidRPr="0093346C">
              <w:rPr>
                <w:lang w:val="ru-RU"/>
              </w:rPr>
              <w:br/>
            </w:r>
            <w:hyperlink r:id="rId9" w:history="1">
              <w:r w:rsidR="00BB6B5C" w:rsidRPr="0093346C">
                <w:rPr>
                  <w:rStyle w:val="Hyperlink"/>
                  <w:lang w:val="ru-RU"/>
                </w:rPr>
                <w:t>tsbfgdpm@itu.int</w:t>
              </w:r>
            </w:hyperlink>
          </w:p>
        </w:tc>
        <w:tc>
          <w:tcPr>
            <w:tcW w:w="4242" w:type="dxa"/>
            <w:vMerge/>
          </w:tcPr>
          <w:p w:rsidR="004E46B0" w:rsidRPr="0093346C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93346C" w:rsidTr="0072564E">
        <w:trPr>
          <w:cantSplit/>
        </w:trPr>
        <w:tc>
          <w:tcPr>
            <w:tcW w:w="1418" w:type="dxa"/>
          </w:tcPr>
          <w:p w:rsidR="004E46B0" w:rsidRPr="0093346C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93346C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93346C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93346C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0C7EAC" w:rsidTr="0072564E">
        <w:trPr>
          <w:cantSplit/>
        </w:trPr>
        <w:tc>
          <w:tcPr>
            <w:tcW w:w="1418" w:type="dxa"/>
          </w:tcPr>
          <w:p w:rsidR="001629DC" w:rsidRPr="0093346C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93346C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93346C" w:rsidRDefault="00BB6B5C" w:rsidP="00BB6B5C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93346C">
              <w:rPr>
                <w:b/>
                <w:bCs/>
                <w:lang w:val="ru-RU"/>
              </w:rPr>
              <w:t xml:space="preserve">Создание новой Оперативной группы МСЭ-Т по обработке данных </w:t>
            </w:r>
            <w:r w:rsidRPr="0093346C">
              <w:rPr>
                <w:b/>
                <w:bCs/>
                <w:lang w:val="ru-RU"/>
              </w:rPr>
              <w:br/>
              <w:t xml:space="preserve">и управлению данными для поддержки IoT </w:t>
            </w:r>
            <w:r w:rsidRPr="0093346C">
              <w:rPr>
                <w:b/>
                <w:bCs/>
                <w:color w:val="000000"/>
                <w:lang w:val="ru-RU"/>
              </w:rPr>
              <w:t xml:space="preserve">и "умных" городов </w:t>
            </w:r>
            <w:r w:rsidRPr="0093346C">
              <w:rPr>
                <w:b/>
                <w:bCs/>
                <w:color w:val="000000"/>
                <w:lang w:val="ru-RU"/>
              </w:rPr>
              <w:br/>
              <w:t>и сообществ</w:t>
            </w:r>
            <w:r w:rsidRPr="0093346C">
              <w:rPr>
                <w:b/>
                <w:bCs/>
                <w:lang w:val="ru-RU"/>
              </w:rPr>
              <w:t xml:space="preserve"> (ОГ-DPM) и ее первое собрание</w:t>
            </w:r>
            <w:r w:rsidRPr="0093346C">
              <w:rPr>
                <w:b/>
                <w:bCs/>
                <w:lang w:val="ru-RU"/>
              </w:rPr>
              <w:br/>
              <w:t>Женева, Швейцария, 17–19 июля 2017 года</w:t>
            </w:r>
          </w:p>
        </w:tc>
      </w:tr>
    </w:tbl>
    <w:p w:rsidR="001629DC" w:rsidRPr="0093346C" w:rsidRDefault="001629DC" w:rsidP="002414DD">
      <w:pPr>
        <w:pStyle w:val="Normalaftertitle"/>
        <w:spacing w:before="480"/>
        <w:rPr>
          <w:lang w:val="ru-RU"/>
        </w:rPr>
      </w:pPr>
      <w:r w:rsidRPr="0093346C">
        <w:rPr>
          <w:lang w:val="ru-RU"/>
        </w:rPr>
        <w:t>Уважаемая госпожа,</w:t>
      </w:r>
      <w:r w:rsidRPr="0093346C">
        <w:rPr>
          <w:lang w:val="ru-RU"/>
        </w:rPr>
        <w:br/>
        <w:t>уважаемый господин,</w:t>
      </w:r>
    </w:p>
    <w:p w:rsidR="00BB6B5C" w:rsidRPr="0093346C" w:rsidRDefault="00BB6B5C" w:rsidP="003D3B04">
      <w:pPr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1</w:t>
      </w:r>
      <w:r w:rsidRPr="0093346C">
        <w:rPr>
          <w:szCs w:val="22"/>
          <w:lang w:val="ru-RU"/>
        </w:rPr>
        <w:tab/>
        <w:t xml:space="preserve">В соответствии с соглашением, достигнутым 20-й Исследовательской комиссией МСЭ-Т на ее собрании, которое состоялось в Дубае, 13–23 марта 2017 года, имею честь объявить о создании </w:t>
      </w:r>
      <w:hyperlink r:id="rId10" w:history="1">
        <w:r w:rsidRPr="0093346C">
          <w:rPr>
            <w:rStyle w:val="Hyperlink"/>
            <w:szCs w:val="22"/>
            <w:lang w:val="ru-RU"/>
          </w:rPr>
          <w:t>Оперативной группы МСЭ-Т по обработке данных и управлению данными для поддержки IoT и "умных" городов и сообществ (ОГ-DPM)</w:t>
        </w:r>
      </w:hyperlink>
      <w:r w:rsidRPr="0093346C">
        <w:rPr>
          <w:szCs w:val="22"/>
          <w:lang w:val="ru-RU"/>
        </w:rPr>
        <w:t>.</w:t>
      </w:r>
    </w:p>
    <w:p w:rsidR="00BB6B5C" w:rsidRPr="0093346C" w:rsidRDefault="00BB6B5C" w:rsidP="003D3B04">
      <w:pPr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2</w:t>
      </w:r>
      <w:r w:rsidRPr="0093346C">
        <w:rPr>
          <w:szCs w:val="22"/>
          <w:lang w:val="ru-RU"/>
        </w:rPr>
        <w:tab/>
        <w:t xml:space="preserve">В контексте IoT и </w:t>
      </w:r>
      <w:r w:rsidRPr="0093346C">
        <w:rPr>
          <w:color w:val="000000"/>
          <w:szCs w:val="22"/>
          <w:lang w:val="ru-RU"/>
        </w:rPr>
        <w:t>"умных" городов и сообществ (</w:t>
      </w:r>
      <w:r w:rsidRPr="0093346C">
        <w:rPr>
          <w:szCs w:val="22"/>
          <w:lang w:val="ru-RU"/>
        </w:rPr>
        <w:t>SC&amp;C) новая Оперативная группа будет содействовать созданию основанных на доверии структур управления данными, изучать существующие и появляющиеся технологии и выявлять проблемы, возникающие в работе по стандартизацией в этой области. Результаты работы Оперативной группы будут представляться 20</w:t>
      </w:r>
      <w:r w:rsidRPr="0093346C">
        <w:rPr>
          <w:szCs w:val="22"/>
          <w:lang w:val="ru-RU"/>
        </w:rPr>
        <w:noBreakHyphen/>
        <w:t>й Исследовательской комиссии МСЭ-Т для дальнейшего рассмотрения. Они могут включать, в том числе, проекты технических отчетов/спецификаций, предназначенные для устранения пробелов в стандартизации DPM, а также определения термино</w:t>
      </w:r>
      <w:r w:rsidR="003D3B04" w:rsidRPr="0093346C">
        <w:rPr>
          <w:szCs w:val="22"/>
          <w:lang w:val="ru-RU"/>
        </w:rPr>
        <w:t xml:space="preserve">в </w:t>
      </w:r>
      <w:r w:rsidRPr="0093346C">
        <w:rPr>
          <w:szCs w:val="22"/>
          <w:lang w:val="ru-RU"/>
        </w:rPr>
        <w:t xml:space="preserve">и </w:t>
      </w:r>
      <w:r w:rsidR="003D3B04" w:rsidRPr="0093346C">
        <w:rPr>
          <w:szCs w:val="22"/>
          <w:lang w:val="ru-RU"/>
        </w:rPr>
        <w:t>установления классификации</w:t>
      </w:r>
      <w:r w:rsidRPr="0093346C">
        <w:rPr>
          <w:szCs w:val="22"/>
          <w:lang w:val="ru-RU"/>
        </w:rPr>
        <w:t xml:space="preserve">. </w:t>
      </w:r>
    </w:p>
    <w:p w:rsidR="00BB6B5C" w:rsidRPr="0093346C" w:rsidRDefault="00BB6B5C" w:rsidP="003D3B04">
      <w:pPr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3</w:t>
      </w:r>
      <w:r w:rsidRPr="0093346C">
        <w:rPr>
          <w:szCs w:val="22"/>
          <w:lang w:val="ru-RU"/>
        </w:rPr>
        <w:tab/>
        <w:t xml:space="preserve">Оперативная группа будет работать в соответствии с процедурами, изложенными в </w:t>
      </w:r>
      <w:hyperlink r:id="rId11" w:history="1">
        <w:r w:rsidRPr="0093346C">
          <w:rPr>
            <w:rStyle w:val="Hyperlink"/>
            <w:szCs w:val="22"/>
            <w:lang w:val="ru-RU"/>
          </w:rPr>
          <w:t>Рекомендации МСЭ-T A.7</w:t>
        </w:r>
      </w:hyperlink>
      <w:r w:rsidRPr="0093346C">
        <w:rPr>
          <w:szCs w:val="22"/>
          <w:lang w:val="ru-RU"/>
        </w:rPr>
        <w:t xml:space="preserve">, и согласованным кругом ведения, приведенным в </w:t>
      </w:r>
      <w:r w:rsidRPr="0093346C">
        <w:rPr>
          <w:b/>
          <w:bCs/>
          <w:szCs w:val="22"/>
          <w:lang w:val="ru-RU"/>
        </w:rPr>
        <w:t>Приложении 1</w:t>
      </w:r>
      <w:r w:rsidRPr="0093346C">
        <w:rPr>
          <w:szCs w:val="22"/>
          <w:lang w:val="ru-RU"/>
        </w:rPr>
        <w:t>. 20</w:t>
      </w:r>
      <w:r w:rsidRPr="0093346C">
        <w:rPr>
          <w:szCs w:val="22"/>
          <w:lang w:val="ru-RU"/>
        </w:rPr>
        <w:noBreakHyphen/>
        <w:t>я Исследовательская комиссия МСЭ-Т назначила г-на </w:t>
      </w:r>
      <w:r w:rsidRPr="0093346C">
        <w:rPr>
          <w:color w:val="000000"/>
          <w:szCs w:val="22"/>
          <w:lang w:val="ru-RU"/>
        </w:rPr>
        <w:t>Кё Мён Ли</w:t>
      </w:r>
      <w:r w:rsidRPr="0093346C">
        <w:rPr>
          <w:szCs w:val="22"/>
          <w:lang w:val="ru-RU"/>
        </w:rPr>
        <w:t>, KAIST, Корея (Республика), председателем Оперативной группы. Заместителями председателя назначены: г-н Рафаель Рольер (Swisscom), г-жа Цзяюй Би (China Telecom), г-н </w:t>
      </w:r>
      <w:r w:rsidRPr="0093346C">
        <w:rPr>
          <w:color w:val="000000"/>
          <w:szCs w:val="22"/>
          <w:lang w:val="ru-RU"/>
        </w:rPr>
        <w:t>Билель Шабу</w:t>
      </w:r>
      <w:r w:rsidRPr="0093346C">
        <w:rPr>
          <w:szCs w:val="22"/>
          <w:lang w:val="ru-RU"/>
        </w:rPr>
        <w:t xml:space="preserve"> (Тунис), г-н Антонио Аррис (CABASE, Аргентина), г-н Роберт Льюис-Леттингтон (ООН-Хабитат), г-н </w:t>
      </w:r>
      <w:r w:rsidRPr="0093346C">
        <w:rPr>
          <w:color w:val="000000"/>
          <w:szCs w:val="22"/>
          <w:lang w:val="ru-RU"/>
        </w:rPr>
        <w:t>Абдулхади Абуальмаль</w:t>
      </w:r>
      <w:r w:rsidRPr="0093346C">
        <w:rPr>
          <w:szCs w:val="22"/>
          <w:lang w:val="ru-RU"/>
        </w:rPr>
        <w:t xml:space="preserve"> (Etisalat), г-н Дэйв Фолкнер (Climate Associates) и г-н Мартин Бринсков (</w:t>
      </w:r>
      <w:r w:rsidR="00734AC7" w:rsidRPr="0093346C">
        <w:rPr>
          <w:szCs w:val="22"/>
          <w:lang w:val="ru-RU"/>
        </w:rPr>
        <w:t xml:space="preserve">Председатель Инициативы </w:t>
      </w:r>
      <w:r w:rsidRPr="0093346C">
        <w:rPr>
          <w:szCs w:val="22"/>
          <w:lang w:val="ru-RU"/>
        </w:rPr>
        <w:t>по созданию открытых и адаптивных "умных" городов).</w:t>
      </w:r>
    </w:p>
    <w:p w:rsidR="00BB6B5C" w:rsidRPr="0093346C" w:rsidRDefault="00BB6B5C" w:rsidP="003D3B04">
      <w:pPr>
        <w:jc w:val="both"/>
        <w:rPr>
          <w:lang w:val="ru-RU"/>
        </w:rPr>
      </w:pPr>
      <w:r w:rsidRPr="0093346C">
        <w:rPr>
          <w:szCs w:val="22"/>
          <w:lang w:val="ru-RU"/>
        </w:rPr>
        <w:t>4</w:t>
      </w:r>
      <w:r w:rsidRPr="0093346C">
        <w:rPr>
          <w:szCs w:val="22"/>
          <w:lang w:val="ru-RU"/>
        </w:rPr>
        <w:tab/>
        <w:t xml:space="preserve">ОГ-DPM </w:t>
      </w:r>
      <w:r w:rsidRPr="0093346C">
        <w:rPr>
          <w:rFonts w:cs="Arial"/>
          <w:szCs w:val="22"/>
          <w:lang w:val="ru-RU" w:eastAsia="en-GB"/>
        </w:rPr>
        <w:t xml:space="preserve">открыта для участия Государств – Членов МСЭ, Членов Секторов, Ассоциированных членов, Академических организаций – </w:t>
      </w:r>
      <w:r w:rsidR="009F61FA" w:rsidRPr="0093346C">
        <w:rPr>
          <w:rFonts w:cs="Arial"/>
          <w:szCs w:val="22"/>
          <w:lang w:val="ru-RU" w:eastAsia="en-GB"/>
        </w:rPr>
        <w:t xml:space="preserve">Членов </w:t>
      </w:r>
      <w:r w:rsidRPr="0093346C">
        <w:rPr>
          <w:rFonts w:cs="Arial"/>
          <w:szCs w:val="22"/>
          <w:lang w:val="ru-RU" w:eastAsia="en-GB"/>
        </w:rPr>
        <w:t xml:space="preserve">МСЭ, а также </w:t>
      </w:r>
      <w:r w:rsidRPr="0093346C">
        <w:rPr>
          <w:color w:val="000000"/>
          <w:szCs w:val="22"/>
          <w:lang w:val="ru-RU"/>
        </w:rPr>
        <w:t>любо</w:t>
      </w:r>
      <w:r w:rsidR="003D3B04" w:rsidRPr="0093346C">
        <w:rPr>
          <w:color w:val="000000"/>
          <w:szCs w:val="22"/>
          <w:lang w:val="ru-RU"/>
        </w:rPr>
        <w:t>го</w:t>
      </w:r>
      <w:r w:rsidRPr="0093346C">
        <w:rPr>
          <w:color w:val="000000"/>
          <w:szCs w:val="22"/>
          <w:lang w:val="ru-RU"/>
        </w:rPr>
        <w:t xml:space="preserve"> лиц</w:t>
      </w:r>
      <w:r w:rsidR="003D3B04" w:rsidRPr="0093346C">
        <w:rPr>
          <w:color w:val="000000"/>
          <w:szCs w:val="22"/>
          <w:lang w:val="ru-RU"/>
        </w:rPr>
        <w:t>а</w:t>
      </w:r>
      <w:r w:rsidRPr="0093346C">
        <w:rPr>
          <w:color w:val="000000"/>
          <w:szCs w:val="22"/>
          <w:lang w:val="ru-RU"/>
        </w:rPr>
        <w:t xml:space="preserve"> из страны, являющейся Членом МСЭ, которое пожелает внести вклад в ее работу</w:t>
      </w:r>
      <w:r w:rsidRPr="0093346C">
        <w:rPr>
          <w:szCs w:val="22"/>
          <w:lang w:val="ru-RU"/>
        </w:rPr>
        <w:t xml:space="preserve">; к таким лицам относятся также члены или </w:t>
      </w:r>
      <w:r w:rsidRPr="0093346C">
        <w:rPr>
          <w:szCs w:val="22"/>
          <w:lang w:val="ru-RU"/>
        </w:rPr>
        <w:lastRenderedPageBreak/>
        <w:t xml:space="preserve">представители </w:t>
      </w:r>
      <w:r w:rsidRPr="0093346C">
        <w:rPr>
          <w:color w:val="000000"/>
          <w:szCs w:val="22"/>
          <w:lang w:val="ru-RU"/>
        </w:rPr>
        <w:t>заинтересованных организаций по разработке стандартов. Предлагаем всем лицам, заинтересованным в получении обновленной информации и объявлений, относящихся к Группе,</w:t>
      </w:r>
      <w:r w:rsidRPr="0093346C">
        <w:rPr>
          <w:color w:val="000000"/>
          <w:lang w:val="ru-RU"/>
        </w:rPr>
        <w:t xml:space="preserve"> зарегистрироваться в списке почтовой рассылки </w:t>
      </w:r>
      <w:r w:rsidRPr="0093346C">
        <w:rPr>
          <w:lang w:val="ru-RU"/>
        </w:rPr>
        <w:t xml:space="preserve">ОГ-DPM. Подробная информация о порядке регистрации размещена на домашней странице Оперативной группы: </w:t>
      </w:r>
      <w:r w:rsidR="00CF50B6">
        <w:rPr>
          <w:lang w:val="ru-RU"/>
        </w:rPr>
        <w:br/>
      </w:r>
      <w:hyperlink r:id="rId12" w:history="1">
        <w:r w:rsidR="00CF50B6" w:rsidRPr="00CF50B6">
          <w:rPr>
            <w:rStyle w:val="Hyperlink"/>
            <w:lang w:val="ru-RU"/>
          </w:rPr>
          <w:t>www.itu.int/en/ITU-T/focusgroups/dpm</w:t>
        </w:r>
      </w:hyperlink>
      <w:r w:rsidRPr="0093346C">
        <w:rPr>
          <w:lang w:val="ru-RU"/>
        </w:rPr>
        <w:t>.</w:t>
      </w:r>
    </w:p>
    <w:p w:rsidR="00BB6B5C" w:rsidRPr="0093346C" w:rsidRDefault="00BB6B5C" w:rsidP="003D3B04">
      <w:pPr>
        <w:jc w:val="both"/>
        <w:rPr>
          <w:b/>
          <w:bCs/>
          <w:lang w:val="ru-RU"/>
        </w:rPr>
      </w:pPr>
      <w:r w:rsidRPr="0093346C">
        <w:rPr>
          <w:b/>
          <w:bCs/>
          <w:lang w:val="ru-RU"/>
        </w:rPr>
        <w:t>Первое собрание ОГ-DPM</w:t>
      </w:r>
    </w:p>
    <w:p w:rsidR="00BB6B5C" w:rsidRPr="0093346C" w:rsidRDefault="00BB6B5C" w:rsidP="003D3B04">
      <w:pPr>
        <w:jc w:val="both"/>
        <w:rPr>
          <w:lang w:val="ru-RU"/>
        </w:rPr>
      </w:pPr>
      <w:r w:rsidRPr="0093346C">
        <w:rPr>
          <w:lang w:val="ru-RU"/>
        </w:rPr>
        <w:t>6</w:t>
      </w:r>
      <w:r w:rsidRPr="0093346C">
        <w:rPr>
          <w:lang w:val="ru-RU"/>
        </w:rPr>
        <w:tab/>
        <w:t xml:space="preserve">Первое собрание ОГ-DPM будет проведено в штаб-квартире МСЭ, Женева, с 17 по 19 июля 2017 года, включительно, и будет совмещено по месту и времени проведения с собраниями </w:t>
      </w:r>
      <w:r w:rsidR="009F61FA" w:rsidRPr="0093346C">
        <w:rPr>
          <w:lang w:val="ru-RU"/>
        </w:rPr>
        <w:t xml:space="preserve">Групп </w:t>
      </w:r>
      <w:r w:rsidRPr="0093346C">
        <w:rPr>
          <w:lang w:val="ru-RU"/>
        </w:rPr>
        <w:t>Докладчиков основной комиссии– ИК20 МСЭ-Т, которые проводятся в том же месте с 17 по 28 июля 2017 года.</w:t>
      </w:r>
    </w:p>
    <w:p w:rsidR="00BB6B5C" w:rsidRPr="0093346C" w:rsidRDefault="00BB6B5C" w:rsidP="009F61FA">
      <w:pPr>
        <w:jc w:val="both"/>
        <w:rPr>
          <w:lang w:val="ru-RU"/>
        </w:rPr>
      </w:pPr>
      <w:r w:rsidRPr="0093346C">
        <w:rPr>
          <w:lang w:val="ru-RU"/>
        </w:rPr>
        <w:t>7</w:t>
      </w:r>
      <w:r w:rsidRPr="0093346C">
        <w:rPr>
          <w:lang w:val="ru-RU"/>
        </w:rPr>
        <w:tab/>
        <w:t xml:space="preserve">Открытие собрания состоится в первый день его работы в 09 час. 30 мин. Регистрация участников начнется в 08 час. 30 мин. </w:t>
      </w:r>
      <w:hyperlink r:id="rId13" w:history="1">
        <w:r w:rsidRPr="0093346C">
          <w:rPr>
            <w:rStyle w:val="Hyperlink"/>
            <w:lang w:val="ru-RU"/>
          </w:rPr>
          <w:t>при входе в здание "Монбрийан"</w:t>
        </w:r>
      </w:hyperlink>
      <w:r w:rsidRPr="0093346C">
        <w:rPr>
          <w:rStyle w:val="Hyperlink"/>
          <w:color w:val="auto"/>
          <w:u w:val="none"/>
          <w:lang w:val="ru-RU"/>
        </w:rPr>
        <w:t>.</w:t>
      </w:r>
      <w:r w:rsidRPr="0093346C">
        <w:rPr>
          <w:lang w:val="ru-RU"/>
        </w:rPr>
        <w:t xml:space="preserve"> Практическая информация о собрании представлена в </w:t>
      </w:r>
      <w:r w:rsidRPr="0093346C">
        <w:rPr>
          <w:b/>
          <w:bCs/>
          <w:lang w:val="ru-RU"/>
        </w:rPr>
        <w:t>Приложении 2</w:t>
      </w:r>
      <w:r w:rsidRPr="0093346C">
        <w:rPr>
          <w:lang w:val="ru-RU"/>
        </w:rPr>
        <w:t xml:space="preserve">. Повестка дня собрания и план распределения времени будут размещены </w:t>
      </w:r>
      <w:hyperlink r:id="rId14" w:history="1">
        <w:r w:rsidRPr="0093346C">
          <w:rPr>
            <w:rStyle w:val="Hyperlink"/>
            <w:lang w:val="ru-RU"/>
          </w:rPr>
          <w:t>на домашней странице ОГ-DPM</w:t>
        </w:r>
      </w:hyperlink>
      <w:r w:rsidRPr="0093346C">
        <w:rPr>
          <w:lang w:val="ru-RU"/>
        </w:rPr>
        <w:t xml:space="preserve"> до начала собрания. Обсуждени</w:t>
      </w:r>
      <w:r w:rsidR="009F61FA" w:rsidRPr="0093346C">
        <w:rPr>
          <w:lang w:val="ru-RU"/>
        </w:rPr>
        <w:t>я</w:t>
      </w:r>
      <w:r w:rsidRPr="0093346C">
        <w:rPr>
          <w:lang w:val="ru-RU"/>
        </w:rPr>
        <w:t xml:space="preserve"> буд</w:t>
      </w:r>
      <w:r w:rsidR="009F61FA" w:rsidRPr="0093346C">
        <w:rPr>
          <w:lang w:val="ru-RU"/>
        </w:rPr>
        <w:t>у</w:t>
      </w:r>
      <w:r w:rsidRPr="0093346C">
        <w:rPr>
          <w:lang w:val="ru-RU"/>
        </w:rPr>
        <w:t>т проводиться только на английском языке.</w:t>
      </w:r>
    </w:p>
    <w:p w:rsidR="00BB6B5C" w:rsidRPr="0093346C" w:rsidRDefault="00BB6B5C" w:rsidP="003D3B04">
      <w:pPr>
        <w:jc w:val="both"/>
        <w:rPr>
          <w:lang w:val="ru-RU"/>
        </w:rPr>
      </w:pPr>
      <w:r w:rsidRPr="0093346C">
        <w:rPr>
          <w:lang w:val="ru-RU"/>
        </w:rPr>
        <w:t>8</w:t>
      </w:r>
      <w:r w:rsidRPr="0093346C">
        <w:rPr>
          <w:lang w:val="ru-RU"/>
        </w:rPr>
        <w:tab/>
        <w:t xml:space="preserve">Предлагается представлять письменные вклады для работы ОГ-DPM. Вклады следует представлять в </w:t>
      </w:r>
      <w:r w:rsidR="0031733F" w:rsidRPr="0093346C">
        <w:rPr>
          <w:lang w:val="ru-RU"/>
        </w:rPr>
        <w:t xml:space="preserve">секретариат </w:t>
      </w:r>
      <w:r w:rsidRPr="0093346C">
        <w:rPr>
          <w:lang w:val="ru-RU"/>
        </w:rPr>
        <w:t>МСЭ (</w:t>
      </w:r>
      <w:hyperlink r:id="rId15" w:history="1">
        <w:r w:rsidRPr="0093346C">
          <w:rPr>
            <w:rStyle w:val="Hyperlink"/>
            <w:lang w:val="ru-RU"/>
          </w:rPr>
          <w:t>tsbfgdpm@itu.int</w:t>
        </w:r>
      </w:hyperlink>
      <w:r w:rsidRPr="0093346C">
        <w:rPr>
          <w:lang w:val="ru-RU"/>
        </w:rPr>
        <w:t xml:space="preserve">) в электронном формате с использованием шаблонов, доступных на </w:t>
      </w:r>
      <w:hyperlink r:id="rId16" w:history="1">
        <w:r w:rsidRPr="0093346C">
          <w:rPr>
            <w:rStyle w:val="Hyperlink"/>
            <w:lang w:val="ru-RU"/>
          </w:rPr>
          <w:t>домашней странице ОГ</w:t>
        </w:r>
        <w:r w:rsidRPr="0093346C">
          <w:rPr>
            <w:rStyle w:val="Hyperlink"/>
            <w:lang w:val="ru-RU"/>
          </w:rPr>
          <w:noBreakHyphen/>
          <w:t>DPM</w:t>
        </w:r>
      </w:hyperlink>
      <w:r w:rsidRPr="0093346C">
        <w:rPr>
          <w:lang w:val="ru-RU"/>
        </w:rPr>
        <w:t xml:space="preserve">. </w:t>
      </w:r>
      <w:r w:rsidRPr="0093346C">
        <w:rPr>
          <w:b/>
          <w:bCs/>
          <w:lang w:val="ru-RU"/>
        </w:rPr>
        <w:t>Предельный срок представления письменных вкладов – 10 июля 2017 года</w:t>
      </w:r>
      <w:r w:rsidRPr="0093346C">
        <w:rPr>
          <w:lang w:val="ru-RU"/>
        </w:rPr>
        <w:t>.</w:t>
      </w:r>
    </w:p>
    <w:p w:rsidR="00BB6B5C" w:rsidRPr="0093346C" w:rsidRDefault="00BB6B5C" w:rsidP="003D3B04">
      <w:pPr>
        <w:jc w:val="both"/>
        <w:rPr>
          <w:lang w:val="ru-RU"/>
        </w:rPr>
      </w:pPr>
      <w:r w:rsidRPr="0093346C">
        <w:rPr>
          <w:lang w:val="ru-RU"/>
        </w:rPr>
        <w:t>9</w:t>
      </w:r>
      <w:r w:rsidRPr="0093346C">
        <w:rPr>
          <w:lang w:val="ru-RU"/>
        </w:rPr>
        <w:tab/>
        <w:t xml:space="preserve">Для того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7" w:history="1">
        <w:r w:rsidRPr="0093346C">
          <w:rPr>
            <w:rStyle w:val="Hyperlink"/>
            <w:lang w:val="ru-RU"/>
          </w:rPr>
          <w:t>домашней странице ОГ-DPM</w:t>
        </w:r>
      </w:hyperlink>
      <w:r w:rsidRPr="0093346C">
        <w:rPr>
          <w:lang w:val="ru-RU"/>
        </w:rPr>
        <w:t xml:space="preserve"> </w:t>
      </w:r>
      <w:r w:rsidRPr="0093346C">
        <w:rPr>
          <w:color w:val="000000"/>
          <w:lang w:val="ru-RU"/>
        </w:rPr>
        <w:t xml:space="preserve">в максимально короткий срок, но </w:t>
      </w:r>
      <w:r w:rsidRPr="0093346C">
        <w:rPr>
          <w:b/>
          <w:bCs/>
          <w:color w:val="000000"/>
          <w:lang w:val="ru-RU"/>
        </w:rPr>
        <w:t xml:space="preserve">не позднее </w:t>
      </w:r>
      <w:r w:rsidRPr="0093346C">
        <w:rPr>
          <w:b/>
          <w:bCs/>
          <w:lang w:val="ru-RU"/>
        </w:rPr>
        <w:t>10 июля 2017 года</w:t>
      </w:r>
      <w:r w:rsidRPr="0093346C">
        <w:rPr>
          <w:lang w:val="ru-RU"/>
        </w:rPr>
        <w:t>. Регистрация необходима для дистанционного участия, а также для участия на мес</w:t>
      </w:r>
      <w:r w:rsidR="003D3B04" w:rsidRPr="0093346C">
        <w:rPr>
          <w:lang w:val="ru-RU"/>
        </w:rPr>
        <w:t>т</w:t>
      </w:r>
      <w:r w:rsidRPr="0093346C">
        <w:rPr>
          <w:lang w:val="ru-RU"/>
        </w:rPr>
        <w:t xml:space="preserve">е. Подробная информация о дистанционном участии будет размещена на </w:t>
      </w:r>
      <w:hyperlink r:id="rId18" w:history="1">
        <w:r w:rsidRPr="0093346C">
          <w:rPr>
            <w:rStyle w:val="Hyperlink"/>
            <w:lang w:val="ru-RU"/>
          </w:rPr>
          <w:t>домашней странице ОГ-DPM</w:t>
        </w:r>
      </w:hyperlink>
      <w:r w:rsidRPr="0093346C">
        <w:rPr>
          <w:lang w:val="ru-RU"/>
        </w:rPr>
        <w:t xml:space="preserve">. </w:t>
      </w:r>
    </w:p>
    <w:p w:rsidR="00BB6B5C" w:rsidRPr="0093346C" w:rsidRDefault="00BB6B5C" w:rsidP="001B0C30">
      <w:pPr>
        <w:spacing w:after="120"/>
        <w:jc w:val="both"/>
        <w:rPr>
          <w:lang w:val="ru-RU"/>
        </w:rPr>
      </w:pPr>
      <w:r w:rsidRPr="0093346C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169"/>
      </w:tblGrid>
      <w:tr w:rsidR="00BB6B5C" w:rsidRPr="000C7EAC" w:rsidTr="00BB6B5C">
        <w:tc>
          <w:tcPr>
            <w:tcW w:w="1555" w:type="dxa"/>
            <w:shd w:val="clear" w:color="auto" w:fill="auto"/>
          </w:tcPr>
          <w:p w:rsidR="00BB6B5C" w:rsidRPr="0093346C" w:rsidRDefault="00BB6B5C" w:rsidP="00BB6B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93346C">
              <w:rPr>
                <w:sz w:val="20"/>
                <w:szCs w:val="20"/>
                <w:lang w:val="ru-RU"/>
              </w:rPr>
              <w:t>17 июня 2017 г.</w:t>
            </w:r>
          </w:p>
        </w:tc>
        <w:tc>
          <w:tcPr>
            <w:tcW w:w="8169" w:type="dxa"/>
            <w:shd w:val="clear" w:color="auto" w:fill="auto"/>
          </w:tcPr>
          <w:p w:rsidR="00BB6B5C" w:rsidRPr="0093346C" w:rsidRDefault="00BB6B5C" w:rsidP="00BB6B5C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93346C">
              <w:rPr>
                <w:sz w:val="20"/>
                <w:szCs w:val="20"/>
                <w:lang w:val="ru-RU"/>
              </w:rPr>
              <w:t>−</w:t>
            </w:r>
            <w:r w:rsidRPr="0093346C">
              <w:rPr>
                <w:sz w:val="20"/>
                <w:szCs w:val="20"/>
                <w:lang w:val="ru-RU"/>
              </w:rPr>
              <w:tab/>
              <w:t xml:space="preserve">Запросы писем для содействия в получении визы (формуляр запроса представлен </w:t>
            </w:r>
            <w:hyperlink r:id="rId19" w:history="1">
              <w:r w:rsidRPr="0093346C">
                <w:rPr>
                  <w:color w:val="0000FF"/>
                  <w:sz w:val="20"/>
                  <w:szCs w:val="20"/>
                  <w:u w:val="single"/>
                  <w:lang w:val="ru-RU"/>
                </w:rPr>
                <w:t>здесь</w:t>
              </w:r>
            </w:hyperlink>
            <w:r w:rsidRPr="0093346C">
              <w:rPr>
                <w:sz w:val="20"/>
                <w:szCs w:val="20"/>
                <w:lang w:val="ru-RU"/>
              </w:rPr>
              <w:t>)</w:t>
            </w:r>
          </w:p>
        </w:tc>
      </w:tr>
      <w:tr w:rsidR="00BB6B5C" w:rsidRPr="000C7EAC" w:rsidTr="00BB6B5C">
        <w:tc>
          <w:tcPr>
            <w:tcW w:w="1555" w:type="dxa"/>
            <w:shd w:val="clear" w:color="auto" w:fill="auto"/>
          </w:tcPr>
          <w:p w:rsidR="00BB6B5C" w:rsidRPr="0093346C" w:rsidRDefault="00BB6B5C" w:rsidP="00BB6B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highlight w:val="yellow"/>
                <w:lang w:val="ru-RU"/>
              </w:rPr>
            </w:pPr>
            <w:r w:rsidRPr="0093346C">
              <w:rPr>
                <w:sz w:val="20"/>
                <w:szCs w:val="20"/>
                <w:lang w:val="ru-RU"/>
              </w:rPr>
              <w:t>10 июля 2017 г.</w:t>
            </w:r>
          </w:p>
        </w:tc>
        <w:tc>
          <w:tcPr>
            <w:tcW w:w="8169" w:type="dxa"/>
            <w:shd w:val="clear" w:color="auto" w:fill="auto"/>
          </w:tcPr>
          <w:p w:rsidR="00BB6B5C" w:rsidRPr="0093346C" w:rsidRDefault="00BB6B5C" w:rsidP="00BB6B5C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93346C">
              <w:rPr>
                <w:sz w:val="20"/>
                <w:szCs w:val="20"/>
                <w:lang w:val="ru-RU"/>
              </w:rPr>
              <w:t>–</w:t>
            </w:r>
            <w:r w:rsidRPr="0093346C">
              <w:rPr>
                <w:sz w:val="20"/>
                <w:szCs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20" w:history="1">
              <w:r w:rsidRPr="0093346C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Pr="0093346C">
                <w:rPr>
                  <w:rStyle w:val="Hyperlink"/>
                  <w:sz w:val="20"/>
                  <w:szCs w:val="20"/>
                  <w:lang w:val="ru-RU"/>
                </w:rPr>
                <w:noBreakHyphen/>
                <w:t>DPM</w:t>
              </w:r>
            </w:hyperlink>
            <w:r w:rsidRPr="0093346C">
              <w:rPr>
                <w:sz w:val="20"/>
                <w:szCs w:val="20"/>
                <w:lang w:val="ru-RU"/>
              </w:rPr>
              <w:t>)</w:t>
            </w:r>
          </w:p>
          <w:p w:rsidR="00BB6B5C" w:rsidRPr="0093346C" w:rsidRDefault="00BB6B5C" w:rsidP="00BB6B5C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93346C">
              <w:rPr>
                <w:sz w:val="20"/>
                <w:szCs w:val="20"/>
                <w:lang w:val="ru-RU"/>
              </w:rPr>
              <w:t>--</w:t>
            </w:r>
            <w:r w:rsidRPr="0093346C">
              <w:rPr>
                <w:sz w:val="20"/>
                <w:szCs w:val="20"/>
                <w:lang w:val="ru-RU"/>
              </w:rPr>
              <w:tab/>
              <w:t>Представление письменных вкладов (по адресу эл.</w:t>
            </w:r>
            <w:r w:rsidR="003D3B04" w:rsidRPr="0093346C">
              <w:rPr>
                <w:sz w:val="20"/>
                <w:szCs w:val="20"/>
                <w:lang w:val="ru-RU"/>
              </w:rPr>
              <w:t xml:space="preserve"> </w:t>
            </w:r>
            <w:r w:rsidRPr="0093346C">
              <w:rPr>
                <w:sz w:val="20"/>
                <w:szCs w:val="20"/>
                <w:lang w:val="ru-RU"/>
              </w:rPr>
              <w:t xml:space="preserve">почты: </w:t>
            </w:r>
            <w:hyperlink r:id="rId21" w:history="1">
              <w:r w:rsidRPr="0093346C">
                <w:rPr>
                  <w:rStyle w:val="Hyperlink"/>
                  <w:sz w:val="20"/>
                  <w:szCs w:val="20"/>
                  <w:lang w:val="ru-RU"/>
                </w:rPr>
                <w:t>tsbfgdpm@itu.int</w:t>
              </w:r>
            </w:hyperlink>
            <w:r w:rsidRPr="0093346C">
              <w:rPr>
                <w:rStyle w:val="Hyperlink"/>
                <w:sz w:val="20"/>
                <w:szCs w:val="20"/>
                <w:lang w:val="ru-RU"/>
              </w:rPr>
              <w:t>)</w:t>
            </w:r>
          </w:p>
        </w:tc>
      </w:tr>
    </w:tbl>
    <w:p w:rsidR="00BB6B5C" w:rsidRPr="0093346C" w:rsidRDefault="00BB6B5C" w:rsidP="00BB6B5C">
      <w:pPr>
        <w:rPr>
          <w:lang w:val="ru-RU"/>
        </w:rPr>
      </w:pPr>
      <w:r w:rsidRPr="0093346C">
        <w:rPr>
          <w:color w:val="000000"/>
          <w:lang w:val="ru-RU"/>
        </w:rPr>
        <w:t>Желаю вам плодотворного и приятного собрания</w:t>
      </w:r>
      <w:r w:rsidRPr="0093346C">
        <w:rPr>
          <w:lang w:val="ru-RU"/>
        </w:rPr>
        <w:t xml:space="preserve">. </w:t>
      </w:r>
    </w:p>
    <w:p w:rsidR="00BB6B5C" w:rsidRDefault="00BB6B5C" w:rsidP="00BB6B5C">
      <w:pPr>
        <w:rPr>
          <w:lang w:val="ru-RU"/>
        </w:rPr>
      </w:pPr>
      <w:r w:rsidRPr="0093346C">
        <w:rPr>
          <w:lang w:val="ru-RU"/>
        </w:rPr>
        <w:t>С уважением,</w:t>
      </w:r>
    </w:p>
    <w:p w:rsidR="000C7EAC" w:rsidRPr="0093346C" w:rsidRDefault="000C7EAC" w:rsidP="00BB6B5C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93346C" w:rsidTr="00BB6B5C">
        <w:trPr>
          <w:trHeight w:val="996"/>
        </w:trPr>
        <w:tc>
          <w:tcPr>
            <w:tcW w:w="6899" w:type="dxa"/>
            <w:tcBorders>
              <w:right w:val="single" w:sz="4" w:space="0" w:color="auto"/>
            </w:tcBorders>
            <w:vAlign w:val="bottom"/>
          </w:tcPr>
          <w:p w:rsidR="00BB6B5C" w:rsidRPr="0093346C" w:rsidRDefault="00BB6B5C" w:rsidP="000C7EAC">
            <w:pPr>
              <w:spacing w:before="0"/>
              <w:ind w:left="-108"/>
              <w:rPr>
                <w:lang w:val="ru-RU"/>
              </w:rPr>
            </w:pPr>
            <w:bookmarkStart w:id="1" w:name="_GoBack"/>
            <w:bookmarkEnd w:id="1"/>
            <w:r w:rsidRPr="0093346C">
              <w:rPr>
                <w:lang w:val="ru-RU"/>
              </w:rPr>
              <w:t xml:space="preserve">Чхе Суб Ли, </w:t>
            </w:r>
            <w:r w:rsidRPr="0093346C">
              <w:rPr>
                <w:lang w:val="ru-RU"/>
              </w:rPr>
              <w:br/>
              <w:t xml:space="preserve">Директор Бюро </w:t>
            </w:r>
            <w:r w:rsidRPr="0093346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Pr="0093346C" w:rsidRDefault="009720FF" w:rsidP="007631A4">
            <w:pPr>
              <w:spacing w:before="0"/>
              <w:jc w:val="center"/>
              <w:rPr>
                <w:lang w:val="ru-RU"/>
              </w:rPr>
            </w:pPr>
            <w:r w:rsidRPr="00D7186D">
              <w:rPr>
                <w:noProof/>
                <w:lang w:eastAsia="zh-CN"/>
              </w:rPr>
              <w:drawing>
                <wp:inline distT="0" distB="0" distL="0" distR="0" wp14:anchorId="6898DC9B" wp14:editId="4B54156D">
                  <wp:extent cx="1064419" cy="937623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61" cy="9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6B5C" w:rsidRPr="0093346C" w:rsidRDefault="00830617" w:rsidP="007631A4">
            <w:pPr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Последняя</w:t>
            </w:r>
            <w:r w:rsidR="00BB6B5C" w:rsidRPr="0093346C">
              <w:rPr>
                <w:lang w:val="ru-RU"/>
              </w:rPr>
              <w:t xml:space="preserve"> информация о собрании</w:t>
            </w:r>
          </w:p>
        </w:tc>
      </w:tr>
    </w:tbl>
    <w:p w:rsidR="00BB6B5C" w:rsidRPr="0093346C" w:rsidRDefault="00BB6B5C" w:rsidP="001B0C30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93346C">
        <w:rPr>
          <w:b/>
          <w:bCs/>
          <w:lang w:val="ru-RU"/>
        </w:rPr>
        <w:t>Приложения</w:t>
      </w:r>
      <w:r w:rsidRPr="0093346C">
        <w:rPr>
          <w:lang w:val="ru-RU"/>
        </w:rPr>
        <w:t>: 2</w:t>
      </w:r>
    </w:p>
    <w:p w:rsidR="00BB6B5C" w:rsidRPr="0093346C" w:rsidRDefault="00BB6B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3346C">
        <w:rPr>
          <w:lang w:val="ru-RU"/>
        </w:rPr>
        <w:br w:type="page"/>
      </w:r>
    </w:p>
    <w:p w:rsidR="00BB6B5C" w:rsidRPr="0093346C" w:rsidRDefault="00BB6B5C" w:rsidP="003D3B04">
      <w:pPr>
        <w:pStyle w:val="AnnexNo"/>
        <w:rPr>
          <w:sz w:val="22"/>
          <w:szCs w:val="18"/>
          <w:lang w:val="ru-RU"/>
        </w:rPr>
      </w:pPr>
      <w:r w:rsidRPr="0093346C">
        <w:rPr>
          <w:lang w:val="ru-RU"/>
        </w:rPr>
        <w:lastRenderedPageBreak/>
        <w:t>ПРИЛОЖЕНИЕ 1</w:t>
      </w:r>
      <w:r w:rsidR="003D3B04" w:rsidRPr="0093346C">
        <w:rPr>
          <w:lang w:val="ru-RU"/>
        </w:rPr>
        <w:br/>
      </w:r>
      <w:r w:rsidRPr="0093346C">
        <w:rPr>
          <w:sz w:val="22"/>
          <w:szCs w:val="18"/>
          <w:lang w:val="ru-RU"/>
        </w:rPr>
        <w:t>(</w:t>
      </w:r>
      <w:r w:rsidR="003D3B04" w:rsidRPr="0093346C">
        <w:rPr>
          <w:caps w:val="0"/>
          <w:sz w:val="22"/>
          <w:szCs w:val="18"/>
          <w:lang w:val="ru-RU"/>
        </w:rPr>
        <w:t>к Циркуляру </w:t>
      </w:r>
      <w:r w:rsidRPr="0093346C">
        <w:rPr>
          <w:sz w:val="22"/>
          <w:szCs w:val="18"/>
          <w:lang w:val="ru-RU"/>
        </w:rPr>
        <w:t>19 БСЭ)</w:t>
      </w:r>
    </w:p>
    <w:p w:rsidR="00BB6B5C" w:rsidRPr="0093346C" w:rsidRDefault="00BB6B5C" w:rsidP="00272E51">
      <w:pPr>
        <w:pStyle w:val="Annextitle0"/>
        <w:spacing w:after="120"/>
        <w:rPr>
          <w:lang w:val="ru-RU"/>
        </w:rPr>
      </w:pPr>
      <w:r w:rsidRPr="0093346C">
        <w:rPr>
          <w:lang w:val="ru-RU"/>
        </w:rPr>
        <w:t>Круг ведения:</w:t>
      </w:r>
      <w:r w:rsidRPr="0093346C">
        <w:rPr>
          <w:lang w:val="ru-RU"/>
        </w:rPr>
        <w:br/>
        <w:t>Оперативная группа МСЭ-Т по обработке данных и управлению данными</w:t>
      </w:r>
      <w:r w:rsidRPr="0093346C">
        <w:rPr>
          <w:lang w:val="ru-RU"/>
        </w:rPr>
        <w:br/>
        <w:t>для поддержки IoT и "умных" городов и сообществ (ОГ-DPM)</w:t>
      </w:r>
    </w:p>
    <w:p w:rsidR="00BB6B5C" w:rsidRPr="0093346C" w:rsidRDefault="00BB6B5C" w:rsidP="00BB6B5C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left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Обоснование и сфера деятельности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 xml:space="preserve">Плотность населения в городских районах, которая возрастает ускоряющимися темпами, увеличивает нагрузку на существующую инфраструктуру, необходимую для удовлетворения потребностей жителей. Вследствие этого, возрастает спрос на соединенные города с повсеместно встроенными устройствами для повышения качества услуг IoT и SC&amp;C. </w:t>
      </w:r>
      <w:r w:rsidR="003D3B04" w:rsidRPr="0093346C">
        <w:rPr>
          <w:rFonts w:eastAsiaTheme="minorEastAsia"/>
          <w:szCs w:val="22"/>
          <w:lang w:val="ru-RU" w:eastAsia="ja-JP"/>
        </w:rPr>
        <w:t>Развитие</w:t>
      </w:r>
      <w:r w:rsidRPr="0093346C">
        <w:rPr>
          <w:rFonts w:eastAsiaTheme="minorEastAsia"/>
          <w:szCs w:val="22"/>
          <w:lang w:val="ru-RU" w:eastAsia="ja-JP"/>
        </w:rPr>
        <w:t xml:space="preserve"> этих городских районов с использованием взаимосвязанных объектов</w:t>
      </w:r>
      <w:r w:rsidR="003D3B04" w:rsidRPr="0093346C">
        <w:rPr>
          <w:rFonts w:eastAsiaTheme="minorEastAsia"/>
          <w:szCs w:val="22"/>
          <w:lang w:val="ru-RU" w:eastAsia="ja-JP"/>
        </w:rPr>
        <w:t>, которое, по-видимому, носит глубокий характер,</w:t>
      </w:r>
      <w:r w:rsidRPr="0093346C">
        <w:rPr>
          <w:rFonts w:eastAsiaTheme="minorEastAsia"/>
          <w:szCs w:val="22"/>
          <w:lang w:val="ru-RU" w:eastAsia="ja-JP"/>
        </w:rPr>
        <w:t xml:space="preserve"> помогает представить "умную среду" с автономной информационной инфраструктурой, с несколькими источниками данных и с более чем 50 млрд. устройств в городской экосистеме.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>Традиционные архитектуры и инфраструктуры баз данных и анализа городской информации сохраняют значимость, однако с возрастанием спроса на управление данными требуются особые возможности и пропускная способность для обеспечения обработки потоков различных и сложных данных из разных источников. Эти данные необходимо обрабатывать и управлять ими надлежащим образом, с тем чтобы безопасным образом повысить их ценность, дополняя их при этом данными из других источников информации.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>Важно отметить, что любые дефекты в структуре обработки данных и управлении ими могут существенно снизить качество услуг, создать риски, связанные с безопасностью, и препятствовать процессу городского планирования и принятия решений в целом.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>В связи с вышесказанным для городских районов все чаще требуются определенные и комплексные структуры и руководящие принципы обработки данных и управления ими, которые включают разумные меры для достижения многоуровневой ориентированной на данные парадигмы для поддержки SC&amp;C, поэтому Оперативная группа будет проводить исследования, определять и изучать характеристики эффективных систем управления данными SC&amp;C, стратегии городского планирования на основе данных будут поддерживаться аналитической обработкой данных, включенной в структуру управления данными, с использованием появляющихся технологий для поддержки управления данными и формирующихся тенденций, включая технологию blockchain, связанную с IoT.</w:t>
      </w:r>
    </w:p>
    <w:p w:rsidR="00BB6B5C" w:rsidRPr="0093346C" w:rsidRDefault="00BB6B5C" w:rsidP="003D3B04">
      <w:pPr>
        <w:jc w:val="both"/>
        <w:rPr>
          <w:rFonts w:eastAsiaTheme="minorEastAsia"/>
          <w:strike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>Внедрение реалистических руководящих принципов и стандартов управления данными может сделать сбор, хранение, извлечение и обработку больших объемов данных быстрыми и экономически эффективными, решая при этом проблему сложности данных.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>Принимая во внимание вопросы совместимости, классификации, формата и безопасности данных, которые затрагивают различные заинтересованные стороны, эта Оперативная группа будет играть свою роль в предоставлении платформы для обмена мнениями, разработки серии итоговых документов и демонстрации деятельности по инициативам, проектам и стандартам, связанным с обработкой данных и управлением ими, а также определением решений экосистемы IoT для городов, ориентированных на данные.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>Ожидается, что данная Оперативная группа разработает дорожную карту стандартизации управления данными с учетом деятельности, проводимой в настоящее время различными организациями по разработке стандартов (ОРС) и форумами.</w:t>
      </w:r>
      <w:r w:rsidRPr="0093346C">
        <w:rPr>
          <w:lang w:val="ru-RU"/>
        </w:rPr>
        <w:t xml:space="preserve"> 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 xml:space="preserve">Данная Оперативная группа по </w:t>
      </w:r>
      <w:r w:rsidRPr="0093346C">
        <w:rPr>
          <w:lang w:val="ru-RU"/>
        </w:rPr>
        <w:t xml:space="preserve">обработке данных и управлению данными для поддержки IoT </w:t>
      </w:r>
      <w:r w:rsidRPr="0093346C">
        <w:rPr>
          <w:color w:val="000000"/>
          <w:lang w:val="ru-RU"/>
        </w:rPr>
        <w:t>и "умных" городов и сообществ</w:t>
      </w:r>
      <w:r w:rsidRPr="0093346C">
        <w:rPr>
          <w:rFonts w:eastAsiaTheme="minorEastAsia"/>
          <w:szCs w:val="22"/>
          <w:lang w:val="ru-RU" w:eastAsia="ja-JP"/>
        </w:rPr>
        <w:t xml:space="preserve"> (ОГ-DPM) будет содействовать созданию структур управления данными и предложит нечленам МСЭ-Т принять участие в ее работе. 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lastRenderedPageBreak/>
        <w:t>2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Задачи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 xml:space="preserve">Проводить исследования, обзоры и обследования существующих технологий, платформ, руководящих принципов и стандартов в области обработки данных и управления ими, включая формат данных, в поддержку выполнения </w:t>
      </w:r>
      <w:r w:rsidR="00734AC7" w:rsidRPr="0093346C">
        <w:rPr>
          <w:szCs w:val="22"/>
          <w:lang w:val="ru-RU"/>
        </w:rPr>
        <w:t>мандата ИК20.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Узнавать и выделять различные перспективы для будущего экосреды, ориентированной на данные</w:t>
      </w:r>
      <w:r w:rsidRPr="0093346C">
        <w:rPr>
          <w:rFonts w:eastAsia="Batang"/>
          <w:szCs w:val="22"/>
          <w:lang w:val="ru-RU"/>
        </w:rPr>
        <w:t>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Содействовать обеспечению безопасности и доверия в структурах управления данными</w:t>
      </w:r>
      <w:r w:rsidRPr="0093346C">
        <w:rPr>
          <w:rFonts w:eastAsia="Batang"/>
          <w:szCs w:val="22"/>
          <w:lang w:val="ru-RU"/>
        </w:rPr>
        <w:t>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Определять и исследовать методы защиты данных</w:t>
      </w:r>
      <w:r w:rsidRPr="0093346C">
        <w:rPr>
          <w:rFonts w:eastAsia="Batang"/>
          <w:szCs w:val="22"/>
          <w:lang w:val="ru-RU"/>
        </w:rPr>
        <w:t>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 xml:space="preserve">Содействовать решению сквозных вопросов функциональной совместимости данных и указывать путь к разработке эффективных и масштабируемых подходов к управлению </w:t>
      </w:r>
      <w:r w:rsidRPr="0093346C">
        <w:rPr>
          <w:rFonts w:eastAsia="Batang"/>
          <w:szCs w:val="22"/>
          <w:lang w:val="ru-RU"/>
        </w:rPr>
        <w:t>данными от систем.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</w:r>
      <w:r w:rsidRPr="0093346C">
        <w:rPr>
          <w:rFonts w:eastAsia="Batang"/>
          <w:szCs w:val="22"/>
          <w:lang w:val="ru-RU"/>
        </w:rPr>
        <w:t>Изучать метаданные.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Изучать вопросы доверия в структурах управления данными, включая цифровую идентификацию и сертификацию</w:t>
      </w:r>
      <w:r w:rsidRPr="0093346C">
        <w:rPr>
          <w:rFonts w:eastAsia="Batang"/>
          <w:szCs w:val="22"/>
          <w:lang w:val="ru-RU"/>
        </w:rPr>
        <w:t>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Исследовать роль возникающих технологий в поддержке управления данными и формирующихся тенденций</w:t>
      </w:r>
      <w:r w:rsidRPr="0093346C">
        <w:rPr>
          <w:rFonts w:eastAsia="Batang"/>
          <w:szCs w:val="22"/>
          <w:lang w:val="ru-RU"/>
        </w:rPr>
        <w:t>, включая технологию blockchain.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Выявлять проблемы в работе по стандартизации в области обработки данных и управления ими.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rFonts w:eastAsia="Batang"/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Налаживать связи и взаимодействие с другими организациями, которые могут внести вклад в работу по стандартизации в области обработки данных и управления ими</w:t>
      </w:r>
      <w:r w:rsidRPr="0093346C">
        <w:rPr>
          <w:rFonts w:eastAsia="Batang"/>
          <w:szCs w:val="22"/>
          <w:lang w:val="ru-RU"/>
        </w:rPr>
        <w:t xml:space="preserve">. 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3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Структура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szCs w:val="22"/>
          <w:lang w:val="ru-RU" w:eastAsia="ja-JP"/>
        </w:rPr>
        <w:t>ОГ-DPM может при необходимости создавать подгруппы.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4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Конкретные задачи и результаты работы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Осуществлять сбор документации по инициативам, относящимся к обработке данных и управлению ими, от заинтересованных сторон. Цель этой задачи заключается в разработке сценариев использования для представления соответствующим Вопросам 20</w:t>
      </w:r>
      <w:r w:rsidRPr="0093346C">
        <w:rPr>
          <w:szCs w:val="22"/>
          <w:lang w:val="ru-RU"/>
        </w:rPr>
        <w:noBreakHyphen/>
        <w:t xml:space="preserve">й Исследовательской комиссии и другим соответствующим исследовательским комиссиям и выявлении существующих стандартов и структур обработки данных и управления ими, используемых в "умных" городах. 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Разработать руководство, содержащее требуемые определения термино</w:t>
      </w:r>
      <w:r w:rsidR="003D3B04" w:rsidRPr="0093346C">
        <w:rPr>
          <w:szCs w:val="22"/>
          <w:lang w:val="ru-RU"/>
        </w:rPr>
        <w:t>в</w:t>
      </w:r>
      <w:r w:rsidRPr="0093346C">
        <w:rPr>
          <w:szCs w:val="22"/>
          <w:lang w:val="ru-RU"/>
        </w:rPr>
        <w:t xml:space="preserve"> и </w:t>
      </w:r>
      <w:r w:rsidR="003D3B04" w:rsidRPr="0093346C">
        <w:rPr>
          <w:szCs w:val="22"/>
          <w:lang w:val="ru-RU"/>
        </w:rPr>
        <w:t>классификацию</w:t>
      </w:r>
      <w:r w:rsidRPr="0093346C">
        <w:rPr>
          <w:szCs w:val="22"/>
          <w:lang w:val="ru-RU"/>
        </w:rPr>
        <w:t xml:space="preserve"> для обработки данных и управления ими. Это руководство также может помочь выявлять различные заинтересованные стороны, которые занимаются обработкой данных и управлением ими и проявляют интерес к этим вопросам.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Оказывать помощь в разработке комплектов материалов по регулированию, которые могут быть использованы директивными органами для обеспечения конфиденциальности и безопасности данных</w:t>
      </w:r>
      <w:r w:rsidR="003D3B04" w:rsidRPr="0093346C">
        <w:rPr>
          <w:szCs w:val="22"/>
          <w:lang w:val="ru-RU"/>
        </w:rPr>
        <w:t>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Организовывать тематические семинары-практикумы и форумы по вопросам обработки данных и управления ими, которые будут служить платформой для изучения передового опыта в этой области. Предполагается, что эти семинары-практикумы и форумы будут собирать все заинтересованные стороны, в том числе директивные органы, членов сектора ИКТ, национальные органы электросвязи, академические учреждения, ОРС, учреждения системы Организации Объединенных Наций для обсуждения будущего "умных" городов и сообществ, ориентированных на данные IoT.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 xml:space="preserve">Составлять проекты технических отчетов и спецификаций, направленных на устранение пробелов в стандартизации и определение будущей работы по стандартизации для </w:t>
      </w:r>
      <w:r w:rsidRPr="0093346C">
        <w:rPr>
          <w:szCs w:val="22"/>
          <w:lang w:val="ru-RU"/>
        </w:rPr>
        <w:lastRenderedPageBreak/>
        <w:t>исследовательских комиссий МСЭ-Т в области управления данными (как описано в разделе "Задачи") и будущих инфраструктур данных.</w:t>
      </w:r>
    </w:p>
    <w:p w:rsidR="00BB6B5C" w:rsidRPr="0093346C" w:rsidRDefault="00BB6B5C" w:rsidP="003D3B0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‒</w:t>
      </w:r>
      <w:r w:rsidRPr="0093346C">
        <w:rPr>
          <w:szCs w:val="22"/>
          <w:lang w:val="ru-RU"/>
        </w:rPr>
        <w:tab/>
        <w:t>Передавать окончательный перечень результатов работы в ИК20 не позднее чем за четыре календарных недели до следующего собрания основной комиссии.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5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Взаимодействие</w:t>
      </w:r>
    </w:p>
    <w:p w:rsidR="00BB6B5C" w:rsidRPr="0093346C" w:rsidRDefault="00BB6B5C" w:rsidP="003D3B04">
      <w:pPr>
        <w:keepNext/>
        <w:keepLines/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 xml:space="preserve">Данная Оперативная группа будет работать в тесном взаимодействии с </w:t>
      </w:r>
      <w:r w:rsidRPr="0093346C">
        <w:rPr>
          <w:rFonts w:eastAsiaTheme="minorEastAsia"/>
          <w:szCs w:val="22"/>
          <w:lang w:val="ru-RU" w:eastAsia="ja-JP"/>
        </w:rPr>
        <w:t>ИК20 путем проведения</w:t>
      </w:r>
      <w:r w:rsidRPr="0093346C">
        <w:rPr>
          <w:color w:val="000000"/>
          <w:lang w:val="ru-RU"/>
        </w:rPr>
        <w:t xml:space="preserve"> собраний, максимально приближенных по времени и месту, если и когда это возможно</w:t>
      </w:r>
      <w:r w:rsidRPr="0093346C">
        <w:rPr>
          <w:rFonts w:eastAsiaTheme="minorEastAsia"/>
          <w:szCs w:val="22"/>
          <w:lang w:val="ru-RU" w:eastAsia="ja-JP"/>
        </w:rPr>
        <w:t xml:space="preserve">, и при тесной координации со всеми исследовательскими комиссиями МСЭ-Т, в соответствующих случаях. </w:t>
      </w:r>
    </w:p>
    <w:p w:rsidR="00BB6B5C" w:rsidRPr="0093346C" w:rsidRDefault="00BB6B5C" w:rsidP="003D3B04">
      <w:pPr>
        <w:keepNext/>
        <w:keepLines/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cstheme="majorBidi"/>
          <w:lang w:val="ru-RU"/>
        </w:rPr>
        <w:t>ОГ-</w:t>
      </w:r>
      <w:r w:rsidRPr="0093346C">
        <w:rPr>
          <w:rFonts w:eastAsiaTheme="minorEastAsia"/>
          <w:szCs w:val="22"/>
          <w:lang w:val="ru-RU" w:eastAsia="ja-JP"/>
        </w:rPr>
        <w:t xml:space="preserve">DPM </w:t>
      </w:r>
      <w:r w:rsidRPr="0093346C">
        <w:rPr>
          <w:rFonts w:cstheme="majorBidi"/>
          <w:lang w:val="ru-RU"/>
        </w:rPr>
        <w:t>будет сотрудничать также (при необходимости) с другими соответствующими структурами в соответствии с Рекомендацией МСЭ-Т A.7.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cstheme="majorBidi"/>
          <w:lang w:val="ru-RU"/>
        </w:rPr>
        <w:t xml:space="preserve">К числу таких структур относятся муниципалитеты, неправительственные организации (НПО), директивные органы, ОРС, отраслевые форумы и консорциумы, компании, </w:t>
      </w:r>
      <w:r w:rsidRPr="0093346C">
        <w:rPr>
          <w:rFonts w:eastAsiaTheme="minorEastAsia"/>
          <w:szCs w:val="22"/>
          <w:lang w:val="ru-RU" w:eastAsia="ja-JP"/>
        </w:rPr>
        <w:t>академические учреждения</w:t>
      </w:r>
      <w:r w:rsidRPr="0093346C">
        <w:rPr>
          <w:rFonts w:cstheme="majorBidi"/>
          <w:lang w:val="ru-RU"/>
        </w:rPr>
        <w:t>, научно-исследовательские институты и другие соответствующие организации</w:t>
      </w:r>
      <w:r w:rsidRPr="0093346C">
        <w:rPr>
          <w:rFonts w:eastAsiaTheme="minorEastAsia"/>
          <w:szCs w:val="22"/>
          <w:lang w:val="ru-RU" w:eastAsia="ja-JP"/>
        </w:rPr>
        <w:t>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6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Основная комиссия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Основной комиссией является 20-я Исследовательская комиссия МСЭ-Т</w:t>
      </w:r>
      <w:r w:rsidRPr="0093346C">
        <w:rPr>
          <w:rFonts w:eastAsiaTheme="minorEastAsia"/>
          <w:szCs w:val="22"/>
          <w:lang w:val="ru-RU" w:eastAsia="ja-JP"/>
        </w:rPr>
        <w:t xml:space="preserve"> "</w:t>
      </w:r>
      <w:r w:rsidRPr="0093346C">
        <w:rPr>
          <w:rFonts w:cs="Segoe UI"/>
          <w:lang w:val="ru-RU"/>
        </w:rPr>
        <w:t>Интернет вещей и "умные" города и сообщества"</w:t>
      </w:r>
      <w:r w:rsidRPr="0093346C">
        <w:rPr>
          <w:rFonts w:eastAsiaTheme="minorEastAsia"/>
          <w:szCs w:val="22"/>
          <w:lang w:val="ru-RU" w:eastAsia="ja-JP"/>
        </w:rPr>
        <w:t>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7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Руководство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См. раздел 2.3 Рекомендации МСЭ-T A.7.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Председатель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>г-н </w:t>
      </w:r>
      <w:r w:rsidRPr="0093346C">
        <w:rPr>
          <w:color w:val="000000"/>
          <w:lang w:val="ru-RU"/>
        </w:rPr>
        <w:t>Кё Мён Ли</w:t>
      </w:r>
      <w:r w:rsidRPr="0093346C">
        <w:rPr>
          <w:rFonts w:eastAsiaTheme="minorEastAsia"/>
          <w:szCs w:val="22"/>
          <w:lang w:val="ru-RU" w:eastAsia="ja-JP"/>
        </w:rPr>
        <w:t xml:space="preserve"> (KAIST)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Заместитель председателя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 xml:space="preserve">г-н Рафаель Рольер </w:t>
      </w:r>
      <w:r w:rsidRPr="0093346C">
        <w:rPr>
          <w:rFonts w:eastAsiaTheme="minorEastAsia"/>
          <w:szCs w:val="22"/>
          <w:lang w:val="ru-RU" w:eastAsia="ja-JP"/>
        </w:rPr>
        <w:t>(Swisscom)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Заместитель председателя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>г-жа Цзяюй Би</w:t>
      </w:r>
      <w:r w:rsidRPr="0093346C">
        <w:rPr>
          <w:rFonts w:eastAsiaTheme="minorEastAsia"/>
          <w:szCs w:val="22"/>
          <w:lang w:val="ru-RU" w:eastAsia="ja-JP"/>
        </w:rPr>
        <w:t xml:space="preserve"> (China Telecom)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Заместитель председателя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>г-н </w:t>
      </w:r>
      <w:r w:rsidRPr="0093346C">
        <w:rPr>
          <w:color w:val="000000"/>
          <w:lang w:val="ru-RU"/>
        </w:rPr>
        <w:t>Билель Шабу</w:t>
      </w:r>
      <w:r w:rsidRPr="0093346C">
        <w:rPr>
          <w:rFonts w:eastAsiaTheme="minorEastAsia"/>
          <w:szCs w:val="22"/>
          <w:lang w:val="ru-RU" w:eastAsia="ja-JP"/>
        </w:rPr>
        <w:t xml:space="preserve"> (Тунис)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Заместитель председателя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>г-н Антонио Харрис (CABASE, Аргентина)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Заместитель председателя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>г-н Роберт Льюис-Леттингтон (ООН-Хабитат)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Заместитель председателя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>г-н </w:t>
      </w:r>
      <w:r w:rsidRPr="0093346C">
        <w:rPr>
          <w:color w:val="000000"/>
          <w:lang w:val="ru-RU"/>
        </w:rPr>
        <w:t>Абдулхади Абуальмаль</w:t>
      </w:r>
      <w:r w:rsidRPr="0093346C">
        <w:rPr>
          <w:rFonts w:eastAsiaTheme="minorEastAsia"/>
          <w:szCs w:val="22"/>
          <w:lang w:val="ru-RU" w:eastAsia="ja-JP"/>
        </w:rPr>
        <w:t xml:space="preserve"> (Etisalat)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Заместитель председателя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>г-н Дэйв Фолкнер</w:t>
      </w:r>
      <w:r w:rsidRPr="0093346C">
        <w:rPr>
          <w:rFonts w:eastAsiaTheme="minorEastAsia"/>
          <w:szCs w:val="22"/>
          <w:lang w:val="ru-RU" w:eastAsia="ja-JP"/>
        </w:rPr>
        <w:t xml:space="preserve"> (Climate Associates)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rFonts w:eastAsiaTheme="minorEastAsia"/>
          <w:b/>
          <w:bCs/>
          <w:szCs w:val="22"/>
          <w:lang w:val="ru-RU" w:eastAsia="ja-JP"/>
        </w:rPr>
        <w:t>Заместитель председателя</w:t>
      </w:r>
      <w:r w:rsidRPr="0093346C">
        <w:rPr>
          <w:rFonts w:eastAsiaTheme="minorEastAsia"/>
          <w:szCs w:val="22"/>
          <w:lang w:val="ru-RU" w:eastAsia="ja-JP"/>
        </w:rPr>
        <w:t xml:space="preserve">: </w:t>
      </w:r>
      <w:r w:rsidRPr="0093346C">
        <w:rPr>
          <w:lang w:val="ru-RU"/>
        </w:rPr>
        <w:t>г-н Мартин Бринсков (</w:t>
      </w:r>
      <w:r w:rsidR="00734AC7" w:rsidRPr="0093346C">
        <w:rPr>
          <w:lang w:val="ru-RU"/>
        </w:rPr>
        <w:t xml:space="preserve">Председатель Инициативы </w:t>
      </w:r>
      <w:r w:rsidRPr="0093346C">
        <w:rPr>
          <w:lang w:val="ru-RU"/>
        </w:rPr>
        <w:t>по созданию открытых и адаптивных "умных" городов)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8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Участие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См. раздел 3 Рекомендации МСЭ-T A.7. Для справочных целей предусмотрено ведение списка участников, который будет сообщаться основной комиссии.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Важно отметить, что участие в этой Оперативной группе должно основываться на вкладах и активном участии в ее работе.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9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Административная поддержка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См. раздел 5 Рекомендации МСЭ-T A.7.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10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Общее финансирование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См. разделы 4 и 10.2 Рекомендации МСЭ-T A.7.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lastRenderedPageBreak/>
        <w:t>11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Собрания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szCs w:val="22"/>
          <w:lang w:val="ru-RU"/>
        </w:rPr>
        <w:t>Периодичность и место проведения собраний будет определять руководящий состав Оперативной группы</w:t>
      </w:r>
      <w:r w:rsidRPr="0093346C">
        <w:rPr>
          <w:rFonts w:eastAsiaTheme="minorEastAsia"/>
          <w:szCs w:val="22"/>
          <w:lang w:val="ru-RU" w:eastAsia="ja-JP"/>
        </w:rPr>
        <w:t xml:space="preserve">. Общий план собраний будет объявлен после утверждения круга ведения. </w:t>
      </w:r>
      <w:r w:rsidRPr="0093346C">
        <w:rPr>
          <w:lang w:val="ru-RU"/>
        </w:rPr>
        <w:t>Оперативная группа будет в максимальной степени использовать инструменты дистанционного сотрудничества</w:t>
      </w:r>
      <w:r w:rsidRPr="0093346C">
        <w:rPr>
          <w:rFonts w:eastAsiaTheme="minorEastAsia"/>
          <w:szCs w:val="22"/>
          <w:lang w:val="ru-RU" w:eastAsia="ja-JP"/>
        </w:rPr>
        <w:t xml:space="preserve">, рекомендуется также проводить собрания, </w:t>
      </w:r>
      <w:r w:rsidRPr="0093346C">
        <w:rPr>
          <w:color w:val="000000"/>
          <w:lang w:val="ru-RU"/>
        </w:rPr>
        <w:t xml:space="preserve">максимально приближенные по времени и месту к </w:t>
      </w:r>
      <w:r w:rsidRPr="0093346C">
        <w:rPr>
          <w:rFonts w:eastAsiaTheme="minorEastAsia"/>
          <w:szCs w:val="22"/>
          <w:lang w:val="ru-RU" w:eastAsia="ja-JP"/>
        </w:rPr>
        <w:t xml:space="preserve">уже проводимым собраниям ИК20. 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 xml:space="preserve">Даты проведения собрания будут объявляться с помощью электронных средств (например, по электронной почте, на веб-сайте и т. д.) не менее чем за четыре недели до начала собрания. 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12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Технические вклады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Вклады следует представлять не позднее чем за 12 календарных дней до начала собрания.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13</w:t>
      </w:r>
      <w:r w:rsidRPr="0093346C">
        <w:rPr>
          <w:rFonts w:eastAsiaTheme="minorEastAsia"/>
          <w:sz w:val="24"/>
          <w:szCs w:val="24"/>
          <w:lang w:val="ru-RU" w:eastAsia="ja-JP"/>
        </w:rPr>
        <w:tab/>
      </w:r>
      <w:r w:rsidRPr="0093346C">
        <w:rPr>
          <w:sz w:val="24"/>
          <w:szCs w:val="24"/>
          <w:lang w:val="ru-RU"/>
        </w:rPr>
        <w:t>Рабочий язык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Рабочим языком является английский язык.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14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Утверждение результатов работы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Результаты работы будут утверждаться на основе консенсуса.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15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Руководящие принципы работы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color w:val="000000"/>
          <w:lang w:val="ru-RU"/>
        </w:rPr>
        <w:t>Рабочие процедуры должны соответствовать процедурам собраний Докладчиков</w:t>
      </w:r>
      <w:r w:rsidRPr="0093346C">
        <w:rPr>
          <w:rFonts w:eastAsiaTheme="minorEastAsia"/>
          <w:szCs w:val="22"/>
          <w:lang w:val="ru-RU" w:eastAsia="ja-JP"/>
        </w:rPr>
        <w:t xml:space="preserve">. </w:t>
      </w:r>
      <w:r w:rsidRPr="0093346C">
        <w:rPr>
          <w:lang w:val="ru-RU"/>
        </w:rPr>
        <w:t>Не предусматривается каких-либо дополнительных руководящих принципов работы.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16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Отчеты о ходе работы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См. раздел 11 Рекомендации МСЭ-T A.7.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17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>Объявление о создании Оперативной группы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новостей МСЭ-Т Newslog и с помощью других средств, включая переписку с другими заинтересованными организациями</w:t>
      </w:r>
      <w:r w:rsidRPr="0093346C">
        <w:rPr>
          <w:rFonts w:eastAsiaTheme="minorEastAsia"/>
          <w:szCs w:val="22"/>
          <w:lang w:val="ru-RU" w:eastAsia="ja-JP"/>
        </w:rPr>
        <w:t xml:space="preserve"> 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18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 xml:space="preserve">Основные этапы и продолжительность работы Оперативной группы </w:t>
      </w:r>
    </w:p>
    <w:p w:rsidR="00BB6B5C" w:rsidRPr="0093346C" w:rsidRDefault="00BB6B5C" w:rsidP="003D3B04">
      <w:pPr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 xml:space="preserve">Продолжительность работы Оперативной группы составляет один год после проведения первого собрания </w:t>
      </w:r>
      <w:r w:rsidRPr="0093346C">
        <w:rPr>
          <w:rFonts w:eastAsiaTheme="minorEastAsia"/>
          <w:szCs w:val="22"/>
          <w:lang w:val="ru-RU" w:eastAsia="ja-JP"/>
        </w:rPr>
        <w:t xml:space="preserve">(см. раздел 2.2 Рекомендации МСЭ-T A7). </w:t>
      </w:r>
    </w:p>
    <w:p w:rsidR="00BB6B5C" w:rsidRPr="0093346C" w:rsidRDefault="00BB6B5C" w:rsidP="003D3B04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93346C">
        <w:rPr>
          <w:rFonts w:eastAsiaTheme="minorEastAsia"/>
          <w:sz w:val="24"/>
          <w:szCs w:val="24"/>
          <w:lang w:val="ru-RU" w:eastAsia="ja-JP"/>
        </w:rPr>
        <w:t>19</w:t>
      </w:r>
      <w:r w:rsidRPr="0093346C">
        <w:rPr>
          <w:rFonts w:eastAsiaTheme="minorEastAsia"/>
          <w:sz w:val="24"/>
          <w:szCs w:val="24"/>
          <w:lang w:val="ru-RU" w:eastAsia="ja-JP"/>
        </w:rPr>
        <w:tab/>
        <w:t xml:space="preserve">Патентная политика </w:t>
      </w:r>
    </w:p>
    <w:p w:rsidR="00321EB6" w:rsidRPr="0093346C" w:rsidRDefault="00BB6B5C" w:rsidP="003D3B04">
      <w:pPr>
        <w:tabs>
          <w:tab w:val="clear" w:pos="794"/>
          <w:tab w:val="clear" w:pos="1191"/>
          <w:tab w:val="clear" w:pos="1588"/>
          <w:tab w:val="clear" w:pos="1985"/>
          <w:tab w:val="left" w:pos="5272"/>
        </w:tabs>
        <w:jc w:val="both"/>
        <w:rPr>
          <w:rFonts w:eastAsiaTheme="minorEastAsia"/>
          <w:szCs w:val="22"/>
          <w:lang w:val="ru-RU" w:eastAsia="ja-JP"/>
        </w:rPr>
      </w:pPr>
      <w:r w:rsidRPr="0093346C">
        <w:rPr>
          <w:lang w:val="ru-RU"/>
        </w:rPr>
        <w:t>См. раздел 9 Рекомендации МСЭ-T A.7</w:t>
      </w:r>
      <w:r w:rsidRPr="0093346C">
        <w:rPr>
          <w:rFonts w:eastAsiaTheme="minorEastAsia"/>
          <w:szCs w:val="22"/>
          <w:lang w:val="ru-RU" w:eastAsia="ja-JP"/>
        </w:rPr>
        <w:t>.</w:t>
      </w:r>
    </w:p>
    <w:p w:rsidR="00BB6B5C" w:rsidRPr="0093346C" w:rsidRDefault="00BB6B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3346C">
        <w:rPr>
          <w:lang w:val="ru-RU"/>
        </w:rPr>
        <w:br w:type="page"/>
      </w:r>
    </w:p>
    <w:p w:rsidR="00BB6B5C" w:rsidRPr="0093346C" w:rsidRDefault="00BB6B5C" w:rsidP="00272E51">
      <w:pPr>
        <w:pStyle w:val="AnnexNo"/>
        <w:rPr>
          <w:sz w:val="22"/>
          <w:szCs w:val="16"/>
          <w:lang w:val="ru-RU"/>
        </w:rPr>
      </w:pPr>
      <w:r w:rsidRPr="0093346C">
        <w:rPr>
          <w:lang w:val="ru-RU"/>
        </w:rPr>
        <w:lastRenderedPageBreak/>
        <w:t>ПРИЛОЖЕНИЕ 2</w:t>
      </w:r>
      <w:r w:rsidRPr="0093346C">
        <w:rPr>
          <w:lang w:val="ru-RU"/>
        </w:rPr>
        <w:br/>
      </w:r>
      <w:r w:rsidRPr="0093346C">
        <w:rPr>
          <w:sz w:val="22"/>
          <w:szCs w:val="16"/>
          <w:lang w:val="ru-RU"/>
        </w:rPr>
        <w:t>(</w:t>
      </w:r>
      <w:r w:rsidR="00272E51" w:rsidRPr="0093346C">
        <w:rPr>
          <w:caps w:val="0"/>
          <w:sz w:val="22"/>
          <w:szCs w:val="16"/>
          <w:lang w:val="ru-RU"/>
        </w:rPr>
        <w:t>к Циркуляру </w:t>
      </w:r>
      <w:r w:rsidRPr="0093346C">
        <w:rPr>
          <w:sz w:val="22"/>
          <w:szCs w:val="16"/>
          <w:lang w:val="ru-RU"/>
        </w:rPr>
        <w:t>19 БСЭ)</w:t>
      </w:r>
    </w:p>
    <w:p w:rsidR="00BB6B5C" w:rsidRPr="0093346C" w:rsidRDefault="00BB6B5C" w:rsidP="0093346C">
      <w:pPr>
        <w:pStyle w:val="Annextitle0"/>
        <w:spacing w:after="120"/>
        <w:rPr>
          <w:lang w:val="ru-RU"/>
        </w:rPr>
      </w:pPr>
      <w:r w:rsidRPr="0093346C">
        <w:rPr>
          <w:lang w:val="ru-RU"/>
        </w:rPr>
        <w:t>Первое собрание ОГ-DPM МСЭ</w:t>
      </w:r>
      <w:r w:rsidRPr="0093346C">
        <w:rPr>
          <w:lang w:val="ru-RU"/>
        </w:rPr>
        <w:br/>
        <w:t>Женева, Швейцария, 17–19 июля 2017 года</w:t>
      </w:r>
    </w:p>
    <w:p w:rsidR="00BB6B5C" w:rsidRPr="0093346C" w:rsidRDefault="00BB6B5C" w:rsidP="0093346C">
      <w:pPr>
        <w:pStyle w:val="Annextitle0"/>
        <w:spacing w:after="120"/>
        <w:rPr>
          <w:rFonts w:eastAsiaTheme="minorEastAsia"/>
          <w:lang w:val="ru-RU"/>
        </w:rPr>
      </w:pPr>
      <w:r w:rsidRPr="0093346C">
        <w:rPr>
          <w:lang w:val="ru-RU"/>
        </w:rPr>
        <w:t>Практическая информация о собрании для участников</w:t>
      </w:r>
    </w:p>
    <w:p w:rsidR="00BB6B5C" w:rsidRPr="0093346C" w:rsidRDefault="003D3B04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93346C">
        <w:rPr>
          <w:b/>
          <w:bCs/>
          <w:sz w:val="26"/>
          <w:szCs w:val="26"/>
          <w:lang w:val="ru-RU"/>
        </w:rPr>
        <w:t>Методы и средства работы</w:t>
      </w:r>
    </w:p>
    <w:p w:rsidR="00BB6B5C" w:rsidRPr="0093346C" w:rsidRDefault="00BB6B5C" w:rsidP="0093346C">
      <w:pPr>
        <w:spacing w:after="120" w:line="240" w:lineRule="exact"/>
        <w:jc w:val="both"/>
        <w:rPr>
          <w:rFonts w:eastAsia="SimSun"/>
          <w:szCs w:val="22"/>
          <w:lang w:val="ru-RU" w:eastAsia="zh-CN"/>
        </w:rPr>
      </w:pPr>
      <w:r w:rsidRPr="0093346C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93346C">
        <w:rPr>
          <w:rFonts w:eastAsia="SimSun"/>
          <w:szCs w:val="22"/>
          <w:lang w:val="ru-RU" w:eastAsia="zh-CN"/>
        </w:rPr>
        <w:t xml:space="preserve">: </w:t>
      </w:r>
      <w:r w:rsidRPr="0093346C">
        <w:rPr>
          <w:color w:val="000000"/>
          <w:lang w:val="ru-RU"/>
        </w:rPr>
        <w:t>Собрание будет проходить на безбумажной основе. Предлагается направлять письменные вклады, которые следует представлять по электронной почте</w:t>
      </w:r>
      <w:r w:rsidRPr="0093346C">
        <w:rPr>
          <w:rFonts w:eastAsia="SimSun"/>
          <w:szCs w:val="22"/>
          <w:lang w:val="ru-RU" w:eastAsia="zh-CN"/>
        </w:rPr>
        <w:t xml:space="preserve"> </w:t>
      </w:r>
      <w:hyperlink r:id="rId23" w:history="1">
        <w:r w:rsidRPr="0093346C">
          <w:rPr>
            <w:rStyle w:val="Hyperlink"/>
            <w:rFonts w:eastAsia="SimSun"/>
            <w:szCs w:val="22"/>
            <w:lang w:val="ru-RU" w:eastAsia="zh-CN"/>
          </w:rPr>
          <w:t>tsbfgdpm@itu.int</w:t>
        </w:r>
      </w:hyperlink>
      <w:r w:rsidRPr="0093346C">
        <w:rPr>
          <w:rFonts w:eastAsia="SimSun"/>
          <w:szCs w:val="22"/>
          <w:lang w:val="ru-RU" w:eastAsia="zh-CN"/>
        </w:rPr>
        <w:t xml:space="preserve"> не позднее </w:t>
      </w:r>
      <w:r w:rsidRPr="0093346C">
        <w:rPr>
          <w:rFonts w:eastAsia="SimSun"/>
          <w:b/>
          <w:bCs/>
          <w:szCs w:val="22"/>
          <w:lang w:val="ru-RU" w:eastAsia="zh-CN"/>
        </w:rPr>
        <w:t>10 июля 2017 года</w:t>
      </w:r>
      <w:r w:rsidRPr="0093346C">
        <w:rPr>
          <w:rFonts w:eastAsia="SimSun"/>
          <w:szCs w:val="22"/>
          <w:lang w:val="ru-RU" w:eastAsia="zh-CN"/>
        </w:rPr>
        <w:t xml:space="preserve">, используя шаблон документов, размещенный на </w:t>
      </w:r>
      <w:hyperlink r:id="rId24" w:history="1">
        <w:r w:rsidRPr="0093346C">
          <w:rPr>
            <w:rStyle w:val="Hyperlink"/>
            <w:rFonts w:eastAsia="SimSun"/>
            <w:szCs w:val="22"/>
            <w:lang w:val="ru-RU" w:eastAsia="zh-CN"/>
          </w:rPr>
          <w:t>домашней странице ОГ-DPM</w:t>
        </w:r>
      </w:hyperlink>
      <w:r w:rsidRPr="0093346C">
        <w:rPr>
          <w:rFonts w:eastAsia="SimSun"/>
          <w:szCs w:val="22"/>
          <w:lang w:val="ru-RU" w:eastAsia="zh-CN"/>
        </w:rPr>
        <w:t xml:space="preserve">. </w:t>
      </w:r>
      <w:r w:rsidRPr="0093346C">
        <w:rPr>
          <w:rFonts w:cstheme="majorBidi"/>
          <w:szCs w:val="22"/>
          <w:lang w:val="ru-RU"/>
        </w:rPr>
        <w:t>Доступ ко всем входным и выходным документам собрания обеспечивается</w:t>
      </w:r>
      <w:r w:rsidRPr="0093346C">
        <w:rPr>
          <w:rFonts w:eastAsia="SimSun"/>
          <w:szCs w:val="22"/>
          <w:lang w:val="ru-RU" w:eastAsia="zh-CN"/>
        </w:rPr>
        <w:t xml:space="preserve"> с </w:t>
      </w:r>
      <w:hyperlink r:id="rId25" w:history="1">
        <w:r w:rsidRPr="0093346C">
          <w:rPr>
            <w:rStyle w:val="Hyperlink"/>
            <w:rFonts w:eastAsia="SimSun"/>
            <w:szCs w:val="22"/>
            <w:lang w:val="ru-RU" w:eastAsia="zh-CN"/>
          </w:rPr>
          <w:t>домашней страницы ОГ-DPM</w:t>
        </w:r>
      </w:hyperlink>
      <w:r w:rsidRPr="0093346C">
        <w:rPr>
          <w:rFonts w:eastAsia="SimSun"/>
          <w:szCs w:val="22"/>
          <w:lang w:val="ru-RU" w:eastAsia="zh-CN"/>
        </w:rPr>
        <w:t xml:space="preserve"> (необходима учетная запись TIES или Guest).</w:t>
      </w:r>
    </w:p>
    <w:p w:rsidR="00BB6B5C" w:rsidRPr="0093346C" w:rsidRDefault="00BB6B5C" w:rsidP="0093346C">
      <w:pPr>
        <w:spacing w:line="240" w:lineRule="exact"/>
        <w:jc w:val="both"/>
        <w:rPr>
          <w:szCs w:val="22"/>
          <w:lang w:val="ru-RU"/>
        </w:rPr>
      </w:pPr>
      <w:r w:rsidRPr="0093346C">
        <w:rPr>
          <w:lang w:val="ru-RU"/>
        </w:rPr>
        <w:t xml:space="preserve">Участники могут воспользоваться средствами </w:t>
      </w:r>
      <w:r w:rsidRPr="0093346C">
        <w:rPr>
          <w:b/>
          <w:bCs/>
          <w:lang w:val="ru-RU"/>
        </w:rPr>
        <w:t>БЕСПРОВОДНОЙ ЛВС</w:t>
      </w:r>
      <w:r w:rsidRPr="0093346C">
        <w:rPr>
          <w:lang w:val="ru-RU"/>
        </w:rPr>
        <w:t>,</w:t>
      </w:r>
      <w:r w:rsidRPr="0093346C">
        <w:rPr>
          <w:szCs w:val="22"/>
          <w:lang w:val="ru-RU"/>
        </w:rPr>
        <w:t xml:space="preserve"> расположенными в штаб-квартире МСЭ (SSID: "ITUwifi", пароль: itu@GVA1211). Подробная информация представлена на месте и на веб-сайте МСЭ-Т (</w:t>
      </w:r>
      <w:hyperlink r:id="rId26" w:history="1">
        <w:r w:rsidRPr="0093346C">
          <w:rPr>
            <w:color w:val="0000FF"/>
            <w:szCs w:val="22"/>
            <w:u w:val="single"/>
            <w:lang w:val="ru-RU"/>
          </w:rPr>
          <w:t>http://itu.int/ITU-T/edh/faqs-support.html</w:t>
        </w:r>
      </w:hyperlink>
      <w:r w:rsidRPr="0093346C">
        <w:rPr>
          <w:szCs w:val="22"/>
          <w:lang w:val="ru-RU"/>
        </w:rPr>
        <w:t xml:space="preserve">). </w:t>
      </w:r>
    </w:p>
    <w:p w:rsidR="00BB6B5C" w:rsidRPr="0093346C" w:rsidRDefault="00BB6B5C" w:rsidP="0093346C">
      <w:pPr>
        <w:spacing w:after="120" w:line="240" w:lineRule="exact"/>
        <w:jc w:val="both"/>
        <w:rPr>
          <w:rFonts w:eastAsia="SimSun"/>
          <w:szCs w:val="22"/>
          <w:lang w:val="ru-RU" w:eastAsia="zh-CN"/>
        </w:rPr>
      </w:pPr>
      <w:r w:rsidRPr="0093346C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93346C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участника мероприятия МСЭ-Т с функцией RFID. Ячейки с электронным замком расположены на нижнем (ground) этаже </w:t>
      </w:r>
      <w:hyperlink r:id="rId27" w:history="1">
        <w:r w:rsidRPr="0093346C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93346C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BB6B5C" w:rsidRPr="0093346C" w:rsidRDefault="00BB6B5C" w:rsidP="0093346C">
      <w:pPr>
        <w:spacing w:line="240" w:lineRule="exact"/>
        <w:jc w:val="both"/>
        <w:rPr>
          <w:szCs w:val="22"/>
          <w:lang w:val="ru-RU"/>
        </w:rPr>
      </w:pPr>
      <w:r w:rsidRPr="0093346C">
        <w:rPr>
          <w:b/>
          <w:bCs/>
          <w:szCs w:val="22"/>
          <w:lang w:val="ru-RU"/>
        </w:rPr>
        <w:t>ПРИНТЕРЫ</w:t>
      </w:r>
      <w:r w:rsidRPr="0093346C">
        <w:rPr>
          <w:szCs w:val="22"/>
          <w:lang w:val="ru-RU"/>
        </w:rPr>
        <w:t xml:space="preserve">: Принтеры расположены в зонах отдыха для делегатов и вблизи всех </w:t>
      </w:r>
      <w:hyperlink r:id="rId28" w:history="1">
        <w:r w:rsidRPr="0093346C">
          <w:rPr>
            <w:rStyle w:val="Hyperlink"/>
            <w:szCs w:val="22"/>
            <w:lang w:val="ru-RU"/>
          </w:rPr>
          <w:t>основных залов заседаний</w:t>
        </w:r>
      </w:hyperlink>
      <w:r w:rsidRPr="0093346C">
        <w:rPr>
          <w:szCs w:val="22"/>
          <w:lang w:val="ru-RU"/>
        </w:rPr>
        <w:t xml:space="preserve"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9" w:history="1">
        <w:r w:rsidRPr="0093346C">
          <w:rPr>
            <w:rStyle w:val="Hyperlink"/>
            <w:szCs w:val="22"/>
            <w:lang w:val="ru-RU"/>
          </w:rPr>
          <w:t>http://itu.int/ITU-T/go/e-print</w:t>
        </w:r>
      </w:hyperlink>
      <w:r w:rsidRPr="0093346C">
        <w:rPr>
          <w:szCs w:val="22"/>
          <w:lang w:val="ru-RU"/>
        </w:rPr>
        <w:t>.</w:t>
      </w:r>
    </w:p>
    <w:p w:rsidR="00BB6B5C" w:rsidRPr="0093346C" w:rsidRDefault="00BB6B5C" w:rsidP="0093346C">
      <w:pPr>
        <w:spacing w:line="240" w:lineRule="exact"/>
        <w:jc w:val="both"/>
        <w:rPr>
          <w:szCs w:val="22"/>
          <w:lang w:val="ru-RU"/>
        </w:rPr>
      </w:pPr>
      <w:r w:rsidRPr="0093346C">
        <w:rPr>
          <w:b/>
          <w:bCs/>
          <w:lang w:val="ru-RU"/>
        </w:rPr>
        <w:t>ПОРТАТИВНЫЕ КОМПЬЮТЕРЫ ДЛЯ ВРЕМЕННОГО ПОЛЬЗОВАНИЯ</w:t>
      </w:r>
      <w:r w:rsidRPr="0093346C">
        <w:rPr>
          <w:szCs w:val="22"/>
          <w:lang w:val="ru-RU"/>
        </w:rPr>
        <w:t xml:space="preserve"> доступны в </w:t>
      </w:r>
      <w:r w:rsidRPr="0093346C">
        <w:rPr>
          <w:lang w:val="ru-RU"/>
        </w:rPr>
        <w:t xml:space="preserve">Службе помощи МСЭ </w:t>
      </w:r>
      <w:r w:rsidRPr="0093346C">
        <w:rPr>
          <w:szCs w:val="22"/>
          <w:lang w:val="ru-RU"/>
        </w:rPr>
        <w:t>(</w:t>
      </w:r>
      <w:hyperlink r:id="rId30" w:history="1">
        <w:r w:rsidRPr="0093346C">
          <w:rPr>
            <w:rStyle w:val="Hyperlink"/>
            <w:szCs w:val="22"/>
            <w:lang w:val="ru-RU"/>
          </w:rPr>
          <w:t>servicedesk@itu.int</w:t>
        </w:r>
      </w:hyperlink>
      <w:r w:rsidRPr="0093346C">
        <w:rPr>
          <w:szCs w:val="22"/>
          <w:lang w:val="ru-RU"/>
        </w:rPr>
        <w:t>)</w:t>
      </w:r>
      <w:r w:rsidR="0093346C" w:rsidRPr="0093346C">
        <w:rPr>
          <w:szCs w:val="22"/>
          <w:lang w:val="ru-RU"/>
        </w:rPr>
        <w:t>; они предоставляются по</w:t>
      </w:r>
      <w:r w:rsidRPr="0093346C">
        <w:rPr>
          <w:lang w:val="ru-RU"/>
        </w:rPr>
        <w:t xml:space="preserve"> принципу "первым пришел – первым обслужен".</w:t>
      </w:r>
    </w:p>
    <w:p w:rsidR="00BB6B5C" w:rsidRPr="0093346C" w:rsidRDefault="003D3B04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93346C">
        <w:rPr>
          <w:b/>
          <w:bCs/>
          <w:sz w:val="26"/>
          <w:szCs w:val="26"/>
          <w:lang w:val="ru-RU"/>
        </w:rPr>
        <w:t>Предварительная регистрация</w:t>
      </w:r>
    </w:p>
    <w:p w:rsidR="00BB6B5C" w:rsidRPr="0093346C" w:rsidRDefault="00BB6B5C" w:rsidP="0093346C">
      <w:pPr>
        <w:spacing w:line="240" w:lineRule="exact"/>
        <w:jc w:val="both"/>
        <w:rPr>
          <w:b/>
          <w:bCs/>
          <w:szCs w:val="22"/>
          <w:lang w:val="ru-RU"/>
        </w:rPr>
      </w:pPr>
      <w:r w:rsidRPr="0093346C">
        <w:rPr>
          <w:b/>
          <w:bCs/>
          <w:szCs w:val="22"/>
          <w:lang w:val="ru-RU"/>
        </w:rPr>
        <w:t>ПРЕДВАРИТЕЛЬНАЯ РЕГИСТРАЦИЯ</w:t>
      </w:r>
      <w:r w:rsidRPr="0093346C">
        <w:rPr>
          <w:szCs w:val="22"/>
          <w:lang w:val="ru-RU"/>
        </w:rPr>
        <w:t xml:space="preserve">: Предварительную регистрацию для участия на месте или для дистанционного участия следует осуществить на </w:t>
      </w:r>
      <w:hyperlink r:id="rId31" w:history="1">
        <w:r w:rsidRPr="0093346C">
          <w:rPr>
            <w:rStyle w:val="Hyperlink"/>
            <w:szCs w:val="22"/>
            <w:lang w:val="ru-RU"/>
          </w:rPr>
          <w:t>домашней странице ОГ-DPM</w:t>
        </w:r>
      </w:hyperlink>
      <w:r w:rsidRPr="0093346C">
        <w:rPr>
          <w:szCs w:val="22"/>
          <w:lang w:val="ru-RU"/>
        </w:rPr>
        <w:t xml:space="preserve"> </w:t>
      </w:r>
      <w:r w:rsidRPr="0093346C">
        <w:rPr>
          <w:b/>
          <w:szCs w:val="22"/>
          <w:lang w:val="ru-RU"/>
        </w:rPr>
        <w:t>не позднее чем за одну неделю до начала собрания</w:t>
      </w:r>
      <w:r w:rsidRPr="0093346C">
        <w:rPr>
          <w:szCs w:val="22"/>
          <w:lang w:val="ru-RU"/>
        </w:rPr>
        <w:t xml:space="preserve">. </w:t>
      </w:r>
    </w:p>
    <w:p w:rsidR="00BB6B5C" w:rsidRPr="0093346C" w:rsidRDefault="003D3B04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 w:val="26"/>
          <w:szCs w:val="26"/>
          <w:lang w:val="ru-RU"/>
        </w:rPr>
      </w:pPr>
      <w:r w:rsidRPr="0093346C">
        <w:rPr>
          <w:b/>
          <w:bCs/>
          <w:sz w:val="26"/>
          <w:szCs w:val="26"/>
          <w:lang w:val="ru-RU"/>
        </w:rPr>
        <w:t>Посещение Женевы: гостиницы, общественный транспорт и визы</w:t>
      </w:r>
    </w:p>
    <w:p w:rsidR="00BB6B5C" w:rsidRPr="0093346C" w:rsidRDefault="00BB6B5C" w:rsidP="0093346C">
      <w:pPr>
        <w:spacing w:line="240" w:lineRule="exact"/>
        <w:jc w:val="both"/>
        <w:rPr>
          <w:b/>
          <w:bCs/>
          <w:szCs w:val="22"/>
          <w:lang w:val="ru-RU"/>
        </w:rPr>
      </w:pPr>
      <w:r w:rsidRPr="0093346C">
        <w:rPr>
          <w:b/>
          <w:bCs/>
          <w:szCs w:val="22"/>
          <w:lang w:val="ru-RU"/>
        </w:rPr>
        <w:t>ПОСЕТИТЕЛИ ЖЕНЕВЫ</w:t>
      </w:r>
      <w:r w:rsidRPr="0093346C">
        <w:rPr>
          <w:szCs w:val="22"/>
          <w:lang w:val="ru-RU"/>
        </w:rPr>
        <w:t xml:space="preserve">: Практическая информация для участников, присутствующих на собраниях МСЭ в Женеве, содержится по адресу: </w:t>
      </w:r>
      <w:hyperlink r:id="rId32" w:history="1">
        <w:r w:rsidRPr="0093346C">
          <w:rPr>
            <w:color w:val="0000FF"/>
            <w:szCs w:val="22"/>
            <w:u w:val="single"/>
            <w:lang w:val="ru-RU"/>
          </w:rPr>
          <w:t>http://itu.int/en/delegates-corner</w:t>
        </w:r>
      </w:hyperlink>
      <w:r w:rsidRPr="0093346C">
        <w:rPr>
          <w:szCs w:val="22"/>
          <w:lang w:val="ru-RU"/>
        </w:rPr>
        <w:t>.</w:t>
      </w:r>
    </w:p>
    <w:p w:rsidR="00BB6B5C" w:rsidRPr="0093346C" w:rsidRDefault="00BB6B5C" w:rsidP="0093346C">
      <w:pPr>
        <w:spacing w:line="240" w:lineRule="exact"/>
        <w:jc w:val="both"/>
        <w:rPr>
          <w:rStyle w:val="Hyperlink"/>
          <w:color w:val="auto"/>
          <w:szCs w:val="22"/>
          <w:u w:val="none"/>
          <w:lang w:val="ru-RU"/>
        </w:rPr>
      </w:pPr>
      <w:r w:rsidRPr="0093346C">
        <w:rPr>
          <w:b/>
          <w:bCs/>
          <w:szCs w:val="22"/>
          <w:lang w:val="ru-RU"/>
        </w:rPr>
        <w:t>СКИДКИ В ГОСТИНИЦАХ</w:t>
      </w:r>
      <w:r w:rsidRPr="0093346C">
        <w:rPr>
          <w:szCs w:val="22"/>
          <w:lang w:val="ru-RU"/>
        </w:rPr>
        <w:t xml:space="preserve">: Ряд гостиниц в Женеве предлагают льготные тарифы для участников, присутствующих на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3" w:history="1">
        <w:r w:rsidRPr="0093346C">
          <w:rPr>
            <w:rStyle w:val="Hyperlink"/>
            <w:szCs w:val="22"/>
            <w:lang w:val="ru-RU"/>
          </w:rPr>
          <w:t>http://itu.int/travel/</w:t>
        </w:r>
      </w:hyperlink>
      <w:r w:rsidRPr="0093346C">
        <w:rPr>
          <w:rStyle w:val="Hyperlink"/>
          <w:color w:val="auto"/>
          <w:szCs w:val="22"/>
          <w:u w:val="none"/>
          <w:lang w:val="ru-RU"/>
        </w:rPr>
        <w:t>.</w:t>
      </w:r>
    </w:p>
    <w:p w:rsidR="00BB6B5C" w:rsidRPr="0093346C" w:rsidRDefault="00BB6B5C" w:rsidP="0093346C">
      <w:pPr>
        <w:spacing w:line="240" w:lineRule="exact"/>
        <w:jc w:val="both"/>
        <w:rPr>
          <w:szCs w:val="22"/>
          <w:lang w:val="ru-RU"/>
        </w:rPr>
      </w:pPr>
      <w:r w:rsidRPr="0093346C">
        <w:rPr>
          <w:b/>
          <w:bCs/>
          <w:szCs w:val="22"/>
          <w:lang w:val="ru-RU"/>
        </w:rPr>
        <w:t>ВИЗОВАЯ ПОДДЕРЖКА</w:t>
      </w:r>
      <w:r w:rsidRPr="0093346C">
        <w:rPr>
          <w:szCs w:val="22"/>
          <w:lang w:val="ru-RU"/>
        </w:rPr>
        <w:t xml:space="preserve">: Если требуется, визы следует запрашивать </w:t>
      </w:r>
      <w:r w:rsidRPr="0093346C">
        <w:rPr>
          <w:b/>
          <w:bCs/>
          <w:szCs w:val="22"/>
          <w:lang w:val="ru-RU"/>
        </w:rPr>
        <w:t>не позднее чем за месяц до даты прибытия в Швейцарию</w:t>
      </w:r>
      <w:r w:rsidRPr="0093346C">
        <w:rPr>
          <w:szCs w:val="22"/>
          <w:lang w:val="ru-RU"/>
        </w:rPr>
        <w:t xml:space="preserve"> в посольстве или консульстве, которые представляют Швейцарию в вашей стране, </w:t>
      </w:r>
      <w:r w:rsidRPr="0093346C">
        <w:rPr>
          <w:lang w:val="ru-RU"/>
        </w:rPr>
        <w:t>или, если в вашей стране такое учреждение отсутствует, в ближайшем к стране выезда</w:t>
      </w:r>
      <w:r w:rsidRPr="0093346C">
        <w:rPr>
          <w:szCs w:val="22"/>
          <w:lang w:val="ru-RU"/>
        </w:rPr>
        <w:t xml:space="preserve">. </w:t>
      </w:r>
      <w:r w:rsidRPr="0093346C">
        <w:rPr>
          <w:lang w:val="ru-RU"/>
        </w:rPr>
        <w:t xml:space="preserve"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93346C">
        <w:rPr>
          <w:szCs w:val="22"/>
          <w:lang w:val="ru-RU"/>
        </w:rPr>
        <w:t xml:space="preserve">заявителей. </w:t>
      </w:r>
    </w:p>
    <w:p w:rsidR="00BB6B5C" w:rsidRPr="0093346C" w:rsidRDefault="00BB6B5C" w:rsidP="0093346C">
      <w:pPr>
        <w:spacing w:line="240" w:lineRule="exact"/>
        <w:jc w:val="both"/>
        <w:rPr>
          <w:szCs w:val="22"/>
          <w:lang w:val="ru-RU"/>
        </w:rPr>
      </w:pPr>
      <w:r w:rsidRPr="0093346C">
        <w:rPr>
          <w:szCs w:val="22"/>
          <w:lang w:val="ru-RU"/>
        </w:rPr>
        <w:t>Запросы следует направлять в БСЭ по электронной почте (</w:t>
      </w:r>
      <w:hyperlink r:id="rId34" w:history="1">
        <w:r w:rsidRPr="0093346C">
          <w:rPr>
            <w:rStyle w:val="Hyperlink"/>
            <w:szCs w:val="22"/>
            <w:lang w:val="ru-RU"/>
          </w:rPr>
          <w:t>tsbreg@itu.int</w:t>
        </w:r>
      </w:hyperlink>
      <w:r w:rsidRPr="0093346C">
        <w:rPr>
          <w:szCs w:val="22"/>
          <w:lang w:val="ru-RU"/>
        </w:rPr>
        <w:t xml:space="preserve">) или по факсу (+41 22 730 5853) </w:t>
      </w:r>
      <w:r w:rsidRPr="0093346C">
        <w:rPr>
          <w:lang w:val="ru-RU"/>
        </w:rPr>
        <w:t>с пометкой "</w:t>
      </w:r>
      <w:r w:rsidRPr="0093346C">
        <w:rPr>
          <w:b/>
          <w:bCs/>
          <w:lang w:val="ru-RU"/>
        </w:rPr>
        <w:t>запрос о содействии в получении визы</w:t>
      </w:r>
      <w:r w:rsidRPr="0093346C">
        <w:rPr>
          <w:lang w:val="ru-RU"/>
        </w:rPr>
        <w:t>" ("</w:t>
      </w:r>
      <w:r w:rsidRPr="0093346C">
        <w:rPr>
          <w:b/>
          <w:bCs/>
          <w:lang w:val="ru-RU"/>
        </w:rPr>
        <w:t>visa request</w:t>
      </w:r>
      <w:r w:rsidRPr="0093346C">
        <w:rPr>
          <w:lang w:val="ru-RU"/>
        </w:rPr>
        <w:t xml:space="preserve">"). </w:t>
      </w:r>
      <w:r w:rsidRPr="0093346C">
        <w:rPr>
          <w:szCs w:val="22"/>
          <w:lang w:val="ru-RU"/>
        </w:rPr>
        <w:t xml:space="preserve">Шаблон запроса приводится </w:t>
      </w:r>
      <w:hyperlink r:id="rId35" w:history="1">
        <w:r w:rsidRPr="0093346C">
          <w:rPr>
            <w:rStyle w:val="Hyperlink"/>
            <w:szCs w:val="22"/>
            <w:lang w:val="ru-RU"/>
          </w:rPr>
          <w:t>здесь</w:t>
        </w:r>
      </w:hyperlink>
      <w:r w:rsidRPr="0093346C">
        <w:rPr>
          <w:szCs w:val="22"/>
          <w:lang w:val="ru-RU"/>
        </w:rPr>
        <w:t>.</w:t>
      </w:r>
    </w:p>
    <w:p w:rsidR="00BB6B5C" w:rsidRPr="0093346C" w:rsidRDefault="00BB6B5C" w:rsidP="0093346C">
      <w:pPr>
        <w:spacing w:before="0"/>
        <w:jc w:val="center"/>
        <w:rPr>
          <w:lang w:val="ru-RU"/>
        </w:rPr>
      </w:pPr>
      <w:r w:rsidRPr="0093346C">
        <w:rPr>
          <w:lang w:val="ru-RU"/>
        </w:rPr>
        <w:t>______________</w:t>
      </w:r>
    </w:p>
    <w:sectPr w:rsidR="00BB6B5C" w:rsidRPr="0093346C" w:rsidSect="00AC7192">
      <w:headerReference w:type="default" r:id="rId36"/>
      <w:footerReference w:type="first" r:id="rId37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D7" w:rsidRDefault="00486BD7">
      <w:r>
        <w:separator/>
      </w:r>
    </w:p>
  </w:endnote>
  <w:endnote w:type="continuationSeparator" w:id="0">
    <w:p w:rsidR="00486BD7" w:rsidRDefault="0048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92" w:rsidRPr="00B30817" w:rsidRDefault="00AC7192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D7" w:rsidRDefault="00486BD7">
      <w:r>
        <w:separator/>
      </w:r>
    </w:p>
  </w:footnote>
  <w:footnote w:type="continuationSeparator" w:id="0">
    <w:p w:rsidR="00486BD7" w:rsidRDefault="00486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EC" w:rsidRPr="00C97BEC" w:rsidRDefault="00C40D4E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7BEC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7</w:t>
        </w:r>
        <w:r w:rsidR="00C97BEC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97BEC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:rsidR="002B21EE" w:rsidRPr="00C97BEC" w:rsidRDefault="00C97BEC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>Циркуляр 19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2E0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488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88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282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0C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1AC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F65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28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A3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645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2"/>
  </w:num>
  <w:num w:numId="8">
    <w:abstractNumId w:val="26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3"/>
  </w:num>
  <w:num w:numId="39">
    <w:abstractNumId w:val="20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82B7B"/>
    <w:rsid w:val="000922CA"/>
    <w:rsid w:val="0009343E"/>
    <w:rsid w:val="000943AD"/>
    <w:rsid w:val="00095EA0"/>
    <w:rsid w:val="000C2147"/>
    <w:rsid w:val="000C7D98"/>
    <w:rsid w:val="000C7EAC"/>
    <w:rsid w:val="00103310"/>
    <w:rsid w:val="00112CD6"/>
    <w:rsid w:val="00115B49"/>
    <w:rsid w:val="0013142F"/>
    <w:rsid w:val="00137401"/>
    <w:rsid w:val="00151616"/>
    <w:rsid w:val="001629DC"/>
    <w:rsid w:val="001B0C30"/>
    <w:rsid w:val="001B4A74"/>
    <w:rsid w:val="001C5ECE"/>
    <w:rsid w:val="001D261C"/>
    <w:rsid w:val="001F345C"/>
    <w:rsid w:val="00205108"/>
    <w:rsid w:val="00207341"/>
    <w:rsid w:val="002414DD"/>
    <w:rsid w:val="0025701E"/>
    <w:rsid w:val="0026232A"/>
    <w:rsid w:val="00272E51"/>
    <w:rsid w:val="002736E9"/>
    <w:rsid w:val="002773B1"/>
    <w:rsid w:val="00284005"/>
    <w:rsid w:val="00297434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1733F"/>
    <w:rsid w:val="00321EB6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D3B04"/>
    <w:rsid w:val="003F5B77"/>
    <w:rsid w:val="00400CEF"/>
    <w:rsid w:val="00403C87"/>
    <w:rsid w:val="004049BA"/>
    <w:rsid w:val="004167E6"/>
    <w:rsid w:val="0041688E"/>
    <w:rsid w:val="00432797"/>
    <w:rsid w:val="00444B73"/>
    <w:rsid w:val="00453DC7"/>
    <w:rsid w:val="00455EFA"/>
    <w:rsid w:val="00461685"/>
    <w:rsid w:val="00461969"/>
    <w:rsid w:val="004650C7"/>
    <w:rsid w:val="004720C2"/>
    <w:rsid w:val="00475A27"/>
    <w:rsid w:val="00486BD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514426"/>
    <w:rsid w:val="00526762"/>
    <w:rsid w:val="00537D99"/>
    <w:rsid w:val="00547C89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9616C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52337"/>
    <w:rsid w:val="0086381F"/>
    <w:rsid w:val="00867192"/>
    <w:rsid w:val="00871131"/>
    <w:rsid w:val="0087674B"/>
    <w:rsid w:val="00894719"/>
    <w:rsid w:val="008B0BD9"/>
    <w:rsid w:val="008C129D"/>
    <w:rsid w:val="008C5C0E"/>
    <w:rsid w:val="008C630B"/>
    <w:rsid w:val="008C7044"/>
    <w:rsid w:val="008C798D"/>
    <w:rsid w:val="008E0925"/>
    <w:rsid w:val="008F5FAF"/>
    <w:rsid w:val="009145BE"/>
    <w:rsid w:val="009166E1"/>
    <w:rsid w:val="00920CF0"/>
    <w:rsid w:val="0093346C"/>
    <w:rsid w:val="009344BF"/>
    <w:rsid w:val="009469D2"/>
    <w:rsid w:val="00954B9E"/>
    <w:rsid w:val="009720FF"/>
    <w:rsid w:val="009908A0"/>
    <w:rsid w:val="00991AB1"/>
    <w:rsid w:val="009950AA"/>
    <w:rsid w:val="009979B5"/>
    <w:rsid w:val="009A2C9B"/>
    <w:rsid w:val="009A4485"/>
    <w:rsid w:val="009B6144"/>
    <w:rsid w:val="009E5B49"/>
    <w:rsid w:val="009F61FA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3381"/>
    <w:rsid w:val="00B96E33"/>
    <w:rsid w:val="00BB6B5C"/>
    <w:rsid w:val="00BC31CD"/>
    <w:rsid w:val="00BC33B4"/>
    <w:rsid w:val="00BE36BC"/>
    <w:rsid w:val="00BF68F5"/>
    <w:rsid w:val="00C13A79"/>
    <w:rsid w:val="00C20FE5"/>
    <w:rsid w:val="00C22D6C"/>
    <w:rsid w:val="00C40D4E"/>
    <w:rsid w:val="00C44514"/>
    <w:rsid w:val="00C45145"/>
    <w:rsid w:val="00C52F5B"/>
    <w:rsid w:val="00C5792C"/>
    <w:rsid w:val="00C60E38"/>
    <w:rsid w:val="00C623F1"/>
    <w:rsid w:val="00C73DFC"/>
    <w:rsid w:val="00C97BEC"/>
    <w:rsid w:val="00CD193B"/>
    <w:rsid w:val="00CE0A47"/>
    <w:rsid w:val="00CE6BD1"/>
    <w:rsid w:val="00CF0F2B"/>
    <w:rsid w:val="00CF50B6"/>
    <w:rsid w:val="00D01B36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645B4"/>
    <w:rsid w:val="00EB24FD"/>
    <w:rsid w:val="00EC5E44"/>
    <w:rsid w:val="00ED6BF2"/>
    <w:rsid w:val="00EE4334"/>
    <w:rsid w:val="00EF273F"/>
    <w:rsid w:val="00EF6644"/>
    <w:rsid w:val="00F12ADA"/>
    <w:rsid w:val="00F15118"/>
    <w:rsid w:val="00F205F5"/>
    <w:rsid w:val="00F27D21"/>
    <w:rsid w:val="00F30825"/>
    <w:rsid w:val="00F32966"/>
    <w:rsid w:val="00F333E0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6B5C"/>
    <w:rPr>
      <w:rFonts w:asciiTheme="minorHAnsi" w:hAnsiTheme="minorHAnsi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hyperlink" Target="http://www.itu.int/en/ITU-T/focusgroups/dpm/Pages/default.aspx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fgdpm@itu.int" TargetMode="External"/><Relationship Id="rId34" Type="http://schemas.openxmlformats.org/officeDocument/2006/relationships/hyperlink" Target="mailto:tsbreg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dpm/Pages/default.aspx" TargetMode="External"/><Relationship Id="rId17" Type="http://schemas.openxmlformats.org/officeDocument/2006/relationships/hyperlink" Target="http://www.itu.int/en/ITU-T/focusgroups/dpm/Pages/default.aspx" TargetMode="External"/><Relationship Id="rId25" Type="http://schemas.openxmlformats.org/officeDocument/2006/relationships/hyperlink" Target="http://www.itu.int/en/ITU-T/focusgroups/dpm/Pages/default.aspx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focusgroups/dpm/Pages/default.aspx" TargetMode="External"/><Relationship Id="rId20" Type="http://schemas.openxmlformats.org/officeDocument/2006/relationships/hyperlink" Target="http://www.itu.int/en/ITU-T/focusgroups/dpm/Pages/default.aspx" TargetMode="External"/><Relationship Id="rId29" Type="http://schemas.openxmlformats.org/officeDocument/2006/relationships/hyperlink" Target="http://itu.int/ITU-T/go/e-pr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" TargetMode="External"/><Relationship Id="rId24" Type="http://schemas.openxmlformats.org/officeDocument/2006/relationships/hyperlink" Target="http://www.itu.int/en/ITU-T/focusgroups/dpm/Pages/default.aspx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fgdpm@itu.int" TargetMode="External"/><Relationship Id="rId23" Type="http://schemas.openxmlformats.org/officeDocument/2006/relationships/hyperlink" Target="mailto:tsbfgdpm@itu.int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en/ITU-T/focusgroups/dpm/Pages/default.aspx" TargetMode="External"/><Relationship Id="rId19" Type="http://schemas.openxmlformats.org/officeDocument/2006/relationships/hyperlink" Target="http://itu.int/en/ITU-T/info/Documents/Visa-support-letter_MODEL.pdf" TargetMode="External"/><Relationship Id="rId31" Type="http://schemas.openxmlformats.org/officeDocument/2006/relationships/hyperlink" Target="http://www.itu.int/en/ITU-T/focusgroups/dpm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dpm@itu.int" TargetMode="External"/><Relationship Id="rId14" Type="http://schemas.openxmlformats.org/officeDocument/2006/relationships/hyperlink" Target="http://www.itu.int/en/ITU-T/focusgroups/dpm/Pages/default.aspx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://itu.int/en/ITU-T/info/Documents/Visa-support-letter_MODEL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21B5-350C-4435-8B86-B4E3E736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248</TotalTime>
  <Pages>7</Pages>
  <Words>2293</Words>
  <Characters>17462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19716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13</cp:revision>
  <cp:lastPrinted>2017-05-01T11:44:00Z</cp:lastPrinted>
  <dcterms:created xsi:type="dcterms:W3CDTF">2017-04-28T08:20:00Z</dcterms:created>
  <dcterms:modified xsi:type="dcterms:W3CDTF">2017-05-01T11:45:00Z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