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7930B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7930B7" w:rsidRPr="007930B7">
        <w:t>Ginebra, 21 de abril de 2017</w:t>
      </w:r>
    </w:p>
    <w:p w:rsidR="00C34772" w:rsidRDefault="00C34772" w:rsidP="00303D62">
      <w:pPr>
        <w:spacing w:before="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4900"/>
      </w:tblGrid>
      <w:tr w:rsidR="009B1988" w:rsidTr="009B1988">
        <w:trPr>
          <w:cantSplit/>
          <w:trHeight w:val="565"/>
        </w:trPr>
        <w:tc>
          <w:tcPr>
            <w:tcW w:w="993" w:type="dxa"/>
          </w:tcPr>
          <w:p w:rsidR="009B1988" w:rsidRPr="009B1988" w:rsidRDefault="009B1988" w:rsidP="009B1988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9B1988">
              <w:rPr>
                <w:szCs w:val="22"/>
              </w:rPr>
              <w:t>Ref.:</w:t>
            </w:r>
          </w:p>
        </w:tc>
        <w:tc>
          <w:tcPr>
            <w:tcW w:w="3884" w:type="dxa"/>
          </w:tcPr>
          <w:p w:rsidR="009B1988" w:rsidRPr="009B1988" w:rsidRDefault="009B1988" w:rsidP="009B198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930B7">
              <w:rPr>
                <w:b/>
              </w:rPr>
              <w:t>Circular TSB 19</w:t>
            </w:r>
          </w:p>
        </w:tc>
        <w:tc>
          <w:tcPr>
            <w:tcW w:w="4900" w:type="dxa"/>
            <w:vMerge w:val="restart"/>
          </w:tcPr>
          <w:p w:rsidR="009B1988" w:rsidRDefault="009B1988" w:rsidP="00793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9B1988" w:rsidRDefault="009B1988" w:rsidP="00793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9B1988" w:rsidRDefault="009B1988" w:rsidP="00793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9B1988" w:rsidRDefault="009B1988" w:rsidP="00793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 Academia de la UIT</w:t>
            </w:r>
          </w:p>
        </w:tc>
      </w:tr>
      <w:tr w:rsidR="009B1988" w:rsidTr="009B1988">
        <w:trPr>
          <w:cantSplit/>
          <w:trHeight w:val="564"/>
        </w:trPr>
        <w:tc>
          <w:tcPr>
            <w:tcW w:w="993" w:type="dxa"/>
          </w:tcPr>
          <w:p w:rsidR="009B1988" w:rsidRPr="009B1988" w:rsidRDefault="009B1988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9B1988">
              <w:rPr>
                <w:szCs w:val="22"/>
              </w:rPr>
              <w:t>Tel.:</w:t>
            </w:r>
            <w:r w:rsidRPr="009B1988">
              <w:rPr>
                <w:szCs w:val="22"/>
              </w:rPr>
              <w:br/>
              <w:t>Fax:</w:t>
            </w:r>
          </w:p>
        </w:tc>
        <w:tc>
          <w:tcPr>
            <w:tcW w:w="3884" w:type="dxa"/>
          </w:tcPr>
          <w:p w:rsidR="009B1988" w:rsidRPr="007930B7" w:rsidRDefault="009B1988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+</w:t>
            </w:r>
            <w:r w:rsidRPr="007930B7">
              <w:t>41 22 730 5415</w:t>
            </w:r>
            <w:r>
              <w:br/>
              <w:t>+41 22 730 5853</w:t>
            </w:r>
          </w:p>
        </w:tc>
        <w:tc>
          <w:tcPr>
            <w:tcW w:w="4900" w:type="dxa"/>
            <w:vMerge/>
          </w:tcPr>
          <w:p w:rsidR="009B1988" w:rsidRDefault="009B1988" w:rsidP="00793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9B1988">
        <w:trPr>
          <w:cantSplit/>
        </w:trPr>
        <w:tc>
          <w:tcPr>
            <w:tcW w:w="993" w:type="dxa"/>
          </w:tcPr>
          <w:p w:rsidR="00C34772" w:rsidRPr="009B198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2"/>
              </w:rPr>
            </w:pPr>
            <w:r w:rsidRPr="009B1988">
              <w:rPr>
                <w:szCs w:val="22"/>
              </w:rPr>
              <w:t>Correo-e:</w:t>
            </w:r>
          </w:p>
        </w:tc>
        <w:tc>
          <w:tcPr>
            <w:tcW w:w="3884" w:type="dxa"/>
          </w:tcPr>
          <w:p w:rsidR="00C34772" w:rsidRDefault="00CB6E9C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7930B7" w:rsidRPr="005B2F47">
                <w:rPr>
                  <w:rStyle w:val="Hyperlink"/>
                </w:rPr>
                <w:t>tsbfgdpm@itu.int</w:t>
              </w:r>
            </w:hyperlink>
          </w:p>
        </w:tc>
        <w:tc>
          <w:tcPr>
            <w:tcW w:w="4900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7930B7" w:rsidRDefault="009B1988" w:rsidP="009B1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7930B7">
              <w:tab/>
              <w:t>Al Presidente y Vicepresidentes de las Comisiones de Estudio;</w:t>
            </w:r>
          </w:p>
          <w:p w:rsidR="007930B7" w:rsidRDefault="009B1988" w:rsidP="009B1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7930B7">
              <w:tab/>
              <w:t>Al Director de la Oficina de Desarrollo de las Telecomunicaciones;</w:t>
            </w:r>
          </w:p>
          <w:p w:rsidR="00C34772" w:rsidRDefault="009B1988" w:rsidP="009B1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7930B7"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8777"/>
      </w:tblGrid>
      <w:tr w:rsidR="00C34772" w:rsidTr="009B1988">
        <w:trPr>
          <w:cantSplit/>
        </w:trPr>
        <w:tc>
          <w:tcPr>
            <w:tcW w:w="1000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1988">
              <w:rPr>
                <w:szCs w:val="22"/>
              </w:rPr>
              <w:t>Asunto:</w:t>
            </w:r>
          </w:p>
        </w:tc>
        <w:tc>
          <w:tcPr>
            <w:tcW w:w="8777" w:type="dxa"/>
          </w:tcPr>
          <w:p w:rsidR="00C34772" w:rsidRDefault="007930B7" w:rsidP="009B198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7930B7">
              <w:rPr>
                <w:b/>
              </w:rPr>
              <w:t>Creación de un nuevo Grupo Temático del UIT-T para el tratamiento y la gestión de datos con miras a dar soporte a la Internet de las cosas y a las ciudades y comunidades inteligentes (FG-DPM), y celebración d</w:t>
            </w:r>
            <w:r w:rsidR="004B065D">
              <w:rPr>
                <w:b/>
              </w:rPr>
              <w:t>e su primera reunión en Ginebra</w:t>
            </w:r>
            <w:r w:rsidRPr="007930B7">
              <w:rPr>
                <w:b/>
              </w:rPr>
              <w:t xml:space="preserve"> </w:t>
            </w:r>
            <w:r w:rsidR="004B065D">
              <w:rPr>
                <w:b/>
              </w:rPr>
              <w:t>(</w:t>
            </w:r>
            <w:r w:rsidRPr="007930B7">
              <w:rPr>
                <w:b/>
              </w:rPr>
              <w:t>Suiza</w:t>
            </w:r>
            <w:r w:rsidR="004B065D">
              <w:rPr>
                <w:b/>
              </w:rPr>
              <w:t>)</w:t>
            </w:r>
            <w:r w:rsidRPr="007930B7">
              <w:rPr>
                <w:b/>
              </w:rPr>
              <w:t>, del 17 al</w:t>
            </w:r>
            <w:r w:rsidR="009B1988">
              <w:rPr>
                <w:b/>
              </w:rPr>
              <w:t> </w:t>
            </w:r>
            <w:r w:rsidRPr="007930B7">
              <w:rPr>
                <w:b/>
              </w:rPr>
              <w:t>19 de julio de 2017</w:t>
            </w:r>
          </w:p>
        </w:tc>
      </w:tr>
    </w:tbl>
    <w:p w:rsidR="007930B7" w:rsidRDefault="007930B7" w:rsidP="009B1988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:rsidR="007930B7" w:rsidRDefault="007930B7" w:rsidP="007930B7">
      <w:r>
        <w:t>1</w:t>
      </w:r>
      <w:r>
        <w:tab/>
        <w:t xml:space="preserve">Tras el acuerdo alcanzado por la Comisión de Estudio 20 del UIT-T en su reunión celebrada en Dubái del 13 al 23 de marzo de 2017, tengo el placer de anunciarles la creación del </w:t>
      </w:r>
      <w:hyperlink r:id="rId10" w:history="1">
        <w:r>
          <w:rPr>
            <w:rStyle w:val="Hyperlink"/>
          </w:rPr>
          <w:t>Grupo Temático del UIT-T para el tratamiento y la gestión de datos con miras a dar soporte a la Internet de las cosas y a las ciudades y comunidades inteligentes (FG-DPM)</w:t>
        </w:r>
      </w:hyperlink>
      <w:r>
        <w:t>.</w:t>
      </w:r>
    </w:p>
    <w:p w:rsidR="007930B7" w:rsidRDefault="007930B7" w:rsidP="007930B7">
      <w:r>
        <w:t>2</w:t>
      </w:r>
      <w:r>
        <w:tab/>
        <w:t>En el marco de la Internet de las cosas y de las ciudades y comunidades inteligentes, el nuevo Grupo Temático ayudará a establecer marcos de confianza para la gestión de datos, estudiará las nuevas tecnologías y las ya existentes, y determinará cuáles son los problemas a los que se enfrentan las actividades de normalización en este campo. Los resultados del Grupo Temático se remitirán a la Comisión de Estudio 20 del UIT-T para que los estudie. Algunos de estos podrán ser: proyectos de informes técnicos o de especificaciones técnicas para superar la disparidad en materia de normalización en el tratamiento y la gestión de datos, y definiciones terminológicas y taxonómicas.</w:t>
      </w:r>
    </w:p>
    <w:p w:rsidR="007930B7" w:rsidRDefault="007930B7" w:rsidP="004540EA">
      <w:r>
        <w:t>3</w:t>
      </w:r>
      <w:r>
        <w:tab/>
        <w:t xml:space="preserve">El Grupo Temático trabajará siguiendo el procedimiento establecido en la </w:t>
      </w:r>
      <w:hyperlink r:id="rId11" w:history="1">
        <w:r>
          <w:rPr>
            <w:rStyle w:val="Hyperlink"/>
          </w:rPr>
          <w:t>Recomendación</w:t>
        </w:r>
        <w:r w:rsidR="004540EA">
          <w:rPr>
            <w:rStyle w:val="Hyperlink"/>
          </w:rPr>
          <w:t> </w:t>
        </w:r>
        <w:r>
          <w:rPr>
            <w:rStyle w:val="Hyperlink"/>
          </w:rPr>
          <w:t>UIT-T A.7</w:t>
        </w:r>
      </w:hyperlink>
      <w:r>
        <w:t xml:space="preserve"> y en el marco del mandato acordado que figura en el </w:t>
      </w:r>
      <w:r>
        <w:rPr>
          <w:b/>
        </w:rPr>
        <w:t>Anexo 1</w:t>
      </w:r>
      <w:r>
        <w:t>. La Comisión de Estudio 20 del UIT-T nombró al Sr. Gyu Myoung Lee, KAIST, Corea (República de), como Presidente del Grupo Temático. Los vicepresidentes nombrados son: Sr. Raphael Rollier (Swisscom), Sra. Jiayu Bi (China Telecom), Sr. Bilel Chabou (Túnez), Sr. Antonio Harris (CABASE, Argentina), Sr. Robert Lewis-Lettington (UN-HABITAT), Sr. Abdulhadi AbouAlmal (Etisalat), Sr. Dave Faulkner (Climate Associates) y Sr</w:t>
      </w:r>
      <w:r w:rsidR="0094247C">
        <w:t>.</w:t>
      </w:r>
      <w:r>
        <w:t xml:space="preserve"> Martin Brynskov (Presidente de la iniciativa Open and Agile Smart Cities).</w:t>
      </w:r>
    </w:p>
    <w:p w:rsidR="007930B7" w:rsidRDefault="007930B7" w:rsidP="0094247C">
      <w:r>
        <w:lastRenderedPageBreak/>
        <w:t>4</w:t>
      </w:r>
      <w:r>
        <w:tab/>
        <w:t>La participación en el FG-DPM está abierta a los Estados Miembros, Miembros de Sector, Asociados e Instituciones Académicas de la UIT, y a cualquier persona de un país Miembro de la</w:t>
      </w:r>
      <w:r w:rsidR="0094247C">
        <w:t> </w:t>
      </w:r>
      <w:r>
        <w:t xml:space="preserve">UIT que desee contribuir a su trabajo, en particular las personas que también son miembros o representantes de organizaciones de normalización interesadas. Las personas interesadas en recibir anuncios y noticias del FG-DPM pueden darse de alta en su lista de distribución. En la página web del Grupo Temático podrá encontrar información para darse de alta: </w:t>
      </w:r>
      <w:hyperlink r:id="rId12" w:history="1">
        <w:r>
          <w:rPr>
            <w:rStyle w:val="Hyperlink"/>
          </w:rPr>
          <w:t>www.itu.int/en/ITU-T/focusgroups/dpm</w:t>
        </w:r>
      </w:hyperlink>
      <w:r>
        <w:t>.</w:t>
      </w:r>
    </w:p>
    <w:p w:rsidR="007930B7" w:rsidRPr="00F97657" w:rsidRDefault="007930B7" w:rsidP="009B1988">
      <w:pPr>
        <w:pStyle w:val="Headingb0"/>
      </w:pPr>
      <w:r>
        <w:t>Primera reunión del FG-DPM</w:t>
      </w:r>
    </w:p>
    <w:p w:rsidR="007930B7" w:rsidRDefault="007930B7" w:rsidP="002517DD">
      <w:r>
        <w:t>5</w:t>
      </w:r>
      <w:r>
        <w:tab/>
        <w:t xml:space="preserve">La primera reunión del FG-DPM se celebrará en la </w:t>
      </w:r>
      <w:r w:rsidR="0094247C">
        <w:t>S</w:t>
      </w:r>
      <w:r>
        <w:t>ede de la UIT en Ginebra del 17 al 19</w:t>
      </w:r>
      <w:r w:rsidR="002517DD">
        <w:t> </w:t>
      </w:r>
      <w:r>
        <w:t>de julio de 2017 en paralelo con las reuniones del Grupo de Relator de su Comisión de Estudio rectora, la CE</w:t>
      </w:r>
      <w:r w:rsidR="004B065D">
        <w:t> </w:t>
      </w:r>
      <w:r>
        <w:t>20 del UIT-T, que se celebrarán en el mismo lugar del 17 al 28 de julio de 2017.</w:t>
      </w:r>
    </w:p>
    <w:p w:rsidR="007930B7" w:rsidRDefault="007930B7" w:rsidP="004B065D">
      <w:r>
        <w:t>6</w:t>
      </w:r>
      <w:r>
        <w:tab/>
        <w:t xml:space="preserve">La reunión comenzará a las 09.30 </w:t>
      </w:r>
      <w:r w:rsidR="0094247C">
        <w:t xml:space="preserve">horas </w:t>
      </w:r>
      <w:r>
        <w:t>y los participantes podrán registrarse a partir de las 08.30</w:t>
      </w:r>
      <w:r w:rsidR="0094247C">
        <w:t xml:space="preserve"> horas</w:t>
      </w:r>
      <w:r>
        <w:t xml:space="preserve"> en la </w:t>
      </w:r>
      <w:hyperlink r:id="rId13" w:history="1">
        <w:r>
          <w:rPr>
            <w:rStyle w:val="Hyperlink"/>
          </w:rPr>
          <w:t>entrada del edificio de Montbrillant</w:t>
        </w:r>
      </w:hyperlink>
      <w:r>
        <w:t>. En el</w:t>
      </w:r>
      <w:r>
        <w:rPr>
          <w:b/>
          <w:bCs/>
        </w:rPr>
        <w:t xml:space="preserve"> Anexo 2</w:t>
      </w:r>
      <w:r>
        <w:t xml:space="preserve"> figura información práctica sobre la reunión. El orden del día y el plan de gestión del tiempo podrán consultarse en</w:t>
      </w:r>
      <w:r w:rsidR="008D54B2">
        <w:t xml:space="preserve"> la</w:t>
      </w:r>
      <w:r>
        <w:t xml:space="preserve"> </w:t>
      </w:r>
      <w:hyperlink r:id="rId14" w:history="1">
        <w:r w:rsidR="008D54B2">
          <w:rPr>
            <w:rStyle w:val="Hyperlink"/>
          </w:rPr>
          <w:t>página web del FG-DPM</w:t>
        </w:r>
      </w:hyperlink>
      <w:r>
        <w:t xml:space="preserve"> antes de que comience la reunión. Los debates se celebrarán únicamente en inglés.</w:t>
      </w:r>
    </w:p>
    <w:p w:rsidR="007930B7" w:rsidRPr="00125211" w:rsidRDefault="007930B7" w:rsidP="007930B7">
      <w:r>
        <w:t>7</w:t>
      </w:r>
      <w:r>
        <w:tab/>
        <w:t>Se invita a remitir por escrito contribuciones a la labor del FG-DPM a la Secretaría de la UIT (</w:t>
      </w:r>
      <w:hyperlink r:id="rId15" w:history="1">
        <w:r>
          <w:rPr>
            <w:rStyle w:val="Hyperlink"/>
          </w:rPr>
          <w:t>tsbfgdpm@itu.int</w:t>
        </w:r>
      </w:hyperlink>
      <w:r>
        <w:t>) en formato electrónico utilizando las plantillas disponibles en</w:t>
      </w:r>
      <w:r w:rsidR="008D54B2">
        <w:t xml:space="preserve"> la</w:t>
      </w:r>
      <w:r>
        <w:t xml:space="preserve"> </w:t>
      </w:r>
      <w:hyperlink r:id="rId16" w:history="1">
        <w:r w:rsidR="008D54B2">
          <w:rPr>
            <w:rStyle w:val="Hyperlink"/>
          </w:rPr>
          <w:t>página web del FG</w:t>
        </w:r>
        <w:r w:rsidR="008D54B2">
          <w:rPr>
            <w:rStyle w:val="Hyperlink"/>
          </w:rPr>
          <w:noBreakHyphen/>
          <w:t>DPM</w:t>
        </w:r>
      </w:hyperlink>
      <w:r>
        <w:t xml:space="preserve">. </w:t>
      </w:r>
      <w:r>
        <w:rPr>
          <w:b/>
        </w:rPr>
        <w:t>El plazo para remitir contribuciones por escrito finaliza el 10 de julio de 2017.</w:t>
      </w:r>
    </w:p>
    <w:p w:rsidR="007930B7" w:rsidRDefault="007930B7" w:rsidP="004B065D">
      <w:r>
        <w:t>8</w:t>
      </w:r>
      <w:r>
        <w:tab/>
        <w:t xml:space="preserve">Con miras a que la UIT pueda tomar las medidas administrativas necesarias, se invita a los participantes a registrarse en línea en la </w:t>
      </w:r>
      <w:hyperlink r:id="rId17" w:history="1">
        <w:r>
          <w:rPr>
            <w:rStyle w:val="Hyperlink"/>
          </w:rPr>
          <w:t>página web del FG-DPM</w:t>
        </w:r>
      </w:hyperlink>
      <w:r>
        <w:t xml:space="preserve"> lo antes posible, </w:t>
      </w:r>
      <w:r>
        <w:rPr>
          <w:b/>
        </w:rPr>
        <w:t>no más tarde del</w:t>
      </w:r>
      <w:r>
        <w:rPr>
          <w:b/>
          <w:bCs/>
        </w:rPr>
        <w:t xml:space="preserve"> 10 de julio de 2017</w:t>
      </w:r>
      <w:r>
        <w:rPr>
          <w:b/>
        </w:rPr>
        <w:t>.</w:t>
      </w:r>
      <w:r>
        <w:t xml:space="preserve"> Es necesario registrarse tanto para participar a distancia como físicamente. La información sobre la participación a distancia se publicará en la </w:t>
      </w:r>
      <w:hyperlink r:id="rId18" w:history="1">
        <w:r>
          <w:rPr>
            <w:rStyle w:val="Hyperlink"/>
          </w:rPr>
          <w:t>página web del</w:t>
        </w:r>
        <w:r w:rsidR="004B065D">
          <w:rPr>
            <w:rStyle w:val="Hyperlink"/>
          </w:rPr>
          <w:t> </w:t>
        </w:r>
        <w:r>
          <w:rPr>
            <w:rStyle w:val="Hyperlink"/>
          </w:rPr>
          <w:t>FG</w:t>
        </w:r>
        <w:r w:rsidR="004B065D">
          <w:rPr>
            <w:rStyle w:val="Hyperlink"/>
          </w:rPr>
          <w:noBreakHyphen/>
        </w:r>
        <w:r>
          <w:rPr>
            <w:rStyle w:val="Hyperlink"/>
          </w:rPr>
          <w:t>DPM</w:t>
        </w:r>
      </w:hyperlink>
      <w:r w:rsidR="004B065D">
        <w:t>.</w:t>
      </w:r>
    </w:p>
    <w:p w:rsidR="007930B7" w:rsidRPr="00F97657" w:rsidRDefault="007930B7" w:rsidP="004B065D">
      <w:pPr>
        <w:pStyle w:val="Headingb0"/>
        <w:spacing w:after="120"/>
      </w:pPr>
      <w:r>
        <w:t>Plazos más importantes: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671"/>
      </w:tblGrid>
      <w:tr w:rsidR="007930B7" w:rsidRPr="00F97657" w:rsidTr="004B065D">
        <w:tc>
          <w:tcPr>
            <w:tcW w:w="2053" w:type="dxa"/>
            <w:shd w:val="clear" w:color="auto" w:fill="auto"/>
            <w:vAlign w:val="center"/>
          </w:tcPr>
          <w:p w:rsidR="007930B7" w:rsidRPr="009B1F3B" w:rsidRDefault="007930B7" w:rsidP="009B1988">
            <w:pPr>
              <w:pStyle w:val="Tabletext0"/>
            </w:pPr>
            <w:r>
              <w:t>17 de junio de 2017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7930B7" w:rsidRPr="009B1988" w:rsidRDefault="009B1988" w:rsidP="004B065D">
            <w:pPr>
              <w:pStyle w:val="Tabletext0"/>
              <w:ind w:left="284" w:hanging="284"/>
            </w:pPr>
            <w:r>
              <w:t>–</w:t>
            </w:r>
            <w:r>
              <w:tab/>
            </w:r>
            <w:r w:rsidR="007930B7" w:rsidRPr="009B1988">
              <w:t xml:space="preserve">Solicitudes de cartas para apoyar la solicitud de visados (véase </w:t>
            </w:r>
            <w:hyperlink r:id="rId19" w:history="1">
              <w:r w:rsidR="007930B7" w:rsidRPr="009B1988">
                <w:rPr>
                  <w:rStyle w:val="Hyperlink"/>
                </w:rPr>
                <w:t>aquí</w:t>
              </w:r>
            </w:hyperlink>
            <w:r w:rsidR="007930B7" w:rsidRPr="009B1988">
              <w:t xml:space="preserve"> una plantilla de solicitud)</w:t>
            </w:r>
          </w:p>
        </w:tc>
      </w:tr>
      <w:tr w:rsidR="007930B7" w:rsidRPr="00F97657" w:rsidTr="004B065D">
        <w:tc>
          <w:tcPr>
            <w:tcW w:w="2053" w:type="dxa"/>
            <w:shd w:val="clear" w:color="auto" w:fill="auto"/>
            <w:vAlign w:val="center"/>
          </w:tcPr>
          <w:p w:rsidR="007930B7" w:rsidRPr="009B1988" w:rsidRDefault="007930B7" w:rsidP="009B1988">
            <w:pPr>
              <w:pStyle w:val="Tabletext0"/>
            </w:pPr>
            <w:r w:rsidRPr="009B1988">
              <w:t>10 de julio de 2017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7930B7" w:rsidRPr="009B1988" w:rsidRDefault="009B1988" w:rsidP="009B1988">
            <w:pPr>
              <w:pStyle w:val="Tabletext0"/>
            </w:pPr>
            <w:r>
              <w:t>–</w:t>
            </w:r>
            <w:r>
              <w:tab/>
            </w:r>
            <w:r w:rsidR="007930B7">
              <w:t xml:space="preserve">Preinscripción (en línea a través de la </w:t>
            </w:r>
            <w:hyperlink r:id="rId20" w:history="1">
              <w:r w:rsidR="007930B7" w:rsidRPr="009B1988">
                <w:rPr>
                  <w:rStyle w:val="Hyperlink"/>
                </w:rPr>
                <w:t>página web del FG-DPM</w:t>
              </w:r>
            </w:hyperlink>
            <w:r w:rsidR="007930B7">
              <w:t>)</w:t>
            </w:r>
          </w:p>
          <w:p w:rsidR="007930B7" w:rsidRPr="009B1988" w:rsidRDefault="009B1988" w:rsidP="009B1988">
            <w:pPr>
              <w:pStyle w:val="Tabletext0"/>
            </w:pPr>
            <w:r>
              <w:t>–</w:t>
            </w:r>
            <w:r>
              <w:tab/>
            </w:r>
            <w:r w:rsidR="007930B7" w:rsidRPr="009B1988">
              <w:t xml:space="preserve">Envío de contribuciones por escrito (por correo-e a </w:t>
            </w:r>
            <w:hyperlink r:id="rId21" w:history="1">
              <w:r w:rsidRPr="005B2F47">
                <w:rPr>
                  <w:rStyle w:val="Hyperlink"/>
                </w:rPr>
                <w:t>tsbfgdpm@itu.int</w:t>
              </w:r>
            </w:hyperlink>
            <w:r w:rsidR="007930B7" w:rsidRPr="009B1988">
              <w:t>)</w:t>
            </w:r>
          </w:p>
        </w:tc>
      </w:tr>
    </w:tbl>
    <w:p w:rsidR="007533DF" w:rsidRPr="00CB6134" w:rsidRDefault="007930B7" w:rsidP="007533DF">
      <w:pPr>
        <w:spacing w:before="240"/>
      </w:pPr>
      <w:r>
        <w:t>Le deseo una reunión agradable y fructífera.</w:t>
      </w:r>
      <w:r w:rsidR="007533DF">
        <w:br/>
      </w:r>
      <w:r w:rsidR="007533DF">
        <w:br/>
      </w:r>
      <w:r w:rsidR="00F07FB3">
        <w:t>Atentamente,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8"/>
        <w:gridCol w:w="3086"/>
      </w:tblGrid>
      <w:tr w:rsidR="007930B7" w:rsidRPr="00CB6134" w:rsidTr="004B065D">
        <w:trPr>
          <w:trHeight w:val="1955"/>
        </w:trPr>
        <w:tc>
          <w:tcPr>
            <w:tcW w:w="6548" w:type="dxa"/>
            <w:tcBorders>
              <w:right w:val="single" w:sz="4" w:space="0" w:color="auto"/>
            </w:tcBorders>
            <w:vAlign w:val="bottom"/>
          </w:tcPr>
          <w:p w:rsidR="007930B7" w:rsidRPr="00CB6134" w:rsidRDefault="007930B7" w:rsidP="007533DF">
            <w:pPr>
              <w:spacing w:before="0"/>
            </w:pPr>
            <w:bookmarkStart w:id="4" w:name="_GoBack"/>
            <w:bookmarkEnd w:id="4"/>
            <w:r>
              <w:t>Chaesub Lee</w:t>
            </w:r>
            <w:r>
              <w:br/>
              <w:t>Director de la Oficina de Normalización de las Telecomunicaciones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B7" w:rsidRPr="00CB6134" w:rsidRDefault="007930B7" w:rsidP="00123612">
            <w:pPr>
              <w:spacing w:before="0"/>
              <w:jc w:val="center"/>
              <w:rPr>
                <w:highlight w:val="yellow"/>
              </w:rPr>
            </w:pPr>
            <w:r w:rsidRPr="00D7186D">
              <w:rPr>
                <w:noProof/>
                <w:lang w:val="en-GB" w:eastAsia="zh-CN"/>
              </w:rPr>
              <w:drawing>
                <wp:inline distT="0" distB="0" distL="0" distR="0" wp14:anchorId="084BFB1A" wp14:editId="65ECC778">
                  <wp:extent cx="1064419" cy="937623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61" cy="9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0B7" w:rsidRPr="00CB6134" w:rsidRDefault="007930B7" w:rsidP="00123612">
            <w:pPr>
              <w:spacing w:before="0"/>
              <w:jc w:val="center"/>
            </w:pPr>
            <w:r>
              <w:t>Información más reciente sobre la reunión</w:t>
            </w:r>
          </w:p>
        </w:tc>
      </w:tr>
    </w:tbl>
    <w:p w:rsidR="009B1988" w:rsidRDefault="007930B7" w:rsidP="004B065D">
      <w:pPr>
        <w:spacing w:before="1200"/>
      </w:pPr>
      <w:r w:rsidRPr="004B065D">
        <w:rPr>
          <w:b/>
          <w:bCs/>
        </w:rPr>
        <w:t>Anexos</w:t>
      </w:r>
      <w:r>
        <w:t>: 2</w:t>
      </w:r>
    </w:p>
    <w:p w:rsidR="007930B7" w:rsidRDefault="007930B7" w:rsidP="007930B7">
      <w:pPr>
        <w:rPr>
          <w:b/>
          <w:bCs/>
        </w:rPr>
      </w:pPr>
      <w:r>
        <w:rPr>
          <w:b/>
          <w:bCs/>
        </w:rPr>
        <w:br w:type="page"/>
      </w:r>
    </w:p>
    <w:p w:rsidR="007930B7" w:rsidRPr="00162C8E" w:rsidRDefault="007930B7" w:rsidP="004B065D">
      <w:pPr>
        <w:pStyle w:val="Annex"/>
        <w:rPr>
          <w:szCs w:val="24"/>
        </w:rPr>
      </w:pPr>
      <w:r>
        <w:lastRenderedPageBreak/>
        <w:t>ANEXO 1</w:t>
      </w:r>
      <w:r w:rsidR="004B065D">
        <w:rPr>
          <w:szCs w:val="24"/>
        </w:rPr>
        <w:br/>
      </w:r>
      <w:r>
        <w:t>(</w:t>
      </w:r>
      <w:r w:rsidR="004B065D">
        <w:rPr>
          <w:caps w:val="0"/>
        </w:rPr>
        <w:t xml:space="preserve">a la Circular </w:t>
      </w:r>
      <w:r w:rsidR="0094247C">
        <w:rPr>
          <w:caps w:val="0"/>
        </w:rPr>
        <w:t xml:space="preserve">TSB </w:t>
      </w:r>
      <w:r>
        <w:t>19)</w:t>
      </w:r>
    </w:p>
    <w:p w:rsidR="007930B7" w:rsidRPr="00162C8E" w:rsidRDefault="007930B7" w:rsidP="004B065D">
      <w:pPr>
        <w:pStyle w:val="AnnexTitle"/>
      </w:pPr>
      <w:r>
        <w:t>Mandato:</w:t>
      </w:r>
      <w:r>
        <w:br/>
        <w:t>Grupo Temático del UIT-T para el tratamiento y la gestión de datos con miras a dar soporte a la Internet de las cosas y a las ciudades y comunidades inteligentes (FG-DPM)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1</w:t>
      </w:r>
      <w:r>
        <w:tab/>
        <w:t>Motivación y alcance</w:t>
      </w:r>
    </w:p>
    <w:p w:rsidR="007930B7" w:rsidRPr="00162C8E" w:rsidRDefault="007930B7" w:rsidP="004540EA">
      <w:pPr>
        <w:rPr>
          <w:rFonts w:eastAsiaTheme="minorEastAsia"/>
        </w:rPr>
      </w:pPr>
      <w:r>
        <w:t xml:space="preserve">La creciente densidad de población en las zonas urbanas está aumentado la presión sobre las infraestructuras existentes para satisfacer las necesidades de sus habitantes. Debido a ello, crece la demanda por ciudades conectadas con dispositivos integrados omnipresentes para mejorar la calidad de los servicios de la Internet de las cosas y las ciudades y comunidades inteligentes. La evolución fulgurante de estas zonas urbanas que utilizan objetos interconectados nos permite concebir en principio un </w:t>
      </w:r>
      <w:r w:rsidR="004B065D">
        <w:t>"</w:t>
      </w:r>
      <w:r>
        <w:t>entorno inteligente</w:t>
      </w:r>
      <w:r w:rsidR="004B065D">
        <w:t>"</w:t>
      </w:r>
      <w:r>
        <w:t xml:space="preserve"> con una infraestructura de información autónoma, con diversas fuentes de datos y con más de 50</w:t>
      </w:r>
      <w:r w:rsidR="004540EA">
        <w:t> </w:t>
      </w:r>
      <w:r>
        <w:t>000 millones de dispositivos dentro del ecosistema urbano.</w:t>
      </w:r>
    </w:p>
    <w:p w:rsidR="007930B7" w:rsidRPr="00162C8E" w:rsidRDefault="007930B7" w:rsidP="007930B7">
      <w:pPr>
        <w:rPr>
          <w:rFonts w:eastAsiaTheme="minorEastAsia"/>
        </w:rPr>
      </w:pPr>
      <w:r>
        <w:t>Aunque las arquitecturas de análisis y las bases de datos de información urbanas tradicionales siguen siendo fundamentales, ahora que aumentan las demandas en la gestión de datos se necesitan capacidades especiales para gestionar los diversos y complejos trenes de datos provenientes de las diferentes fuentes. Es necesario tramitar y gestionar estos datos de forma adecuada para poder maximizar su valor de forma segura y complementarlos con otras fuentes de información.</w:t>
      </w:r>
    </w:p>
    <w:p w:rsidR="007930B7" w:rsidRPr="00162C8E" w:rsidRDefault="007930B7" w:rsidP="007930B7">
      <w:pPr>
        <w:rPr>
          <w:rFonts w:eastAsiaTheme="minorEastAsia"/>
        </w:rPr>
      </w:pPr>
      <w:r>
        <w:t>También es importante señalar que cualquier imperfección en el marco del tratamiento y gestión de datos puede afectar negativamente a la calidad de los servicios, suponer un riesgo para la seguridad y dificultar la planificación urbanística general y el proceso de toma de decisiones.</w:t>
      </w:r>
    </w:p>
    <w:p w:rsidR="007930B7" w:rsidRPr="00162C8E" w:rsidRDefault="007930B7" w:rsidP="007930B7">
      <w:pPr>
        <w:rPr>
          <w:rFonts w:eastAsiaTheme="minorEastAsia"/>
        </w:rPr>
      </w:pPr>
      <w:r>
        <w:t xml:space="preserve">A la vista de lo anterior, las zonas urbanas muestran una creciente necesidad de marcos y directrices precisos y exhaustivos para el tratamiento y la gestión de datos que incorporen medidas razonables con miras a conseguir un modelo de trabajo por capas y centrado en los datos con el que dar soporte a las ciudades y comunidades inteligentes. Para ello, el Grupo Temático estudiará y definirá las características de los sistemas eficaces de gestión de datos en ciudades y comunidades inteligentes. A partir de ahí, el análisis incorporado a las estructuras de gestión de datos permitirá crear estrategias urbanas basadas en estos datos, todo ello gracias a las nuevas tecnologías de apoyo a esta gestión y a las nuevas tendencias, como la cadena de bloques para la Internet de las cosas. </w:t>
      </w:r>
    </w:p>
    <w:p w:rsidR="007930B7" w:rsidRPr="00162C8E" w:rsidRDefault="007930B7" w:rsidP="0094247C">
      <w:pPr>
        <w:rPr>
          <w:rFonts w:eastAsiaTheme="minorEastAsia"/>
          <w:strike/>
        </w:rPr>
      </w:pPr>
      <w:r>
        <w:t>Aplicar unas normas y directrices de gestión de datos realistas puede abaratar y acelerar la recopilación, almacenamiento, recuperación y tratamiento de grandes cantidades de</w:t>
      </w:r>
      <w:r w:rsidR="0094247C">
        <w:t xml:space="preserve"> datos, al tiempo que se reduce la complejidad de estos.</w:t>
      </w:r>
    </w:p>
    <w:p w:rsidR="007930B7" w:rsidRPr="00162C8E" w:rsidRDefault="007930B7" w:rsidP="007930B7">
      <w:pPr>
        <w:rPr>
          <w:rFonts w:eastAsiaTheme="minorEastAsia"/>
        </w:rPr>
      </w:pPr>
      <w:r>
        <w:t xml:space="preserve">Habida cuenta de las cuestiones de seguridad, formato, clasificación e interoperabilidad de datos, las cuales afectan a diversas partes interesadas, este Grupo Temático contribuirá a crear una plataforma en la que compartir opiniones, generar resultados y presentar iniciativas, proyectos y actividades de normalización vinculadas al tratamiento y gestión de datos y al establecimiento de soluciones de ecosistema de Internet de las cosas para las ciudades centradas en datos. </w:t>
      </w:r>
    </w:p>
    <w:p w:rsidR="007930B7" w:rsidRPr="00162C8E" w:rsidRDefault="007930B7" w:rsidP="007930B7">
      <w:pPr>
        <w:rPr>
          <w:rFonts w:eastAsiaTheme="minorEastAsia"/>
        </w:rPr>
      </w:pPr>
      <w:r>
        <w:t>Este Grupo Temático elaborará una hoja de ruta para la normalización de la gestión de datos, teniendo en cuenta las actividades que llevan a cabo los diversos foros y organismos de normalización.</w:t>
      </w:r>
    </w:p>
    <w:p w:rsidR="007930B7" w:rsidRPr="00162C8E" w:rsidRDefault="007930B7" w:rsidP="004540EA">
      <w:pPr>
        <w:rPr>
          <w:rFonts w:eastAsiaTheme="minorEastAsia"/>
        </w:rPr>
      </w:pPr>
      <w:r>
        <w:lastRenderedPageBreak/>
        <w:t xml:space="preserve">Este Grupo Temático para el tratamiento y la gestión de datos con miras a dar soporte a la Internet de las </w:t>
      </w:r>
      <w:r w:rsidR="004540EA">
        <w:t>c</w:t>
      </w:r>
      <w:r>
        <w:t xml:space="preserve">osas y a las ciudades y comunidades inteligentes (FG-DPM) también promoverá el establecimiento de marcos de gestión de datos e invitará a organizaciones no miembros del UIT-T a participar en su labor. 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2</w:t>
      </w:r>
      <w:r>
        <w:tab/>
        <w:t>Objetivos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>Estudiar, revisar y evaluar tecnologías, plataformas, directrices y normas vigentes para el tratamiento y gestión de datos, incluido el formato de datos en apoyo al mandato de la</w:t>
      </w:r>
      <w:r w:rsidR="004B065D">
        <w:t> </w:t>
      </w:r>
      <w:r w:rsidRPr="004B065D">
        <w:t>CE</w:t>
      </w:r>
      <w:r w:rsidR="004B065D">
        <w:t> 20.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 xml:space="preserve">Prestar atención y destacar las diversas perspectivas para el futuro de </w:t>
      </w:r>
      <w:r w:rsidR="004B065D">
        <w:t>los entornos centrados en datos.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 xml:space="preserve">Promover la seguridad y la confianza en </w:t>
      </w:r>
      <w:r w:rsidR="004B065D">
        <w:t>los marcos de gestión de datos.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 xml:space="preserve">Definir y estudiar </w:t>
      </w:r>
      <w:r w:rsidR="004B065D">
        <w:t>técnicas de protección de datos.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 xml:space="preserve">Facilitar la interoperabilidad transectorial de datos y marcar el camino hacia sistemas eficientes y adaptables </w:t>
      </w:r>
      <w:r w:rsidR="004B065D">
        <w:t>de gestión de datos de sistemas.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</w:r>
      <w:r w:rsidR="004B065D">
        <w:t>Estudiar metadatos.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>Estudiar la confianza en los marcos de gestión de datos, incluidas la certifi</w:t>
      </w:r>
      <w:r w:rsidR="004B065D">
        <w:t>cación e identificación digital.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>Investigar la función de nuevas tecnologías para apoyar la gestión de datos y de nuevas tenden</w:t>
      </w:r>
      <w:r w:rsidR="004B065D">
        <w:t>cias, como la cadena de bloques.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>Descubrir las dificultades en las actividades de normalización para el</w:t>
      </w:r>
      <w:r w:rsidR="004B065D">
        <w:t xml:space="preserve"> tratamiento y gestión de datos.</w:t>
      </w:r>
    </w:p>
    <w:p w:rsidR="007930B7" w:rsidRPr="004B065D" w:rsidRDefault="007930B7" w:rsidP="004B065D">
      <w:pPr>
        <w:pStyle w:val="enumlev1"/>
        <w:rPr>
          <w:rFonts w:eastAsia="Batang"/>
        </w:rPr>
      </w:pPr>
      <w:r w:rsidRPr="004B065D">
        <w:t>‒</w:t>
      </w:r>
      <w:r w:rsidRPr="004B065D">
        <w:tab/>
        <w:t xml:space="preserve">Establecer vínculos y relaciones con otras organizaciones que pueden contribuir a la normalización de las actividades de </w:t>
      </w:r>
      <w:r w:rsidR="004B065D">
        <w:t>tratamiento y gestión de datos.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3</w:t>
      </w:r>
      <w:r>
        <w:tab/>
        <w:t>Estructura</w:t>
      </w:r>
    </w:p>
    <w:p w:rsidR="007930B7" w:rsidRPr="00162C8E" w:rsidRDefault="007930B7" w:rsidP="007930B7">
      <w:pPr>
        <w:rPr>
          <w:rFonts w:eastAsiaTheme="minorEastAsia"/>
        </w:rPr>
      </w:pPr>
      <w:r>
        <w:t>El FG-DPM puede establecer subgrupos si así se necesita.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4</w:t>
      </w:r>
      <w:r>
        <w:tab/>
        <w:t>Tareas específicas y productos terminados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 xml:space="preserve">Recopilar documentación sobre iniciativas relativas al tratamiento y la gestión de datos de las partes interesadas. El objetivo de esta tarea es elaborar casos de uso que sirvan de respuesta a las cuestiones de la Comisión de Estudio 20 y de otras Comisiones de Estudio pertinentes, e indicar las normas y marcos de tratamiento y gestión de datos que se utilizan en las ciudades inteligentes. 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>Elaborar una guía con las definiciones terminológicas y taxonómicas necesarias para el tratamiento y la gestión de datos. Esta guía también puede ayudar a descubrir las diversas partes interesadas que ya participan en el tratamiento y la gestión de datos o que desean hacerlo.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>Asistir a los legisladores elaborando herramientas de reglamentación que puedan utilizar para mejorar la seguridad y la privacidad relativa a los datos.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 xml:space="preserve">Organizar foros y talleres temáticos sobre el tratamiento y la gestión de datos que sirvan como plataforma para descubrir prácticas idóneas en este área. La función de estos foros y talleres es reunir a todas las partes interesadas, incluidos legisladores, miembros del </w:t>
      </w:r>
      <w:r w:rsidRPr="004B065D">
        <w:lastRenderedPageBreak/>
        <w:t>sector de las TIC, organismos nacionales de telecomunicaciones, instituciones académicas, organismos de normalización, organismos de las Naciones Unidas, para debatir sobre el futuro de las ciudades y comunidades inteligentes basadas en los datos provenientes de la Internet de las cosas.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>Redactar informes y especificaciones técnicos sobre la disparidad en materia de normalización y definir las labores futuras de normalización para las Comisiones de Estudio del UIT-T en el área de la gestión de datos (como se describe en los objetivos) y de las infraestructuras futuras de datos.</w:t>
      </w:r>
    </w:p>
    <w:p w:rsidR="007930B7" w:rsidRPr="004B065D" w:rsidRDefault="007930B7" w:rsidP="004B065D">
      <w:pPr>
        <w:pStyle w:val="enumlev1"/>
      </w:pPr>
      <w:r w:rsidRPr="004B065D">
        <w:t>‒</w:t>
      </w:r>
      <w:r w:rsidRPr="004B065D">
        <w:tab/>
        <w:t>Enviar la lista de resultados finales a la CE</w:t>
      </w:r>
      <w:r w:rsidR="004B065D">
        <w:t> </w:t>
      </w:r>
      <w:r w:rsidRPr="004B065D">
        <w:t>20, como mínimo cuatro semanas antes de la siguiente reunión de la Comisión rectora.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5</w:t>
      </w:r>
      <w:r>
        <w:tab/>
        <w:t>Relaciones</w:t>
      </w:r>
    </w:p>
    <w:p w:rsidR="007930B7" w:rsidRPr="00162C8E" w:rsidRDefault="007930B7" w:rsidP="004B065D">
      <w:pPr>
        <w:rPr>
          <w:rFonts w:eastAsiaTheme="minorEastAsia"/>
        </w:rPr>
      </w:pPr>
      <w:r>
        <w:t>Este Grupo Temático colaborará estrechamente con la CE</w:t>
      </w:r>
      <w:r w:rsidR="004B065D">
        <w:t> </w:t>
      </w:r>
      <w:r>
        <w:t xml:space="preserve">20 en reuniones en paralelo cuando y donde sea posible, y con todas las Comisiones de Estudio del UIT-T, según corresponda. </w:t>
      </w:r>
    </w:p>
    <w:p w:rsidR="007930B7" w:rsidRPr="00162C8E" w:rsidRDefault="007930B7" w:rsidP="004B065D">
      <w:pPr>
        <w:rPr>
          <w:rFonts w:eastAsiaTheme="minorEastAsia"/>
        </w:rPr>
      </w:pPr>
      <w:r>
        <w:t>El FG-DPM también colaborará (según se solicite) con otras entidades pertinentes de conformidad con lo establecido en la Recomendación UIT-T A.7.</w:t>
      </w:r>
    </w:p>
    <w:p w:rsidR="007930B7" w:rsidRPr="00162C8E" w:rsidRDefault="007930B7" w:rsidP="004B065D">
      <w:pPr>
        <w:rPr>
          <w:rFonts w:eastAsiaTheme="minorEastAsia"/>
        </w:rPr>
      </w:pPr>
      <w:r>
        <w:t>Entre esas entidades figuran las siguientes: organizaciones no gubernamentales (ONG), legisladores, organismos de normalización, foros y consorcios industriales, empresas, instituciones académicas, instituciones de investigación y otras organizaciones pertinentes.</w:t>
      </w:r>
    </w:p>
    <w:p w:rsidR="007930B7" w:rsidRPr="00162C8E" w:rsidRDefault="004B065D" w:rsidP="007930B7">
      <w:pPr>
        <w:pStyle w:val="Heading1"/>
        <w:rPr>
          <w:rFonts w:eastAsiaTheme="minorEastAsia"/>
        </w:rPr>
      </w:pPr>
      <w:r>
        <w:t>6</w:t>
      </w:r>
      <w:r>
        <w:tab/>
        <w:t>Comisión rectora</w:t>
      </w:r>
    </w:p>
    <w:p w:rsidR="007930B7" w:rsidRPr="00162C8E" w:rsidRDefault="007930B7" w:rsidP="007930B7">
      <w:pPr>
        <w:rPr>
          <w:rFonts w:eastAsiaTheme="minorEastAsia"/>
        </w:rPr>
      </w:pPr>
      <w:r>
        <w:t>La Comisión rectora es la Comisión de Estudio 20 del UIT-T sobre Internet de las cosas y ciudades y comunidades inteligentes.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7</w:t>
      </w:r>
      <w:r>
        <w:tab/>
        <w:t xml:space="preserve">Dirección </w:t>
      </w:r>
    </w:p>
    <w:p w:rsidR="007930B7" w:rsidRPr="008707A9" w:rsidRDefault="007930B7" w:rsidP="007930B7">
      <w:pPr>
        <w:rPr>
          <w:rFonts w:eastAsiaTheme="minorEastAsia"/>
        </w:rPr>
      </w:pPr>
      <w:r>
        <w:t>Véase la cláusula 2.3 de la Recomendación UIT-T A.7.</w:t>
      </w:r>
    </w:p>
    <w:p w:rsidR="007930B7" w:rsidRPr="0094247C" w:rsidRDefault="007930B7" w:rsidP="004B065D">
      <w:pPr>
        <w:rPr>
          <w:lang w:val="de-DE"/>
        </w:rPr>
      </w:pPr>
      <w:r w:rsidRPr="0094247C">
        <w:rPr>
          <w:b/>
          <w:bCs/>
          <w:lang w:val="de-DE"/>
        </w:rPr>
        <w:t>Presidente</w:t>
      </w:r>
      <w:r w:rsidRPr="0094247C">
        <w:rPr>
          <w:lang w:val="de-DE"/>
        </w:rPr>
        <w:t>: Sr. Gyu Myoung Lee (KAIST)</w:t>
      </w:r>
    </w:p>
    <w:p w:rsidR="007930B7" w:rsidRPr="004B065D" w:rsidRDefault="007930B7" w:rsidP="004B065D">
      <w:r w:rsidRPr="004B065D">
        <w:rPr>
          <w:b/>
          <w:bCs/>
        </w:rPr>
        <w:t>Vicepresidente</w:t>
      </w:r>
      <w:r>
        <w:t>: Sr. Raphael Rollier (Swisscom)</w:t>
      </w:r>
    </w:p>
    <w:p w:rsidR="007930B7" w:rsidRPr="004B065D" w:rsidRDefault="007930B7" w:rsidP="004B065D">
      <w:r w:rsidRPr="004B065D">
        <w:rPr>
          <w:b/>
          <w:bCs/>
        </w:rPr>
        <w:t>Vicepresidente</w:t>
      </w:r>
      <w:r>
        <w:t>: Sra. Jiayu Bi (China Telecom)</w:t>
      </w:r>
    </w:p>
    <w:p w:rsidR="007930B7" w:rsidRPr="004B065D" w:rsidRDefault="007930B7" w:rsidP="004B065D">
      <w:r w:rsidRPr="004B065D">
        <w:rPr>
          <w:b/>
          <w:bCs/>
        </w:rPr>
        <w:t>Vicepresidente</w:t>
      </w:r>
      <w:r>
        <w:t>: Sr. Bilel Chabou (Túnez)</w:t>
      </w:r>
    </w:p>
    <w:p w:rsidR="007930B7" w:rsidRPr="004B065D" w:rsidRDefault="007930B7" w:rsidP="004B065D">
      <w:r w:rsidRPr="004B065D">
        <w:rPr>
          <w:b/>
          <w:bCs/>
        </w:rPr>
        <w:t>Vicepresidente</w:t>
      </w:r>
      <w:r>
        <w:t>: Sr. Antonio Harris (CABASE, Argentina)</w:t>
      </w:r>
    </w:p>
    <w:p w:rsidR="007930B7" w:rsidRPr="0094247C" w:rsidRDefault="007930B7" w:rsidP="004B065D">
      <w:pPr>
        <w:rPr>
          <w:lang w:val="fr-CH"/>
        </w:rPr>
      </w:pPr>
      <w:r w:rsidRPr="0094247C">
        <w:rPr>
          <w:b/>
          <w:bCs/>
          <w:lang w:val="fr-CH"/>
        </w:rPr>
        <w:t>Vicepresidente</w:t>
      </w:r>
      <w:r w:rsidRPr="0094247C">
        <w:rPr>
          <w:lang w:val="fr-CH"/>
        </w:rPr>
        <w:t>: Sr. Robert Lewis-Lettington (UN-HABITAT)</w:t>
      </w:r>
    </w:p>
    <w:p w:rsidR="007930B7" w:rsidRPr="0094247C" w:rsidRDefault="007930B7" w:rsidP="004B065D">
      <w:pPr>
        <w:rPr>
          <w:lang w:val="fr-CH"/>
        </w:rPr>
      </w:pPr>
      <w:r w:rsidRPr="0094247C">
        <w:rPr>
          <w:b/>
          <w:bCs/>
          <w:lang w:val="fr-CH"/>
        </w:rPr>
        <w:t>Vicepresidente</w:t>
      </w:r>
      <w:r w:rsidRPr="0094247C">
        <w:rPr>
          <w:lang w:val="fr-CH"/>
        </w:rPr>
        <w:t>: Sr. Abdulhadi AbouAlmal (Etisalat)</w:t>
      </w:r>
    </w:p>
    <w:p w:rsidR="007930B7" w:rsidRPr="0094247C" w:rsidRDefault="007930B7" w:rsidP="004B065D">
      <w:pPr>
        <w:rPr>
          <w:lang w:val="fr-CH"/>
        </w:rPr>
      </w:pPr>
      <w:r w:rsidRPr="0094247C">
        <w:rPr>
          <w:b/>
          <w:bCs/>
          <w:lang w:val="fr-CH"/>
        </w:rPr>
        <w:t>Vicepresidente</w:t>
      </w:r>
      <w:r w:rsidRPr="0094247C">
        <w:rPr>
          <w:lang w:val="fr-CH"/>
        </w:rPr>
        <w:t>: Sr. Dave Faulkner (Climate Associates)</w:t>
      </w:r>
    </w:p>
    <w:p w:rsidR="007930B7" w:rsidRPr="0094247C" w:rsidRDefault="007930B7" w:rsidP="004B065D">
      <w:pPr>
        <w:rPr>
          <w:lang w:val="fr-CH"/>
        </w:rPr>
      </w:pPr>
      <w:r w:rsidRPr="0094247C">
        <w:rPr>
          <w:b/>
          <w:bCs/>
          <w:lang w:val="fr-CH"/>
        </w:rPr>
        <w:t>Vicepresidente</w:t>
      </w:r>
      <w:r w:rsidRPr="0094247C">
        <w:rPr>
          <w:lang w:val="fr-CH"/>
        </w:rPr>
        <w:t>: Sr. Martin Brynskov (Presidente de la iniciativa Open and Agile Smart Cities)</w:t>
      </w:r>
    </w:p>
    <w:p w:rsidR="007930B7" w:rsidRPr="00162C8E" w:rsidRDefault="004540EA" w:rsidP="007930B7">
      <w:pPr>
        <w:pStyle w:val="Heading1"/>
        <w:rPr>
          <w:rFonts w:eastAsiaTheme="minorEastAsia"/>
        </w:rPr>
      </w:pPr>
      <w:r>
        <w:t>8</w:t>
      </w:r>
      <w:r>
        <w:tab/>
        <w:t>Participación</w:t>
      </w:r>
    </w:p>
    <w:p w:rsidR="007930B7" w:rsidRPr="00162C8E" w:rsidRDefault="007930B7" w:rsidP="007930B7">
      <w:pPr>
        <w:rPr>
          <w:rFonts w:eastAsiaTheme="minorEastAsia"/>
        </w:rPr>
      </w:pPr>
      <w:r>
        <w:t>Véase la cláusula 3 de la Recomendación UIT-T A.7. Se mantendrá a efectos de referencia una lista de participantes que se co</w:t>
      </w:r>
      <w:r w:rsidR="004540EA">
        <w:t>municará a la Comisión rectora.</w:t>
      </w:r>
    </w:p>
    <w:p w:rsidR="007930B7" w:rsidRPr="00162C8E" w:rsidRDefault="007930B7" w:rsidP="007930B7">
      <w:pPr>
        <w:rPr>
          <w:rFonts w:eastAsiaTheme="minorEastAsia"/>
        </w:rPr>
      </w:pPr>
      <w:r>
        <w:lastRenderedPageBreak/>
        <w:t>Es importante mencionar que la participación de este Grupo Temático se ha de basar en las contribuciones y la participación activa.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9</w:t>
      </w:r>
      <w:r>
        <w:tab/>
        <w:t xml:space="preserve">Apoyo administrativo </w:t>
      </w:r>
    </w:p>
    <w:p w:rsidR="007930B7" w:rsidRPr="00162C8E" w:rsidRDefault="007930B7" w:rsidP="007930B7">
      <w:pPr>
        <w:rPr>
          <w:rFonts w:eastAsiaTheme="minorEastAsia"/>
        </w:rPr>
      </w:pPr>
      <w:r>
        <w:t xml:space="preserve">Véase la cláusula 5 de la Recomendación UIT-T A.7. 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10</w:t>
      </w:r>
      <w:r>
        <w:tab/>
        <w:t xml:space="preserve">Financiación general </w:t>
      </w:r>
    </w:p>
    <w:p w:rsidR="007930B7" w:rsidRPr="00162C8E" w:rsidRDefault="007930B7" w:rsidP="007930B7">
      <w:pPr>
        <w:rPr>
          <w:rFonts w:eastAsiaTheme="minorEastAsia"/>
        </w:rPr>
      </w:pPr>
      <w:r>
        <w:t>Véa</w:t>
      </w:r>
      <w:r w:rsidR="0094247C">
        <w:t>n</w:t>
      </w:r>
      <w:r>
        <w:t>se la</w:t>
      </w:r>
      <w:r w:rsidR="0094247C">
        <w:t>s</w:t>
      </w:r>
      <w:r>
        <w:t xml:space="preserve"> cláusula</w:t>
      </w:r>
      <w:r w:rsidR="0094247C">
        <w:t>s</w:t>
      </w:r>
      <w:r>
        <w:t xml:space="preserve"> 4 y 10.2 de la Recomendación UIT-T A.7. </w:t>
      </w:r>
    </w:p>
    <w:p w:rsidR="007930B7" w:rsidRPr="00162C8E" w:rsidRDefault="004B065D" w:rsidP="007930B7">
      <w:pPr>
        <w:pStyle w:val="Heading1"/>
        <w:rPr>
          <w:rFonts w:eastAsiaTheme="minorEastAsia"/>
        </w:rPr>
      </w:pPr>
      <w:r>
        <w:t>11</w:t>
      </w:r>
      <w:r>
        <w:tab/>
        <w:t>Reuniones</w:t>
      </w:r>
    </w:p>
    <w:p w:rsidR="007930B7" w:rsidRPr="00162C8E" w:rsidRDefault="007930B7" w:rsidP="004B065D">
      <w:pPr>
        <w:rPr>
          <w:rFonts w:eastAsiaTheme="minorEastAsia"/>
        </w:rPr>
      </w:pPr>
      <w:r>
        <w:t>La dirección del Grupo Temático determinará la frecuencia y el lugar de las reuniones. El plan general de las reuniones se anunciará tras aprobarse el mandato. El Grupo Temático utilizará herramientas de colaboración a distancia y celebrará reuniones coincidiendo con las de la CE</w:t>
      </w:r>
      <w:r w:rsidR="004B065D">
        <w:t> </w:t>
      </w:r>
      <w:r>
        <w:t xml:space="preserve">20 en la mayor medida posible. </w:t>
      </w:r>
    </w:p>
    <w:p w:rsidR="007930B7" w:rsidRPr="00162C8E" w:rsidRDefault="007930B7" w:rsidP="007930B7">
      <w:pPr>
        <w:rPr>
          <w:rFonts w:eastAsiaTheme="minorEastAsia"/>
        </w:rPr>
      </w:pPr>
      <w:r>
        <w:t xml:space="preserve">Las fechas de las reuniones se anunciarán por medios electrónicos (por ejemplo, correo-e y páginas web, etc.) al menos con cuatro semanas de antelación. </w:t>
      </w:r>
    </w:p>
    <w:p w:rsidR="007930B7" w:rsidRPr="00162C8E" w:rsidRDefault="004B065D" w:rsidP="007930B7">
      <w:pPr>
        <w:pStyle w:val="Heading1"/>
        <w:rPr>
          <w:rFonts w:eastAsiaTheme="minorEastAsia"/>
        </w:rPr>
      </w:pPr>
      <w:r>
        <w:t>12</w:t>
      </w:r>
      <w:r>
        <w:tab/>
        <w:t>Contribuciones técnicas</w:t>
      </w:r>
    </w:p>
    <w:p w:rsidR="007930B7" w:rsidRPr="00162C8E" w:rsidRDefault="007930B7" w:rsidP="007930B7">
      <w:pPr>
        <w:rPr>
          <w:rFonts w:eastAsiaTheme="minorEastAsia"/>
        </w:rPr>
      </w:pPr>
      <w:r>
        <w:t>Las contribuciones deben presentarse al menos doce días naturales antes</w:t>
      </w:r>
      <w:r w:rsidR="004B065D">
        <w:t xml:space="preserve"> de que tenga lugar la reunión.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13</w:t>
      </w:r>
      <w:r>
        <w:tab/>
        <w:t xml:space="preserve">Idioma de trabajo </w:t>
      </w:r>
    </w:p>
    <w:p w:rsidR="007930B7" w:rsidRPr="00162C8E" w:rsidRDefault="007930B7" w:rsidP="007930B7">
      <w:pPr>
        <w:rPr>
          <w:rFonts w:eastAsiaTheme="minorEastAsia"/>
        </w:rPr>
      </w:pPr>
      <w:r>
        <w:t xml:space="preserve">El </w:t>
      </w:r>
      <w:r w:rsidR="004B065D">
        <w:t>idioma de trabajo es el inglés.</w:t>
      </w:r>
    </w:p>
    <w:p w:rsidR="007930B7" w:rsidRPr="00162C8E" w:rsidRDefault="004B065D" w:rsidP="007930B7">
      <w:pPr>
        <w:pStyle w:val="Heading1"/>
        <w:rPr>
          <w:rFonts w:eastAsiaTheme="minorEastAsia"/>
        </w:rPr>
      </w:pPr>
      <w:r>
        <w:t>14</w:t>
      </w:r>
      <w:r>
        <w:tab/>
        <w:t>Aprobación de los resultados</w:t>
      </w:r>
    </w:p>
    <w:p w:rsidR="007930B7" w:rsidRPr="00162C8E" w:rsidRDefault="007930B7" w:rsidP="007930B7">
      <w:pPr>
        <w:rPr>
          <w:rFonts w:eastAsiaTheme="minorEastAsia"/>
        </w:rPr>
      </w:pPr>
      <w:r>
        <w:t>Los result</w:t>
      </w:r>
      <w:r w:rsidR="004B065D">
        <w:t>ados se aprobarán por consenso.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15</w:t>
      </w:r>
      <w:r>
        <w:tab/>
        <w:t>Direc</w:t>
      </w:r>
      <w:r w:rsidR="004B065D">
        <w:t>trices relativas a los trabajos</w:t>
      </w:r>
    </w:p>
    <w:p w:rsidR="007930B7" w:rsidRPr="00162C8E" w:rsidRDefault="007930B7" w:rsidP="007930B7">
      <w:pPr>
        <w:rPr>
          <w:rFonts w:eastAsiaTheme="minorEastAsia"/>
        </w:rPr>
      </w:pPr>
      <w:r>
        <w:t>Los procedimientos de trabajo se ajustarán a los procedimientos de las reuniones de Relator. No se definen dire</w:t>
      </w:r>
      <w:r w:rsidR="004B065D">
        <w:t>ctrices de trabajo adicionales.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16</w:t>
      </w:r>
      <w:r>
        <w:tab/>
        <w:t xml:space="preserve">Informes </w:t>
      </w:r>
      <w:r w:rsidR="004B065D">
        <w:t>sobre la marcha de los trabajos</w:t>
      </w:r>
    </w:p>
    <w:p w:rsidR="007930B7" w:rsidRPr="00162C8E" w:rsidRDefault="007930B7" w:rsidP="007930B7">
      <w:pPr>
        <w:rPr>
          <w:rFonts w:eastAsiaTheme="minorEastAsia"/>
        </w:rPr>
      </w:pPr>
      <w:r>
        <w:t>Véase la cláusula 11 de la Recomendación UIT-T A.7.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t>17</w:t>
      </w:r>
      <w:r>
        <w:tab/>
        <w:t>Anuncio de</w:t>
      </w:r>
      <w:r w:rsidR="004B065D">
        <w:t xml:space="preserve"> constitución de Grupo Temático</w:t>
      </w:r>
    </w:p>
    <w:p w:rsidR="007930B7" w:rsidRPr="00162C8E" w:rsidRDefault="007930B7" w:rsidP="007930B7">
      <w:pPr>
        <w:rPr>
          <w:rFonts w:eastAsiaTheme="minorEastAsia"/>
        </w:rPr>
      </w:pPr>
      <w:r>
        <w:t>La constitución del Grupo Temático se anunciará a través de una Circular TSB dirigida a todos los miembros de la UIT, a través del Newslog del UIT-T, comunicados de prensa y otros medios, incluida la comunicación con o</w:t>
      </w:r>
      <w:r w:rsidR="004B065D">
        <w:t>tras organizaciones implicadas.</w:t>
      </w:r>
    </w:p>
    <w:p w:rsidR="007930B7" w:rsidRPr="00162C8E" w:rsidRDefault="007930B7" w:rsidP="007930B7">
      <w:pPr>
        <w:pStyle w:val="Heading1"/>
        <w:rPr>
          <w:rFonts w:eastAsiaTheme="minorEastAsia"/>
        </w:rPr>
      </w:pPr>
      <w:r>
        <w:lastRenderedPageBreak/>
        <w:t>18</w:t>
      </w:r>
      <w:r>
        <w:tab/>
        <w:t>Etapa</w:t>
      </w:r>
      <w:r w:rsidR="004B065D">
        <w:t>s y duración del Grupo Temático</w:t>
      </w:r>
    </w:p>
    <w:p w:rsidR="007930B7" w:rsidRPr="00162C8E" w:rsidRDefault="007930B7" w:rsidP="007930B7">
      <w:pPr>
        <w:rPr>
          <w:rFonts w:eastAsiaTheme="minorEastAsia"/>
        </w:rPr>
      </w:pPr>
      <w:r>
        <w:t xml:space="preserve">La duración prevista del Grupo Temático es de un año a partir de su primera reunión (véase </w:t>
      </w:r>
      <w:r w:rsidR="0094247C">
        <w:t xml:space="preserve">la </w:t>
      </w:r>
      <w:r>
        <w:t>Recomend</w:t>
      </w:r>
      <w:r w:rsidR="004B065D">
        <w:t>ación UIT-T A.7, cláusula 2.2).</w:t>
      </w:r>
    </w:p>
    <w:p w:rsidR="007930B7" w:rsidRPr="00162C8E" w:rsidRDefault="004B065D" w:rsidP="007930B7">
      <w:pPr>
        <w:pStyle w:val="Heading1"/>
        <w:rPr>
          <w:rFonts w:eastAsiaTheme="minorEastAsia"/>
        </w:rPr>
      </w:pPr>
      <w:r>
        <w:t>19</w:t>
      </w:r>
      <w:r>
        <w:tab/>
        <w:t>Política de patentes</w:t>
      </w:r>
    </w:p>
    <w:p w:rsidR="007930B7" w:rsidRDefault="007930B7" w:rsidP="007930B7">
      <w:r>
        <w:t>Véase la cláusula 9 de la Recomendación UIT-T A.7.</w:t>
      </w:r>
    </w:p>
    <w:p w:rsidR="009B1988" w:rsidRPr="004B065D" w:rsidRDefault="009B1988" w:rsidP="004B065D">
      <w:r w:rsidRPr="004B065D">
        <w:br w:type="page"/>
      </w:r>
    </w:p>
    <w:p w:rsidR="007930B7" w:rsidRPr="00162C8E" w:rsidRDefault="007930B7" w:rsidP="004B065D">
      <w:pPr>
        <w:pStyle w:val="Annex"/>
        <w:rPr>
          <w:szCs w:val="24"/>
        </w:rPr>
      </w:pPr>
      <w:r>
        <w:lastRenderedPageBreak/>
        <w:t>ANEXO 2</w:t>
      </w:r>
      <w:r w:rsidR="004B065D">
        <w:rPr>
          <w:szCs w:val="24"/>
        </w:rPr>
        <w:br/>
      </w:r>
      <w:r>
        <w:t>(</w:t>
      </w:r>
      <w:r w:rsidR="004B065D">
        <w:rPr>
          <w:caps w:val="0"/>
        </w:rPr>
        <w:t xml:space="preserve">a la Circular </w:t>
      </w:r>
      <w:r w:rsidR="0094247C">
        <w:rPr>
          <w:caps w:val="0"/>
        </w:rPr>
        <w:t xml:space="preserve">TSB </w:t>
      </w:r>
      <w:r>
        <w:t>19)</w:t>
      </w:r>
    </w:p>
    <w:p w:rsidR="007930B7" w:rsidRPr="00023B02" w:rsidRDefault="007930B7" w:rsidP="004B065D">
      <w:pPr>
        <w:pStyle w:val="AnnexTitle"/>
      </w:pPr>
      <w:r>
        <w:t>Primera reunió</w:t>
      </w:r>
      <w:r w:rsidR="0094247C">
        <w:t>n del FG-DPM de la UIT:</w:t>
      </w:r>
      <w:r w:rsidR="0094247C">
        <w:br/>
        <w:t>Ginebra</w:t>
      </w:r>
      <w:r>
        <w:t xml:space="preserve"> </w:t>
      </w:r>
      <w:r w:rsidR="0094247C">
        <w:t>(</w:t>
      </w:r>
      <w:r>
        <w:t>Suiza</w:t>
      </w:r>
      <w:r w:rsidR="0094247C">
        <w:t>)</w:t>
      </w:r>
      <w:r>
        <w:t>, 17-19 de julio de 2017</w:t>
      </w:r>
    </w:p>
    <w:p w:rsidR="007930B7" w:rsidRDefault="007930B7" w:rsidP="004B065D">
      <w:pPr>
        <w:pStyle w:val="AnnexTitle"/>
        <w:rPr>
          <w:rFonts w:ascii="Times New Roman" w:eastAsiaTheme="minorEastAsia" w:hAnsi="Times New Roman"/>
          <w:szCs w:val="24"/>
        </w:rPr>
      </w:pPr>
      <w:r>
        <w:t>Información práctica sobre la reunión destinada a los participantes</w:t>
      </w:r>
    </w:p>
    <w:p w:rsidR="007930B7" w:rsidRPr="0094247C" w:rsidRDefault="007930B7" w:rsidP="007930B7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 w:rsidRPr="0094247C">
        <w:rPr>
          <w:b/>
          <w:bCs/>
          <w:sz w:val="28"/>
          <w:szCs w:val="28"/>
        </w:rPr>
        <w:t>MÉTODO DE TRABAJO E INSTALACIONES</w:t>
      </w:r>
    </w:p>
    <w:p w:rsidR="007930B7" w:rsidRPr="004B065D" w:rsidRDefault="007930B7" w:rsidP="0038098C">
      <w:pPr>
        <w:rPr>
          <w:rFonts w:eastAsia="SimSun"/>
          <w:b/>
          <w:bCs/>
        </w:rPr>
      </w:pPr>
      <w:r w:rsidRPr="004B065D">
        <w:rPr>
          <w:b/>
          <w:bCs/>
        </w:rPr>
        <w:t xml:space="preserve">PRESENTACIÓN DE DOCUMENTOS Y ACCESO: </w:t>
      </w:r>
      <w:r w:rsidRPr="004B065D">
        <w:t>La reunión se celebrará sin papel. Se recomienda remitir contribuciones por escrito mediante correo electrónico (</w:t>
      </w:r>
      <w:hyperlink r:id="rId23" w:history="1">
        <w:r w:rsidRPr="004B065D">
          <w:rPr>
            <w:rStyle w:val="Hyperlink"/>
            <w:szCs w:val="24"/>
          </w:rPr>
          <w:t>tsbfgdpm@itu.int</w:t>
        </w:r>
      </w:hyperlink>
      <w:r w:rsidRPr="004B065D">
        <w:t xml:space="preserve">), </w:t>
      </w:r>
      <w:r w:rsidR="0038098C">
        <w:t>a más t</w:t>
      </w:r>
      <w:r w:rsidRPr="004B065D">
        <w:t>ard</w:t>
      </w:r>
      <w:r w:rsidR="0038098C">
        <w:t>ar</w:t>
      </w:r>
      <w:r w:rsidRPr="004B065D">
        <w:t xml:space="preserve"> el </w:t>
      </w:r>
      <w:r w:rsidRPr="004B065D">
        <w:rPr>
          <w:b/>
        </w:rPr>
        <w:t>10 de julio de 2017</w:t>
      </w:r>
      <w:r w:rsidRPr="004B065D">
        <w:t>, y utilizar la plantilla de documento disponible en</w:t>
      </w:r>
      <w:r w:rsidR="004540EA">
        <w:t xml:space="preserve"> la</w:t>
      </w:r>
      <w:r w:rsidRPr="004B065D">
        <w:t xml:space="preserve"> </w:t>
      </w:r>
      <w:hyperlink r:id="rId24" w:history="1">
        <w:r w:rsidR="004540EA">
          <w:rPr>
            <w:rStyle w:val="Hyperlink"/>
            <w:szCs w:val="24"/>
          </w:rPr>
          <w:t>página web del FG-DPM</w:t>
        </w:r>
      </w:hyperlink>
      <w:r w:rsidR="004540EA" w:rsidRPr="004540EA">
        <w:t xml:space="preserve">. </w:t>
      </w:r>
      <w:r w:rsidRPr="004B065D">
        <w:t>En esa misma página es posible consultar los documentos recibidos y finales (es necesario tener una cuenta TIES o de invitado).</w:t>
      </w:r>
    </w:p>
    <w:p w:rsidR="007930B7" w:rsidRPr="00800720" w:rsidRDefault="007930B7" w:rsidP="0094247C">
      <w:r>
        <w:rPr>
          <w:b/>
        </w:rPr>
        <w:t>LAN INALÁMBRICA</w:t>
      </w:r>
      <w:r>
        <w:t xml:space="preserve">: Los participantes disponen de instalaciones de red de área local inalámbrica en toda la </w:t>
      </w:r>
      <w:r w:rsidR="0094247C">
        <w:t xml:space="preserve">Sede </w:t>
      </w:r>
      <w:r>
        <w:t xml:space="preserve">de la UIT (SSID: </w:t>
      </w:r>
      <w:r w:rsidR="004B065D">
        <w:t>"</w:t>
      </w:r>
      <w:r>
        <w:t>ITUwifi</w:t>
      </w:r>
      <w:r w:rsidR="004B065D">
        <w:t>"</w:t>
      </w:r>
      <w:r>
        <w:t>, contraseña: itu@GVA1211). En la dirección web del</w:t>
      </w:r>
      <w:r w:rsidR="0094247C">
        <w:t> </w:t>
      </w:r>
      <w:r>
        <w:t>UIT</w:t>
      </w:r>
      <w:r w:rsidR="004B065D">
        <w:noBreakHyphen/>
      </w:r>
      <w:r>
        <w:t>T (</w:t>
      </w:r>
      <w:hyperlink r:id="rId25" w:history="1">
        <w:r>
          <w:rPr>
            <w:color w:val="0000FF"/>
            <w:u w:val="single"/>
          </w:rPr>
          <w:t>http://itu.int/ITU-T/edh/faqs-support.html</w:t>
        </w:r>
      </w:hyperlink>
      <w:r>
        <w:t xml:space="preserve">) e </w:t>
      </w:r>
      <w:r>
        <w:rPr>
          <w:i/>
        </w:rPr>
        <w:t>in situ</w:t>
      </w:r>
      <w:r>
        <w:t xml:space="preserve"> puede encontrarse más información al respecto. </w:t>
      </w:r>
    </w:p>
    <w:p w:rsidR="007930B7" w:rsidRPr="00800720" w:rsidRDefault="007930B7" w:rsidP="004B065D">
      <w:pPr>
        <w:rPr>
          <w:rFonts w:eastAsia="SimSun"/>
        </w:rPr>
      </w:pPr>
      <w:r>
        <w:rPr>
          <w:b/>
          <w:bCs/>
        </w:rPr>
        <w:t>TAQUILLAS ELECTRÓNICAS:</w:t>
      </w:r>
      <w:r>
        <w:t xml:space="preserve"> Durante la reunión los participantes dispondrán de taquillas electrónicas que podrán utilizar con su tarjeta de identificación RFID del UIT-T. Las taquillas electrónicas están situadas en la planta baja del </w:t>
      </w:r>
      <w:hyperlink r:id="rId26" w:history="1">
        <w:r>
          <w:rPr>
            <w:color w:val="0000FF"/>
            <w:u w:val="single"/>
          </w:rPr>
          <w:t>edificio de Montbrillant</w:t>
        </w:r>
      </w:hyperlink>
      <w:r>
        <w:t>.</w:t>
      </w:r>
    </w:p>
    <w:p w:rsidR="007930B7" w:rsidRPr="00800720" w:rsidRDefault="007930B7" w:rsidP="004B065D">
      <w:r>
        <w:rPr>
          <w:b/>
          <w:bCs/>
        </w:rPr>
        <w:t>IMPRESORAS:</w:t>
      </w:r>
      <w:r>
        <w:t xml:space="preserve"> Disponibles en las salas para los delegados y en las proximidades de las </w:t>
      </w:r>
      <w:hyperlink r:id="rId27" w:history="1">
        <w:r>
          <w:rPr>
            <w:color w:val="0000FF"/>
            <w:u w:val="single"/>
          </w:rPr>
          <w:t>principales salas de reunión</w:t>
        </w:r>
      </w:hyperlink>
      <w:r>
        <w:t xml:space="preserve">. Para no tener que instalar controladores en su computadora, puede imprimir los documentos enviándolos directamente por correo electrónico a la impresora deseada. Vea los detalles en: </w:t>
      </w:r>
      <w:hyperlink r:id="rId28" w:history="1">
        <w:r>
          <w:rPr>
            <w:color w:val="0000FF"/>
            <w:u w:val="single"/>
          </w:rPr>
          <w:t>http://itu.int/go/e-print</w:t>
        </w:r>
      </w:hyperlink>
      <w:r>
        <w:t>.</w:t>
      </w:r>
    </w:p>
    <w:p w:rsidR="007930B7" w:rsidRPr="00800720" w:rsidRDefault="007930B7" w:rsidP="004B065D">
      <w:r>
        <w:rPr>
          <w:b/>
          <w:bCs/>
        </w:rPr>
        <w:t xml:space="preserve">PRÉSTAMO DE COMPUTADORAS PORTÁTILES: </w:t>
      </w:r>
      <w:r>
        <w:t>En el Servicio de Asistencia de la UIT se pondrá un número limitado de computadoras portátiles a disposición de los participantes (</w:t>
      </w:r>
      <w:hyperlink r:id="rId29" w:history="1">
        <w:r>
          <w:rPr>
            <w:color w:val="0000FF"/>
            <w:u w:val="single"/>
          </w:rPr>
          <w:t>servicedesk@itu.int</w:t>
        </w:r>
      </w:hyperlink>
      <w:r>
        <w:t>).</w:t>
      </w:r>
    </w:p>
    <w:p w:rsidR="007930B7" w:rsidRPr="0094247C" w:rsidRDefault="007930B7" w:rsidP="007930B7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 w:rsidRPr="0094247C">
        <w:rPr>
          <w:b/>
          <w:bCs/>
          <w:sz w:val="28"/>
          <w:szCs w:val="28"/>
        </w:rPr>
        <w:t>PREINSCRIPCIÓN</w:t>
      </w:r>
    </w:p>
    <w:p w:rsidR="007930B7" w:rsidRPr="004B065D" w:rsidRDefault="007930B7" w:rsidP="004B065D">
      <w:pPr>
        <w:rPr>
          <w:b/>
          <w:bCs/>
        </w:rPr>
      </w:pPr>
      <w:r w:rsidRPr="004B065D">
        <w:rPr>
          <w:b/>
          <w:bCs/>
        </w:rPr>
        <w:t xml:space="preserve">PREINSCRIPCIÓN: </w:t>
      </w:r>
      <w:r w:rsidRPr="004B065D">
        <w:t xml:space="preserve">La preinscripción para participar física o a distancia en la reunión se realizará en la </w:t>
      </w:r>
      <w:hyperlink r:id="rId30" w:history="1">
        <w:r w:rsidRPr="004B065D">
          <w:rPr>
            <w:rStyle w:val="Hyperlink"/>
            <w:szCs w:val="24"/>
          </w:rPr>
          <w:t>página web del FG-DPM</w:t>
        </w:r>
      </w:hyperlink>
      <w:r w:rsidRPr="004B065D">
        <w:t xml:space="preserve"> </w:t>
      </w:r>
      <w:r w:rsidRPr="004B065D">
        <w:rPr>
          <w:b/>
          <w:bCs/>
        </w:rPr>
        <w:t>al menos una semana antes de su inicio</w:t>
      </w:r>
      <w:r w:rsidRPr="004B065D">
        <w:t xml:space="preserve">. </w:t>
      </w:r>
    </w:p>
    <w:p w:rsidR="007930B7" w:rsidRPr="0094247C" w:rsidRDefault="007930B7" w:rsidP="007930B7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 w:rsidRPr="0094247C">
        <w:rPr>
          <w:b/>
          <w:bCs/>
          <w:sz w:val="28"/>
          <w:szCs w:val="28"/>
        </w:rPr>
        <w:t>VISITAS A GINEBRA: HOTELES, TRANSPORTE PÚBLICO Y VISADOS</w:t>
      </w:r>
    </w:p>
    <w:p w:rsidR="007930B7" w:rsidRPr="00800720" w:rsidRDefault="007930B7" w:rsidP="004B065D">
      <w:pPr>
        <w:rPr>
          <w:b/>
          <w:bCs/>
        </w:rPr>
      </w:pPr>
      <w:r>
        <w:rPr>
          <w:b/>
          <w:bCs/>
        </w:rPr>
        <w:t>VISITAS A GINEBRA</w:t>
      </w:r>
      <w:r>
        <w:t xml:space="preserve">: Los participantes que asistan a reuniones de la UIT en Ginebra pueden encontrar información práctica en: </w:t>
      </w:r>
      <w:hyperlink r:id="rId31" w:history="1">
        <w:r>
          <w:rPr>
            <w:color w:val="0000FF"/>
            <w:u w:val="single"/>
          </w:rPr>
          <w:t>http://itu.int/en/delegates-corner</w:t>
        </w:r>
      </w:hyperlink>
      <w:r>
        <w:t>.</w:t>
      </w:r>
    </w:p>
    <w:p w:rsidR="007930B7" w:rsidRPr="0094247C" w:rsidRDefault="007930B7" w:rsidP="0094247C">
      <w:r>
        <w:rPr>
          <w:b/>
          <w:bCs/>
        </w:rPr>
        <w:t>DESCUENTOS EN HOTELES</w:t>
      </w:r>
      <w:r>
        <w:t xml:space="preserve">: Varios hoteles de Ginebra ofrecen precios especiales para los participantes que asisten a reuniones de la UIT, y regalan un abono gratuito para los transportes públicos de la ciudad. Puede consultar una lista de esos hoteles e información sobre cómo solicitar los descuentos en la dirección: </w:t>
      </w:r>
      <w:hyperlink r:id="rId32" w:history="1">
        <w:r w:rsidR="0094247C" w:rsidRPr="00527852">
          <w:rPr>
            <w:rStyle w:val="Hyperlink"/>
          </w:rPr>
          <w:t>http://itu.int/travel/</w:t>
        </w:r>
      </w:hyperlink>
      <w:r w:rsidR="0094247C">
        <w:t>.</w:t>
      </w:r>
    </w:p>
    <w:p w:rsidR="007930B7" w:rsidRPr="00800720" w:rsidRDefault="007930B7" w:rsidP="004B065D">
      <w:r>
        <w:rPr>
          <w:b/>
          <w:bCs/>
        </w:rPr>
        <w:t>AYUDA PARA LA SOLICITUD DE VISADOS</w:t>
      </w:r>
      <w:r>
        <w:t xml:space="preserve">: En su caso, los visados deben solicitarse </w:t>
      </w:r>
      <w:r>
        <w:rPr>
          <w:b/>
        </w:rPr>
        <w:t>al menos un mes antes de la fecha de llegada a Suiza</w:t>
      </w:r>
      <w:r>
        <w:t xml:space="preserve"> en la embajada o el consulado que representa a Suiza en su país o, en su defecto, en la más próxima a su país de partida. Si tiene problemas, la Unión puede, previa solicitud oficial de la administración o la entidad que usted representa, intervenir ante las autoridades suizas competentes para facilitar la expedición de ese visado. Toda solicitud al </w:t>
      </w:r>
      <w:r>
        <w:lastRenderedPageBreak/>
        <w:t>respecto debe especificar el nombre, el cargo, la fecha de nacimiento, la información del pasaporte y la confirmación de inscripción.</w:t>
      </w:r>
    </w:p>
    <w:p w:rsidR="007930B7" w:rsidRDefault="007930B7" w:rsidP="007930B7">
      <w:pPr>
        <w:rPr>
          <w:sz w:val="22"/>
          <w:szCs w:val="22"/>
        </w:rPr>
      </w:pPr>
      <w:r>
        <w:t xml:space="preserve">Las solicitudes deben remitirse a la TSB con la indicación </w:t>
      </w:r>
      <w:r w:rsidR="004B065D">
        <w:t>"</w:t>
      </w:r>
      <w:r>
        <w:rPr>
          <w:b/>
        </w:rPr>
        <w:t>solicitud de visado</w:t>
      </w:r>
      <w:r w:rsidR="004B065D">
        <w:t>"</w:t>
      </w:r>
      <w:r>
        <w:t xml:space="preserve"> por correo electrónico</w:t>
      </w:r>
      <w:r>
        <w:rPr>
          <w:sz w:val="22"/>
          <w:szCs w:val="22"/>
        </w:rPr>
        <w:t xml:space="preserve"> (</w:t>
      </w:r>
      <w:hyperlink r:id="rId33" w:history="1">
        <w:r w:rsidRPr="0094247C">
          <w:rPr>
            <w:color w:val="0000FF"/>
            <w:szCs w:val="24"/>
            <w:u w:val="single"/>
          </w:rPr>
          <w:t>tsbreg@itu.int</w:t>
        </w:r>
      </w:hyperlink>
      <w:r>
        <w:rPr>
          <w:sz w:val="22"/>
          <w:szCs w:val="22"/>
        </w:rPr>
        <w:t>) o por fax (+41 22 730 5853).</w:t>
      </w:r>
      <w:r w:rsidR="0094247C">
        <w:rPr>
          <w:sz w:val="22"/>
          <w:szCs w:val="22"/>
        </w:rPr>
        <w:t xml:space="preserve"> </w:t>
      </w:r>
      <w:r>
        <w:t xml:space="preserve">Puede consultarse una plantilla de solicitud </w:t>
      </w:r>
      <w:hyperlink r:id="rId34" w:history="1">
        <w:r w:rsidRPr="0094247C">
          <w:rPr>
            <w:color w:val="0000FF"/>
            <w:szCs w:val="24"/>
            <w:u w:val="single"/>
          </w:rPr>
          <w:t>aquí</w:t>
        </w:r>
      </w:hyperlink>
      <w:r>
        <w:rPr>
          <w:sz w:val="22"/>
          <w:szCs w:val="22"/>
        </w:rPr>
        <w:t>.</w:t>
      </w:r>
    </w:p>
    <w:p w:rsidR="004B065D" w:rsidRPr="004B065D" w:rsidRDefault="004B065D" w:rsidP="0032202E">
      <w:pPr>
        <w:pStyle w:val="Reasons"/>
        <w:rPr>
          <w:lang w:val="es-ES_tradnl"/>
        </w:rPr>
      </w:pPr>
    </w:p>
    <w:p w:rsidR="004B065D" w:rsidRDefault="004B065D">
      <w:pPr>
        <w:jc w:val="center"/>
      </w:pPr>
      <w:r>
        <w:t>______________</w:t>
      </w:r>
    </w:p>
    <w:sectPr w:rsidR="004B065D" w:rsidSect="00B87E9E">
      <w:headerReference w:type="default" r:id="rId35"/>
      <w:footerReference w:type="first" r:id="rId3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71" w:rsidRDefault="00F21171">
      <w:r>
        <w:separator/>
      </w:r>
    </w:p>
  </w:endnote>
  <w:endnote w:type="continuationSeparator" w:id="0">
    <w:p w:rsidR="00F21171" w:rsidRDefault="00F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7930B7" w:rsidRDefault="0014464D" w:rsidP="00FC416A">
    <w:pPr>
      <w:pStyle w:val="FirstFooter"/>
      <w:ind w:left="-397" w:right="-397"/>
      <w:jc w:val="center"/>
      <w:rPr>
        <w:szCs w:val="18"/>
      </w:rPr>
    </w:pPr>
    <w:r w:rsidRPr="007930B7">
      <w:rPr>
        <w:szCs w:val="18"/>
      </w:rPr>
      <w:t>Unión Internacional de Telecomunicaciones • Place des Nations, CH</w:t>
    </w:r>
    <w:r w:rsidRPr="007930B7">
      <w:rPr>
        <w:szCs w:val="18"/>
      </w:rPr>
      <w:noBreakHyphen/>
      <w:t xml:space="preserve">1211 Ginebra 20, Suiza </w:t>
    </w:r>
    <w:r w:rsidRPr="007930B7">
      <w:rPr>
        <w:szCs w:val="18"/>
      </w:rPr>
      <w:br/>
      <w:t>Tel</w:t>
    </w:r>
    <w:r w:rsidR="004540EA">
      <w:rPr>
        <w:szCs w:val="18"/>
      </w:rPr>
      <w:t>.</w:t>
    </w:r>
    <w:r w:rsidRPr="007930B7">
      <w:rPr>
        <w:szCs w:val="18"/>
      </w:rPr>
      <w:t xml:space="preserve">: +41 22 730 5111 • Fax: +41 22 733 7256 • Correo-e: </w:t>
    </w:r>
    <w:hyperlink r:id="rId1" w:history="1">
      <w:r w:rsidRPr="007930B7">
        <w:rPr>
          <w:rStyle w:val="Hyperlink"/>
        </w:rPr>
        <w:t>itumail@itu.int</w:t>
      </w:r>
    </w:hyperlink>
    <w:r w:rsidRPr="007930B7">
      <w:rPr>
        <w:szCs w:val="18"/>
      </w:rPr>
      <w:t xml:space="preserve"> • </w:t>
    </w:r>
    <w:hyperlink r:id="rId2" w:history="1">
      <w:r w:rsidRPr="007930B7">
        <w:rPr>
          <w:rStyle w:val="Hyperlink"/>
        </w:rPr>
        <w:t>www.itu.int</w:t>
      </w:r>
    </w:hyperlink>
    <w:r w:rsidRPr="007930B7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71" w:rsidRDefault="00F21171">
      <w:r>
        <w:t>____________________</w:t>
      </w:r>
    </w:p>
  </w:footnote>
  <w:footnote w:type="continuationSeparator" w:id="0">
    <w:p w:rsidR="00F21171" w:rsidRDefault="00F2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BA" w:rsidRPr="004C58BA" w:rsidRDefault="00CB6E9C" w:rsidP="004C58BA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C58BA" w:rsidRPr="004C58BA">
          <w:rPr>
            <w:rFonts w:ascii="Calibri" w:hAnsi="Calibri"/>
            <w:noProof/>
            <w:sz w:val="18"/>
            <w:lang w:val="en-GB"/>
          </w:rPr>
          <w:t>-</w:t>
        </w:r>
        <w:r w:rsidR="004C58BA" w:rsidRPr="004C58BA">
          <w:rPr>
            <w:rFonts w:ascii="Calibri" w:hAnsi="Calibri"/>
            <w:sz w:val="18"/>
            <w:lang w:val="en-GB"/>
          </w:rPr>
          <w:t xml:space="preserve"> </w:t>
        </w:r>
        <w:r w:rsidR="004C58BA" w:rsidRPr="004C58BA">
          <w:rPr>
            <w:rFonts w:ascii="Calibri" w:hAnsi="Calibri"/>
            <w:sz w:val="18"/>
            <w:lang w:val="en-GB"/>
          </w:rPr>
          <w:fldChar w:fldCharType="begin"/>
        </w:r>
        <w:r w:rsidR="004C58BA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4C58BA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9</w:t>
        </w:r>
        <w:r w:rsidR="004C58BA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4C58BA" w:rsidRPr="004C58BA">
      <w:rPr>
        <w:rFonts w:ascii="Calibri" w:hAnsi="Calibri"/>
        <w:noProof/>
        <w:sz w:val="18"/>
        <w:lang w:val="en-GB"/>
      </w:rPr>
      <w:t xml:space="preserve"> -</w:t>
    </w:r>
  </w:p>
  <w:p w:rsidR="006969B4" w:rsidRPr="004C58BA" w:rsidRDefault="004C58BA" w:rsidP="004C58BA">
    <w:pPr>
      <w:spacing w:before="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>Circular TSB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B7"/>
    <w:rsid w:val="00002529"/>
    <w:rsid w:val="00085662"/>
    <w:rsid w:val="000C382F"/>
    <w:rsid w:val="001173CC"/>
    <w:rsid w:val="0014464D"/>
    <w:rsid w:val="001A54CC"/>
    <w:rsid w:val="001E6BE2"/>
    <w:rsid w:val="002517DD"/>
    <w:rsid w:val="00257FB4"/>
    <w:rsid w:val="002E496E"/>
    <w:rsid w:val="00303D62"/>
    <w:rsid w:val="00335367"/>
    <w:rsid w:val="00370C2D"/>
    <w:rsid w:val="0038098C"/>
    <w:rsid w:val="003D1E8D"/>
    <w:rsid w:val="003D673B"/>
    <w:rsid w:val="003F2855"/>
    <w:rsid w:val="00401C20"/>
    <w:rsid w:val="004540EA"/>
    <w:rsid w:val="004A7957"/>
    <w:rsid w:val="004B065D"/>
    <w:rsid w:val="004C4144"/>
    <w:rsid w:val="004C58BA"/>
    <w:rsid w:val="006969B4"/>
    <w:rsid w:val="006E4F7B"/>
    <w:rsid w:val="007533DF"/>
    <w:rsid w:val="00781E2A"/>
    <w:rsid w:val="007930B7"/>
    <w:rsid w:val="007933A2"/>
    <w:rsid w:val="00814503"/>
    <w:rsid w:val="008258C2"/>
    <w:rsid w:val="008505BD"/>
    <w:rsid w:val="00850C78"/>
    <w:rsid w:val="00884D12"/>
    <w:rsid w:val="008C17AD"/>
    <w:rsid w:val="008D02CD"/>
    <w:rsid w:val="008D54B2"/>
    <w:rsid w:val="0091370C"/>
    <w:rsid w:val="0094247C"/>
    <w:rsid w:val="0095172A"/>
    <w:rsid w:val="009A0BA0"/>
    <w:rsid w:val="009B198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B6E9C"/>
    <w:rsid w:val="00D54642"/>
    <w:rsid w:val="00DD77C9"/>
    <w:rsid w:val="00DF3538"/>
    <w:rsid w:val="00E839B0"/>
    <w:rsid w:val="00E92C09"/>
    <w:rsid w:val="00F07FB3"/>
    <w:rsid w:val="00F14380"/>
    <w:rsid w:val="00F21171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6949EF6-7432-4AF8-B885-56D6DDF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7930B7"/>
    <w:pPr>
      <w:keepNext/>
      <w:keepLines/>
      <w:spacing w:before="480" w:after="80"/>
      <w:jc w:val="center"/>
    </w:pPr>
    <w:rPr>
      <w:rFonts w:ascii="Calibri" w:hAnsi="Calibri"/>
      <w:b/>
      <w:caps/>
      <w:sz w:val="28"/>
      <w:lang w:val="es-ES"/>
    </w:rPr>
  </w:style>
  <w:style w:type="table" w:styleId="TableGrid">
    <w:name w:val="Table Grid"/>
    <w:basedOn w:val="TableNormal"/>
    <w:rsid w:val="007930B7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B06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://www.itu.int/en/ITU-T/focusgroups/dpm/Pages/default.aspx" TargetMode="External"/><Relationship Id="rId26" Type="http://schemas.openxmlformats.org/officeDocument/2006/relationships/hyperlink" Target="https://www.itu.int/en/about/Documents/itu-plan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fgdpm@itu.int" TargetMode="External"/><Relationship Id="rId34" Type="http://schemas.openxmlformats.org/officeDocument/2006/relationships/hyperlink" Target="http://itu.int/en/ITU-T/info/Documents/Visa-support-letter_MODE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focusgroups/dpm" TargetMode="External"/><Relationship Id="rId17" Type="http://schemas.openxmlformats.org/officeDocument/2006/relationships/hyperlink" Target="http://www.itu.int/en/ITU-T/focusgroups/dpm/Pages/default.aspx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mailto:tsbreg@itu.i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focusgroups/dpm/Pages/default.aspx" TargetMode="External"/><Relationship Id="rId20" Type="http://schemas.openxmlformats.org/officeDocument/2006/relationships/hyperlink" Target="http://www.itu.int/en/ITU-T/focusgroups/dpm/Pages/default.aspx" TargetMode="External"/><Relationship Id="rId29" Type="http://schemas.openxmlformats.org/officeDocument/2006/relationships/hyperlink" Target="mailto:servicedesk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hyperlink" Target="http://www.itu.int/en/ITU-T/focusgroups/dpm/Pages/default.aspx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sbfgdpm@itu.int" TargetMode="External"/><Relationship Id="rId23" Type="http://schemas.openxmlformats.org/officeDocument/2006/relationships/hyperlink" Target="mailto:tsbfgdpm@itu.int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en/ITU-T/focusgroups/dpm/Pages/default.aspx" TargetMode="External"/><Relationship Id="rId19" Type="http://schemas.openxmlformats.org/officeDocument/2006/relationships/hyperlink" Target="http://itu.int/en/ITU-T/info/Documents/Visa-support-letter_MODEL.pdf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dpm@itu.int" TargetMode="External"/><Relationship Id="rId14" Type="http://schemas.openxmlformats.org/officeDocument/2006/relationships/hyperlink" Target="http://www.itu.int/en/ITU-T/focusgroups/dpm/Pages/default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://www.itu.int/en/ITU-T/focusgroups/dpm/Pages/default.aspx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F91E-CBE6-4622-90FD-2F487E3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126</TotalTime>
  <Pages>9</Pages>
  <Words>2867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19838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10</cp:revision>
  <cp:lastPrinted>2017-05-01T13:13:00Z</cp:lastPrinted>
  <dcterms:created xsi:type="dcterms:W3CDTF">2017-04-28T14:10:00Z</dcterms:created>
  <dcterms:modified xsi:type="dcterms:W3CDTF">2017-05-01T13:15:00Z</dcterms:modified>
</cp:coreProperties>
</file>