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717C8F" w:rsidTr="001A112D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7C8F" w:rsidRDefault="00717C8F" w:rsidP="001A112D">
            <w:pPr>
              <w:pStyle w:val="Tabletext"/>
              <w:jc w:val="center"/>
            </w:pPr>
            <w:r w:rsidRPr="00F20F99">
              <w:rPr>
                <w:noProof/>
                <w:lang w:eastAsia="zh-CN"/>
              </w:rPr>
              <w:drawing>
                <wp:inline distT="0" distB="0" distL="0" distR="0">
                  <wp:extent cx="716915" cy="826770"/>
                  <wp:effectExtent l="0" t="0" r="6985" b="0"/>
                  <wp:docPr id="2" name="Picture 2" descr="itu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717C8F" w:rsidRDefault="00717C8F" w:rsidP="001A112D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717C8F" w:rsidRDefault="00717C8F" w:rsidP="001A112D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C8F" w:rsidRDefault="00717C8F" w:rsidP="001A112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717C8F" w:rsidTr="001A112D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:rsidR="00717C8F" w:rsidRDefault="00717C8F" w:rsidP="001A112D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:rsidR="00717C8F" w:rsidRDefault="00717C8F" w:rsidP="007729E6">
            <w:pPr>
              <w:pStyle w:val="Tabletext"/>
              <w:spacing w:before="480" w:after="120"/>
            </w:pPr>
            <w:r>
              <w:t xml:space="preserve">Geneva, </w:t>
            </w:r>
            <w:r w:rsidR="007729E6">
              <w:t>22</w:t>
            </w:r>
            <w:r>
              <w:t xml:space="preserve"> </w:t>
            </w:r>
            <w:r w:rsidR="001A112D">
              <w:t>June</w:t>
            </w:r>
            <w:r>
              <w:t xml:space="preserve"> 2017</w:t>
            </w:r>
          </w:p>
        </w:tc>
      </w:tr>
      <w:tr w:rsidR="00717C8F" w:rsidTr="001A112D">
        <w:trPr>
          <w:cantSplit/>
          <w:trHeight w:val="746"/>
        </w:trPr>
        <w:tc>
          <w:tcPr>
            <w:tcW w:w="1134" w:type="dxa"/>
          </w:tcPr>
          <w:p w:rsidR="00717C8F" w:rsidRDefault="00717C8F" w:rsidP="001A112D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:rsidR="00717C8F" w:rsidRDefault="00717C8F" w:rsidP="007729E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7729E6">
              <w:rPr>
                <w:b/>
                <w:bCs/>
              </w:rPr>
              <w:t>35</w:t>
            </w:r>
          </w:p>
          <w:p w:rsidR="00717C8F" w:rsidRDefault="00717C8F" w:rsidP="001A112D">
            <w:pPr>
              <w:pStyle w:val="Tabletext"/>
            </w:pPr>
            <w:r>
              <w:t>SG2/JZ</w:t>
            </w:r>
          </w:p>
        </w:tc>
        <w:tc>
          <w:tcPr>
            <w:tcW w:w="5103" w:type="dxa"/>
            <w:gridSpan w:val="2"/>
            <w:vMerge w:val="restart"/>
          </w:tcPr>
          <w:p w:rsidR="00717C8F" w:rsidRDefault="00717C8F" w:rsidP="001A112D">
            <w:pPr>
              <w:pStyle w:val="Tabletext"/>
            </w:pPr>
            <w:r>
              <w:rPr>
                <w:b/>
              </w:rPr>
              <w:t>To:</w:t>
            </w:r>
          </w:p>
          <w:p w:rsidR="00717C8F" w:rsidRDefault="00717C8F" w:rsidP="001A112D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 the Union</w:t>
            </w:r>
          </w:p>
        </w:tc>
      </w:tr>
      <w:tr w:rsidR="00717C8F" w:rsidTr="001A112D">
        <w:trPr>
          <w:cantSplit/>
          <w:trHeight w:val="221"/>
        </w:trPr>
        <w:tc>
          <w:tcPr>
            <w:tcW w:w="1134" w:type="dxa"/>
          </w:tcPr>
          <w:p w:rsidR="00717C8F" w:rsidRDefault="00717C8F" w:rsidP="001A112D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:rsidR="00717C8F" w:rsidRDefault="00717C8F" w:rsidP="001A112D">
            <w:pPr>
              <w:pStyle w:val="Tabletext"/>
              <w:rPr>
                <w:b/>
              </w:rPr>
            </w:pPr>
            <w:r>
              <w:rPr>
                <w:lang w:val="en-US"/>
              </w:rPr>
              <w:t>+41 22 730 5855</w:t>
            </w:r>
          </w:p>
        </w:tc>
        <w:tc>
          <w:tcPr>
            <w:tcW w:w="5103" w:type="dxa"/>
            <w:gridSpan w:val="2"/>
            <w:vMerge/>
          </w:tcPr>
          <w:p w:rsidR="00717C8F" w:rsidRDefault="00717C8F" w:rsidP="001A112D">
            <w:pPr>
              <w:pStyle w:val="Tabletext"/>
              <w:ind w:left="142" w:hanging="142"/>
            </w:pPr>
          </w:p>
        </w:tc>
      </w:tr>
      <w:tr w:rsidR="00717C8F" w:rsidTr="001A112D">
        <w:trPr>
          <w:cantSplit/>
          <w:trHeight w:val="282"/>
        </w:trPr>
        <w:tc>
          <w:tcPr>
            <w:tcW w:w="1134" w:type="dxa"/>
          </w:tcPr>
          <w:p w:rsidR="00717C8F" w:rsidRDefault="00717C8F" w:rsidP="001A112D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:rsidR="00717C8F" w:rsidRDefault="00717C8F" w:rsidP="001A112D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:rsidR="00717C8F" w:rsidRDefault="00717C8F" w:rsidP="001A112D">
            <w:pPr>
              <w:pStyle w:val="Tabletext"/>
              <w:ind w:left="142" w:hanging="142"/>
            </w:pPr>
          </w:p>
        </w:tc>
      </w:tr>
      <w:tr w:rsidR="00717C8F" w:rsidTr="001A112D">
        <w:trPr>
          <w:cantSplit/>
          <w:trHeight w:val="1652"/>
        </w:trPr>
        <w:tc>
          <w:tcPr>
            <w:tcW w:w="1134" w:type="dxa"/>
          </w:tcPr>
          <w:p w:rsidR="00717C8F" w:rsidRDefault="00717C8F" w:rsidP="001A112D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:rsidR="00717C8F" w:rsidRDefault="009C63B9" w:rsidP="001A112D">
            <w:pPr>
              <w:pStyle w:val="Tabletext"/>
            </w:pPr>
            <w:hyperlink r:id="rId9" w:history="1">
              <w:r w:rsidR="00717C8F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103" w:type="dxa"/>
            <w:gridSpan w:val="2"/>
          </w:tcPr>
          <w:p w:rsidR="00717C8F" w:rsidRDefault="00717C8F" w:rsidP="001A112D">
            <w:pPr>
              <w:pStyle w:val="Tabletext"/>
            </w:pPr>
            <w:r>
              <w:rPr>
                <w:b/>
              </w:rPr>
              <w:t>Copy to:</w:t>
            </w:r>
          </w:p>
          <w:p w:rsidR="00717C8F" w:rsidRDefault="00717C8F" w:rsidP="001A112D">
            <w:pPr>
              <w:pStyle w:val="Tabletext"/>
              <w:ind w:left="283" w:hanging="283"/>
            </w:pPr>
            <w:r>
              <w:t>-</w:t>
            </w:r>
            <w:r>
              <w:tab/>
              <w:t>ITU-T Sector Members</w:t>
            </w:r>
            <w:r w:rsidR="0056417A">
              <w:t>;</w:t>
            </w:r>
          </w:p>
          <w:p w:rsidR="00717C8F" w:rsidRPr="00FD55E2" w:rsidRDefault="001A112D" w:rsidP="001A112D">
            <w:pPr>
              <w:pStyle w:val="Tabletext"/>
              <w:ind w:left="283" w:hanging="283"/>
              <w:rPr>
                <w:lang w:val="fr-CH"/>
              </w:rPr>
            </w:pPr>
            <w:r w:rsidRPr="00FD55E2">
              <w:rPr>
                <w:lang w:val="fr-CH"/>
              </w:rPr>
              <w:t>-</w:t>
            </w:r>
            <w:r w:rsidRPr="00FD55E2">
              <w:rPr>
                <w:lang w:val="fr-CH"/>
              </w:rPr>
              <w:tab/>
              <w:t xml:space="preserve">ITU-T </w:t>
            </w:r>
            <w:r w:rsidR="00717C8F" w:rsidRPr="00FD55E2">
              <w:rPr>
                <w:lang w:val="fr-CH"/>
              </w:rPr>
              <w:t>Associates;</w:t>
            </w:r>
          </w:p>
          <w:p w:rsidR="00717C8F" w:rsidRPr="00FD55E2" w:rsidRDefault="00717C8F" w:rsidP="001A112D">
            <w:pPr>
              <w:pStyle w:val="Tabletext"/>
              <w:ind w:left="283" w:hanging="283"/>
              <w:rPr>
                <w:lang w:val="fr-CH"/>
              </w:rPr>
            </w:pPr>
            <w:r w:rsidRPr="00FD55E2">
              <w:rPr>
                <w:lang w:val="fr-CH"/>
              </w:rPr>
              <w:t>-</w:t>
            </w:r>
            <w:r w:rsidRPr="00FD55E2">
              <w:rPr>
                <w:lang w:val="fr-CH"/>
              </w:rPr>
              <w:tab/>
              <w:t>ITU Academia;</w:t>
            </w:r>
          </w:p>
          <w:p w:rsidR="00717C8F" w:rsidRDefault="00717C8F" w:rsidP="001A112D">
            <w:pPr>
              <w:pStyle w:val="Tabletext"/>
              <w:ind w:left="283" w:hanging="283"/>
            </w:pPr>
            <w:r>
              <w:t>-</w:t>
            </w:r>
            <w:r>
              <w:tab/>
              <w:t>The Chairman and Vice-Chairmen of ITU-T Study Group 2;</w:t>
            </w:r>
          </w:p>
          <w:p w:rsidR="00717C8F" w:rsidRDefault="00717C8F" w:rsidP="001A112D">
            <w:pPr>
              <w:pStyle w:val="Tabletext"/>
              <w:ind w:left="283" w:hanging="283"/>
            </w:pPr>
            <w:r>
              <w:t>-</w:t>
            </w:r>
            <w:r>
              <w:tab/>
              <w:t>The Director of the Telecommunication Development Bureau;</w:t>
            </w:r>
          </w:p>
          <w:p w:rsidR="00717C8F" w:rsidRDefault="00717C8F" w:rsidP="001A112D">
            <w:pPr>
              <w:pStyle w:val="Tabletext"/>
              <w:ind w:left="283" w:hanging="283"/>
            </w:pPr>
            <w:r>
              <w:t>-</w:t>
            </w:r>
            <w:r>
              <w:tab/>
              <w:t>The Director of the Radiocommunication Bureau</w:t>
            </w:r>
          </w:p>
        </w:tc>
      </w:tr>
      <w:tr w:rsidR="00717C8F" w:rsidTr="001A112D">
        <w:trPr>
          <w:cantSplit/>
          <w:trHeight w:val="618"/>
        </w:trPr>
        <w:tc>
          <w:tcPr>
            <w:tcW w:w="1134" w:type="dxa"/>
          </w:tcPr>
          <w:p w:rsidR="00717C8F" w:rsidRDefault="00717C8F" w:rsidP="001A112D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717C8F" w:rsidRPr="00AD64F1" w:rsidRDefault="00FD55E2" w:rsidP="00FD55E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Issuer Identifier Number</w:t>
            </w:r>
            <w:r w:rsidR="00AD64F1" w:rsidRPr="00AD64F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IIN</w:t>
            </w:r>
            <w:r w:rsidR="00AD64F1" w:rsidRPr="00AD64F1">
              <w:rPr>
                <w:b/>
                <w:bCs/>
              </w:rPr>
              <w:t>) Registration</w:t>
            </w:r>
          </w:p>
        </w:tc>
      </w:tr>
    </w:tbl>
    <w:p w:rsidR="00FA46A0" w:rsidRDefault="00B61012" w:rsidP="006A697C">
      <w:pPr>
        <w:spacing w:before="360"/>
      </w:pPr>
      <w:r>
        <w:t>Dear Sir/Madam,</w:t>
      </w:r>
      <w:bookmarkStart w:id="0" w:name="_GoBack"/>
      <w:bookmarkEnd w:id="0"/>
    </w:p>
    <w:p w:rsidR="00293D69" w:rsidRPr="00D30EF5" w:rsidRDefault="00DF3CE3" w:rsidP="001B7820">
      <w:r>
        <w:rPr>
          <w:bCs/>
        </w:rPr>
        <w:t>1</w:t>
      </w:r>
      <w:r>
        <w:tab/>
      </w:r>
      <w:r w:rsidR="00AD64F1">
        <w:t>ITU-</w:t>
      </w:r>
      <w:r w:rsidR="00AD64F1" w:rsidRPr="00AD64F1">
        <w:t xml:space="preserve">T Study Group 2 has developed </w:t>
      </w:r>
      <w:r w:rsidR="00AD64F1">
        <w:t xml:space="preserve">Recommendation </w:t>
      </w:r>
      <w:hyperlink r:id="rId10" w:history="1">
        <w:r w:rsidR="00AD64F1" w:rsidRPr="00BF15B8">
          <w:rPr>
            <w:rStyle w:val="Hyperlink"/>
            <w:iCs/>
          </w:rPr>
          <w:t>ITU-T E.</w:t>
        </w:r>
        <w:r w:rsidR="00FD55E2">
          <w:rPr>
            <w:rStyle w:val="Hyperlink"/>
            <w:iCs/>
          </w:rPr>
          <w:t>118 “</w:t>
        </w:r>
        <w:r w:rsidR="00FD55E2" w:rsidRPr="00FD55E2">
          <w:rPr>
            <w:rStyle w:val="Hyperlink"/>
            <w:iCs/>
          </w:rPr>
          <w:t>The international telecommunication charge card</w:t>
        </w:r>
        <w:r w:rsidR="00AD64F1" w:rsidRPr="00BF15B8">
          <w:rPr>
            <w:rStyle w:val="Hyperlink"/>
            <w:iCs/>
          </w:rPr>
          <w:t>”</w:t>
        </w:r>
      </w:hyperlink>
      <w:r w:rsidR="00AD64F1" w:rsidRPr="00BF15B8">
        <w:rPr>
          <w:iCs/>
        </w:rPr>
        <w:t xml:space="preserve">. </w:t>
      </w:r>
      <w:r w:rsidR="002910FF">
        <w:rPr>
          <w:iCs/>
        </w:rPr>
        <w:t xml:space="preserve">This recommendation specifies </w:t>
      </w:r>
      <w:r w:rsidR="00293D69">
        <w:rPr>
          <w:iCs/>
        </w:rPr>
        <w:t xml:space="preserve">the structure of the visible card number (primary account number) and the Issuer Identifier Number </w:t>
      </w:r>
      <w:r w:rsidR="00E91A1C">
        <w:rPr>
          <w:iCs/>
        </w:rPr>
        <w:t xml:space="preserve">(IIN) </w:t>
      </w:r>
      <w:r w:rsidR="00293D69">
        <w:rPr>
          <w:iCs/>
        </w:rPr>
        <w:t xml:space="preserve">assignment and registration procedure. The Issuer Identifier Number is a part </w:t>
      </w:r>
      <w:r w:rsidR="00994126">
        <w:rPr>
          <w:iCs/>
        </w:rPr>
        <w:t xml:space="preserve">of </w:t>
      </w:r>
      <w:r w:rsidR="001B7820">
        <w:t xml:space="preserve">the </w:t>
      </w:r>
      <w:r w:rsidR="00293D69" w:rsidRPr="00D30EF5">
        <w:t xml:space="preserve">visible card number with </w:t>
      </w:r>
      <w:r w:rsidR="001B7820">
        <w:t>a</w:t>
      </w:r>
      <w:r w:rsidR="001B7820" w:rsidRPr="00D30EF5">
        <w:t xml:space="preserve"> </w:t>
      </w:r>
      <w:r w:rsidR="00293D69" w:rsidRPr="00D30EF5">
        <w:t>maximum length of 1</w:t>
      </w:r>
      <w:r w:rsidR="000769AB">
        <w:t xml:space="preserve">9 characters. </w:t>
      </w:r>
      <w:r w:rsidR="001B7820">
        <w:t>The IIN</w:t>
      </w:r>
      <w:r w:rsidR="000769AB">
        <w:t xml:space="preserve"> follows </w:t>
      </w:r>
      <w:r w:rsidR="001B7820">
        <w:t xml:space="preserve">the </w:t>
      </w:r>
      <w:r w:rsidR="000769AB">
        <w:t>Major Industry I</w:t>
      </w:r>
      <w:r w:rsidR="00293D69" w:rsidRPr="00D30EF5">
        <w:t xml:space="preserve">dentifier (MII) “89” for telecommunication purpose and </w:t>
      </w:r>
      <w:r w:rsidR="001B7820">
        <w:t xml:space="preserve">then the </w:t>
      </w:r>
      <w:r w:rsidR="00293D69" w:rsidRPr="00D30EF5">
        <w:t>E.164</w:t>
      </w:r>
      <w:r w:rsidR="000769AB">
        <w:t xml:space="preserve"> </w:t>
      </w:r>
      <w:r w:rsidR="00293D69" w:rsidRPr="00D30EF5">
        <w:t xml:space="preserve">Country Code. The structure is as </w:t>
      </w:r>
      <w:r w:rsidR="001B7820" w:rsidRPr="00D30EF5">
        <w:t>follow</w:t>
      </w:r>
      <w:r w:rsidR="001B7820">
        <w:t>s</w:t>
      </w:r>
      <w:r w:rsidR="00293D69" w:rsidRPr="00D30EF5">
        <w:t>:</w:t>
      </w:r>
    </w:p>
    <w:p w:rsidR="00293D69" w:rsidRPr="00D30EF5" w:rsidRDefault="00293D69" w:rsidP="00293D69"/>
    <w:p w:rsidR="00293D69" w:rsidRPr="00D30EF5" w:rsidRDefault="00293D69" w:rsidP="00293D69">
      <w:r w:rsidRPr="00D30EF5">
        <w:object w:dxaOrig="8867" w:dyaOrig="5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05pt;height:214.4pt" o:ole="">
            <v:imagedata r:id="rId11" o:title=""/>
          </v:shape>
          <o:OLEObject Type="Embed" ProgID="CorelDRAW.Graphic.12" ShapeID="_x0000_i1025" DrawAspect="Content" ObjectID="_1559712582" r:id="rId12"/>
        </w:object>
      </w:r>
    </w:p>
    <w:p w:rsidR="00822FF5" w:rsidRDefault="00AD64F1" w:rsidP="00E91A1C">
      <w:r>
        <w:lastRenderedPageBreak/>
        <w:t>2</w:t>
      </w:r>
      <w:r>
        <w:tab/>
      </w:r>
      <w:r w:rsidR="00822FF5">
        <w:t xml:space="preserve">The IIN is used to </w:t>
      </w:r>
      <w:r w:rsidR="00822FF5" w:rsidRPr="00D30EF5">
        <w:t xml:space="preserve">distinguish among multiple </w:t>
      </w:r>
      <w:r w:rsidR="001B7820">
        <w:t>Operating Agencies (</w:t>
      </w:r>
      <w:r w:rsidR="00822FF5" w:rsidRPr="00D30EF5">
        <w:t>OAs</w:t>
      </w:r>
      <w:r w:rsidR="001B7820">
        <w:t>)</w:t>
      </w:r>
      <w:r w:rsidR="00822FF5" w:rsidRPr="00D30EF5">
        <w:t xml:space="preserve"> who issue cards within a </w:t>
      </w:r>
      <w:r w:rsidR="001B7820">
        <w:t xml:space="preserve">given </w:t>
      </w:r>
      <w:r w:rsidR="00822FF5" w:rsidRPr="00D30EF5">
        <w:t>country; or to distinguish individual countries sharing the same country code</w:t>
      </w:r>
      <w:r w:rsidR="00B14E1A">
        <w:t>,</w:t>
      </w:r>
      <w:r w:rsidR="0056417A">
        <w:t xml:space="preserve"> or</w:t>
      </w:r>
      <w:r w:rsidR="00822FF5" w:rsidRPr="00D30EF5">
        <w:t xml:space="preserve"> to distinguish both countries and issuers.</w:t>
      </w:r>
      <w:r w:rsidR="00822FF5">
        <w:t xml:space="preserve"> One of the typical us</w:t>
      </w:r>
      <w:r w:rsidR="00242659">
        <w:t>es is to identify an issuer of SIM (Subscriber Identity Module) cards.</w:t>
      </w:r>
    </w:p>
    <w:p w:rsidR="001A112D" w:rsidRDefault="00822FF5" w:rsidP="00E91A1C">
      <w:r>
        <w:t>3</w:t>
      </w:r>
      <w:r>
        <w:tab/>
      </w:r>
      <w:r w:rsidR="00871214">
        <w:t xml:space="preserve">The IIN register </w:t>
      </w:r>
      <w:r w:rsidR="00E91A1C">
        <w:t xml:space="preserve">is maintained by the </w:t>
      </w:r>
      <w:r w:rsidR="001A112D">
        <w:t>ITU-</w:t>
      </w:r>
      <w:r w:rsidR="001A112D" w:rsidRPr="001A112D">
        <w:t>TSB</w:t>
      </w:r>
      <w:r w:rsidR="00E91A1C">
        <w:t xml:space="preserve">. Under point 4.2 d) of Recommendation ITU-T E.118, the TSB shall collect a one-time fee for the assignment and registration of each new IIN. This fee has been </w:t>
      </w:r>
      <w:r w:rsidR="00871214">
        <w:t>80 Swiss Francs</w:t>
      </w:r>
      <w:r w:rsidR="00E91A1C">
        <w:t xml:space="preserve"> since 1993 </w:t>
      </w:r>
      <w:r w:rsidR="001A112D" w:rsidRPr="001A112D">
        <w:t>(</w:t>
      </w:r>
      <w:r w:rsidR="00E91A1C">
        <w:t>ITU Operational Bulletin No. 542 (18.III.1993)</w:t>
      </w:r>
      <w:r w:rsidR="001A112D" w:rsidRPr="001A112D">
        <w:t>).</w:t>
      </w:r>
    </w:p>
    <w:p w:rsidR="00DF3CE3" w:rsidRDefault="001F78EE">
      <w:r>
        <w:t>4</w:t>
      </w:r>
      <w:r w:rsidR="00DF3CE3">
        <w:tab/>
      </w:r>
      <w:r w:rsidR="00F12DB9">
        <w:t xml:space="preserve">At its 2017 session, ITU Council decided to continue collecting fees for </w:t>
      </w:r>
      <w:r w:rsidR="006D2F63">
        <w:t xml:space="preserve">IIN </w:t>
      </w:r>
      <w:r w:rsidR="00F12DB9">
        <w:t xml:space="preserve">Registration and to establish the registration fee at </w:t>
      </w:r>
      <w:r w:rsidR="006D2F63">
        <w:t>15</w:t>
      </w:r>
      <w:r w:rsidR="00F12DB9">
        <w:t xml:space="preserve">0 Swiss francs per number issued, and for non ITU-T and ITU-R Sector Members implement an annual maintenance fee at 100 Swiss francs per number </w:t>
      </w:r>
      <w:r w:rsidR="001B7820">
        <w:t xml:space="preserve">starting </w:t>
      </w:r>
      <w:r w:rsidR="00F12DB9">
        <w:t>from 1 January 2018</w:t>
      </w:r>
      <w:r w:rsidR="00F320A5">
        <w:t xml:space="preserve"> (Decision 601, ITU Council, 2017 session)</w:t>
      </w:r>
      <w:r w:rsidR="00DF3CE3">
        <w:t xml:space="preserve">. </w:t>
      </w:r>
      <w:r w:rsidR="00567A77">
        <w:t xml:space="preserve"> </w:t>
      </w:r>
    </w:p>
    <w:p w:rsidR="00547557" w:rsidRDefault="001F78EE" w:rsidP="00212F67">
      <w:r>
        <w:t>5</w:t>
      </w:r>
      <w:r w:rsidR="00547557" w:rsidRPr="000769AB">
        <w:tab/>
        <w:t xml:space="preserve">The annual fee will be collected based on the status of </w:t>
      </w:r>
      <w:r w:rsidR="006D2F63" w:rsidRPr="000769AB">
        <w:t>IIN</w:t>
      </w:r>
      <w:r w:rsidR="00547557" w:rsidRPr="000769AB">
        <w:t xml:space="preserve">s </w:t>
      </w:r>
      <w:r w:rsidR="00DF4DA4" w:rsidRPr="000769AB">
        <w:t xml:space="preserve">and the membership of the assignees </w:t>
      </w:r>
      <w:r w:rsidR="00547557" w:rsidRPr="000769AB">
        <w:t>at 0</w:t>
      </w:r>
      <w:r w:rsidR="00212F67">
        <w:t>0</w:t>
      </w:r>
      <w:r w:rsidR="00547557" w:rsidRPr="000769AB">
        <w:t xml:space="preserve">h00 (Geneva time) of </w:t>
      </w:r>
      <w:r w:rsidR="00212F67">
        <w:t>1 January</w:t>
      </w:r>
      <w:r w:rsidR="00547557" w:rsidRPr="000769AB">
        <w:t xml:space="preserve"> of each year from 2018. The newly </w:t>
      </w:r>
      <w:r w:rsidR="006D2F63" w:rsidRPr="000769AB">
        <w:t>assigned and registered</w:t>
      </w:r>
      <w:r w:rsidR="00547557" w:rsidRPr="000769AB">
        <w:t xml:space="preserve"> </w:t>
      </w:r>
      <w:r w:rsidR="006D2F63" w:rsidRPr="000769AB">
        <w:t>IIN</w:t>
      </w:r>
      <w:r w:rsidR="00547557" w:rsidRPr="000769AB">
        <w:t xml:space="preserve">s during the year </w:t>
      </w:r>
      <w:r w:rsidR="001873EB" w:rsidRPr="000769AB">
        <w:t xml:space="preserve">2018 and afterwards </w:t>
      </w:r>
      <w:r w:rsidR="00547557" w:rsidRPr="000769AB">
        <w:t>will also be charge</w:t>
      </w:r>
      <w:r w:rsidR="001873EB" w:rsidRPr="000769AB">
        <w:t xml:space="preserve">d an annual </w:t>
      </w:r>
      <w:r w:rsidR="00A20F29">
        <w:t xml:space="preserve">maintenance </w:t>
      </w:r>
      <w:r w:rsidR="001873EB" w:rsidRPr="000769AB">
        <w:t xml:space="preserve">fee for that </w:t>
      </w:r>
      <w:r w:rsidR="00547557" w:rsidRPr="000769AB">
        <w:t>year. In case of cancellation, there will be no refund.</w:t>
      </w:r>
    </w:p>
    <w:p w:rsidR="00C30227" w:rsidRDefault="001F78EE" w:rsidP="00C30227">
      <w:r>
        <w:t>6</w:t>
      </w:r>
      <w:r w:rsidR="00C30227">
        <w:tab/>
        <w:t xml:space="preserve">For further information on IIN, please see: </w:t>
      </w:r>
      <w:hyperlink r:id="rId13" w:history="1">
        <w:r w:rsidR="00C30227" w:rsidRPr="001A5661">
          <w:rPr>
            <w:rStyle w:val="Hyperlink"/>
          </w:rPr>
          <w:t>http://www.itu.int/en/ITU-T/inr/forms/Pages/iin.aspx</w:t>
        </w:r>
      </w:hyperlink>
      <w:r w:rsidR="00C30227">
        <w:t xml:space="preserve">. </w:t>
      </w:r>
      <w:r w:rsidR="000769AB">
        <w:t xml:space="preserve">For issues relevant to membership status, please see: </w:t>
      </w:r>
      <w:hyperlink r:id="rId14" w:history="1">
        <w:r w:rsidR="000769AB" w:rsidRPr="00DE3DB0">
          <w:rPr>
            <w:rStyle w:val="Hyperlink"/>
          </w:rPr>
          <w:t>http://www.itu.int/online/mm/scripts/gensel8</w:t>
        </w:r>
      </w:hyperlink>
      <w:r w:rsidR="000769AB" w:rsidRPr="00212F67">
        <w:t>.</w:t>
      </w:r>
      <w:r w:rsidR="000769AB">
        <w:t xml:space="preserve"> A Sector Member is marked with an “X” under columns “ITU-T” and/or “ITU-R”.</w:t>
      </w:r>
    </w:p>
    <w:p w:rsidR="000769AB" w:rsidRDefault="001F78EE" w:rsidP="000769AB">
      <w:r>
        <w:t>7</w:t>
      </w:r>
      <w:r w:rsidR="000769AB">
        <w:tab/>
        <w:t>Please address your comments to:</w:t>
      </w:r>
    </w:p>
    <w:p w:rsidR="000769AB" w:rsidRPr="000769AB" w:rsidRDefault="000769AB" w:rsidP="00994126">
      <w:pPr>
        <w:spacing w:before="0"/>
        <w:ind w:left="851"/>
        <w:rPr>
          <w:lang w:val="en-US"/>
        </w:rPr>
      </w:pPr>
      <w:r w:rsidRPr="000769AB">
        <w:rPr>
          <w:lang w:val="en-US"/>
        </w:rPr>
        <w:t>Operational B</w:t>
      </w:r>
      <w:r>
        <w:rPr>
          <w:lang w:val="en-US"/>
        </w:rPr>
        <w:t>ulletin and Numbering Administration</w:t>
      </w:r>
    </w:p>
    <w:p w:rsidR="000769AB" w:rsidRDefault="000769AB" w:rsidP="00994126">
      <w:pPr>
        <w:spacing w:before="0"/>
        <w:ind w:left="851"/>
      </w:pPr>
      <w:r>
        <w:t>International Telecommunication Union</w:t>
      </w:r>
    </w:p>
    <w:p w:rsidR="000769AB" w:rsidRPr="00450488" w:rsidRDefault="000769AB" w:rsidP="00994126">
      <w:pPr>
        <w:spacing w:before="0"/>
        <w:ind w:left="851"/>
      </w:pPr>
      <w:r w:rsidRPr="00450488">
        <w:t>Telecommunication Standardization Bureau</w:t>
      </w:r>
    </w:p>
    <w:p w:rsidR="000769AB" w:rsidRPr="00450488" w:rsidRDefault="000769AB" w:rsidP="00994126">
      <w:pPr>
        <w:spacing w:before="0"/>
        <w:ind w:left="851"/>
      </w:pPr>
      <w:r w:rsidRPr="00450488">
        <w:t xml:space="preserve">Place des Nations CH - 1211 GENEVA 20, Switzerland </w:t>
      </w:r>
    </w:p>
    <w:p w:rsidR="000769AB" w:rsidRDefault="000769AB" w:rsidP="00994126">
      <w:pPr>
        <w:spacing w:before="0"/>
        <w:ind w:left="851"/>
      </w:pPr>
      <w:r>
        <w:t>Tel: +41 22 730 5211</w:t>
      </w:r>
    </w:p>
    <w:p w:rsidR="000769AB" w:rsidRDefault="000769AB" w:rsidP="00994126">
      <w:pPr>
        <w:spacing w:before="0"/>
        <w:ind w:left="851"/>
      </w:pPr>
      <w:r>
        <w:t>Fax: +41 22 730 5853</w:t>
      </w:r>
    </w:p>
    <w:p w:rsidR="000769AB" w:rsidRDefault="000769AB" w:rsidP="00994126">
      <w:pPr>
        <w:spacing w:before="0"/>
        <w:ind w:left="851"/>
      </w:pPr>
      <w:r>
        <w:t>E</w:t>
      </w:r>
      <w:r w:rsidR="0056417A">
        <w:t>-</w:t>
      </w:r>
      <w:r>
        <w:t xml:space="preserve">mail: </w:t>
      </w:r>
      <w:hyperlink r:id="rId15" w:history="1">
        <w:r w:rsidRPr="00DE3DB0">
          <w:rPr>
            <w:rStyle w:val="Hyperlink"/>
          </w:rPr>
          <w:t>tsbtson@itu.int</w:t>
        </w:r>
      </w:hyperlink>
    </w:p>
    <w:p w:rsidR="000769AB" w:rsidRDefault="000769AB" w:rsidP="000769AB">
      <w:r>
        <w:t xml:space="preserve">For membership issues, please contact </w:t>
      </w:r>
      <w:hyperlink r:id="rId16" w:history="1">
        <w:r w:rsidRPr="00994126">
          <w:rPr>
            <w:rStyle w:val="Hyperlink"/>
          </w:rPr>
          <w:t>itu-tmembership@itu.int</w:t>
        </w:r>
      </w:hyperlink>
      <w:r w:rsidRPr="00994126">
        <w:t>.</w:t>
      </w:r>
    </w:p>
    <w:p w:rsidR="00FA46A0" w:rsidRDefault="00B61012">
      <w:pPr>
        <w:spacing w:before="360"/>
      </w:pPr>
      <w:r>
        <w:t>Yours faithfully,</w:t>
      </w:r>
    </w:p>
    <w:p w:rsidR="00424165" w:rsidRDefault="00424165"/>
    <w:p w:rsidR="00FA46A0" w:rsidRDefault="00B61012" w:rsidP="00C95BF6">
      <w:r>
        <w:t>Chaesub Lee</w:t>
      </w:r>
      <w:r>
        <w:br/>
        <w:t>Director of the Telecommunication</w:t>
      </w:r>
      <w:r>
        <w:br/>
        <w:t>Standardization Bureau</w:t>
      </w:r>
    </w:p>
    <w:p w:rsidR="001F1B2A" w:rsidRDefault="001F1B2A" w:rsidP="00C95BF6"/>
    <w:p w:rsidR="00DF0163" w:rsidRDefault="00DF0163" w:rsidP="00C95BF6"/>
    <w:sectPr w:rsidR="00DF0163" w:rsidSect="00FA46A0">
      <w:headerReference w:type="default" r:id="rId17"/>
      <w:footerReference w:type="default" r:id="rId18"/>
      <w:footerReference w:type="first" r:id="rId19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B9" w:rsidRDefault="009C63B9">
      <w:r>
        <w:separator/>
      </w:r>
    </w:p>
  </w:endnote>
  <w:endnote w:type="continuationSeparator" w:id="0">
    <w:p w:rsidR="009C63B9" w:rsidRDefault="009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2D" w:rsidRPr="00C95BF6" w:rsidRDefault="0002322D" w:rsidP="007729E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717C8F">
      <w:rPr>
        <w:lang w:val="fr-CH"/>
      </w:rPr>
      <w:t>ITU-T\BUREAU\CIRC\</w:t>
    </w:r>
    <w:r w:rsidR="007729E6">
      <w:rPr>
        <w:lang w:val="fr-CH"/>
      </w:rPr>
      <w:t>35</w:t>
    </w:r>
    <w:r w:rsidRPr="00717C8F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2D" w:rsidRDefault="0002322D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B9" w:rsidRDefault="009C63B9">
      <w:r>
        <w:t>____________________</w:t>
      </w:r>
    </w:p>
  </w:footnote>
  <w:footnote w:type="continuationSeparator" w:id="0">
    <w:p w:rsidR="009C63B9" w:rsidRDefault="009C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2D" w:rsidRDefault="0002322D" w:rsidP="006125FD">
    <w:pPr>
      <w:pStyle w:val="Header"/>
      <w:spacing w:after="240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50488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93250"/>
    <w:multiLevelType w:val="multilevel"/>
    <w:tmpl w:val="0A68AF04"/>
    <w:numStyleLink w:val="a"/>
  </w:abstractNum>
  <w:abstractNum w:abstractNumId="11" w15:restartNumberingAfterBreak="0">
    <w:nsid w:val="56B51BB0"/>
    <w:multiLevelType w:val="multilevel"/>
    <w:tmpl w:val="0A68AF04"/>
    <w:styleLink w:val="a"/>
    <w:lvl w:ilvl="0">
      <w:start w:val="1"/>
      <w:numFmt w:val="bullet"/>
      <w:suff w:val="space"/>
      <w:lvlText w:val=""/>
      <w:lvlJc w:val="left"/>
      <w:pPr>
        <w:ind w:left="227" w:hanging="227"/>
      </w:pPr>
      <w:rPr>
        <w:rFonts w:ascii="Wingdings" w:hAnsi="Wingdings" w:hint="default"/>
        <w:sz w:val="21"/>
      </w:rPr>
    </w:lvl>
    <w:lvl w:ilvl="1">
      <w:start w:val="1"/>
      <w:numFmt w:val="bullet"/>
      <w:suff w:val="space"/>
      <w:lvlText w:val=""/>
      <w:lvlJc w:val="left"/>
      <w:pPr>
        <w:ind w:left="567" w:hanging="142"/>
      </w:pPr>
      <w:rPr>
        <w:rFonts w:ascii="Wingdings" w:hAnsi="Wingdings" w:hint="default"/>
        <w:sz w:val="21"/>
      </w:rPr>
    </w:lvl>
    <w:lvl w:ilvl="2">
      <w:start w:val="1"/>
      <w:numFmt w:val="bullet"/>
      <w:suff w:val="space"/>
      <w:lvlText w:val=""/>
      <w:lvlJc w:val="left"/>
      <w:pPr>
        <w:ind w:left="1418" w:hanging="567"/>
      </w:pPr>
      <w:rPr>
        <w:rFonts w:ascii="Segoe UI" w:eastAsia="Meiryo UI" w:hAnsi="Segoe UI" w:hint="default"/>
      </w:rPr>
    </w:lvl>
    <w:lvl w:ilvl="3">
      <w:start w:val="1"/>
      <w:numFmt w:val="bullet"/>
      <w:suff w:val="space"/>
      <w:lvlText w:val="−"/>
      <w:lvlJc w:val="left"/>
      <w:pPr>
        <w:ind w:left="1984" w:hanging="708"/>
      </w:pPr>
      <w:rPr>
        <w:rFonts w:ascii="MS Mincho" w:eastAsia="MS Mincho" w:hAnsi="MS Mincho" w:hint="eastAsia"/>
      </w:rPr>
    </w:lvl>
    <w:lvl w:ilvl="4">
      <w:start w:val="1"/>
      <w:numFmt w:val="bullet"/>
      <w:suff w:val="space"/>
      <w:lvlText w:val="»"/>
      <w:lvlJc w:val="left"/>
      <w:pPr>
        <w:ind w:left="2551" w:hanging="850"/>
      </w:pPr>
      <w:rPr>
        <w:rFonts w:ascii="MS Mincho" w:eastAsia="MS Mincho" w:hAnsi="MS Mincho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EC"/>
    <w:rsid w:val="00002703"/>
    <w:rsid w:val="0002322D"/>
    <w:rsid w:val="000769AB"/>
    <w:rsid w:val="000B15C8"/>
    <w:rsid w:val="00112F37"/>
    <w:rsid w:val="00113D8C"/>
    <w:rsid w:val="001641EC"/>
    <w:rsid w:val="001861BF"/>
    <w:rsid w:val="001873EB"/>
    <w:rsid w:val="001A112D"/>
    <w:rsid w:val="001B7820"/>
    <w:rsid w:val="001C686D"/>
    <w:rsid w:val="001F1B2A"/>
    <w:rsid w:val="001F78EE"/>
    <w:rsid w:val="00212F67"/>
    <w:rsid w:val="0024158A"/>
    <w:rsid w:val="00242659"/>
    <w:rsid w:val="002910FF"/>
    <w:rsid w:val="00293D69"/>
    <w:rsid w:val="002F6253"/>
    <w:rsid w:val="00347353"/>
    <w:rsid w:val="003479AF"/>
    <w:rsid w:val="003746A5"/>
    <w:rsid w:val="003D3590"/>
    <w:rsid w:val="003D4690"/>
    <w:rsid w:val="0042330F"/>
    <w:rsid w:val="00424165"/>
    <w:rsid w:val="00440CB6"/>
    <w:rsid w:val="00450488"/>
    <w:rsid w:val="004F02E6"/>
    <w:rsid w:val="00516394"/>
    <w:rsid w:val="00517B43"/>
    <w:rsid w:val="00544639"/>
    <w:rsid w:val="00547557"/>
    <w:rsid w:val="00561D3D"/>
    <w:rsid w:val="0056417A"/>
    <w:rsid w:val="00567A77"/>
    <w:rsid w:val="006125FD"/>
    <w:rsid w:val="006550E4"/>
    <w:rsid w:val="006A697C"/>
    <w:rsid w:val="006D2F63"/>
    <w:rsid w:val="006E2909"/>
    <w:rsid w:val="006E383F"/>
    <w:rsid w:val="00717C8F"/>
    <w:rsid w:val="00726AF4"/>
    <w:rsid w:val="00760FF5"/>
    <w:rsid w:val="007729E6"/>
    <w:rsid w:val="007C6C64"/>
    <w:rsid w:val="00822FF5"/>
    <w:rsid w:val="00871214"/>
    <w:rsid w:val="00885597"/>
    <w:rsid w:val="008B08C8"/>
    <w:rsid w:val="00994126"/>
    <w:rsid w:val="009A7196"/>
    <w:rsid w:val="009C63B9"/>
    <w:rsid w:val="009D3763"/>
    <w:rsid w:val="009E2395"/>
    <w:rsid w:val="00A20F29"/>
    <w:rsid w:val="00A72C30"/>
    <w:rsid w:val="00AD64F1"/>
    <w:rsid w:val="00B14E1A"/>
    <w:rsid w:val="00B61012"/>
    <w:rsid w:val="00B71823"/>
    <w:rsid w:val="00BD1CCF"/>
    <w:rsid w:val="00BE1CF4"/>
    <w:rsid w:val="00BF15B8"/>
    <w:rsid w:val="00BF2DEA"/>
    <w:rsid w:val="00C25F33"/>
    <w:rsid w:val="00C30227"/>
    <w:rsid w:val="00C93F19"/>
    <w:rsid w:val="00C95BF6"/>
    <w:rsid w:val="00CB222C"/>
    <w:rsid w:val="00CC5ACF"/>
    <w:rsid w:val="00CD459C"/>
    <w:rsid w:val="00D05639"/>
    <w:rsid w:val="00DD5743"/>
    <w:rsid w:val="00DF0163"/>
    <w:rsid w:val="00DF3CE3"/>
    <w:rsid w:val="00DF4DA4"/>
    <w:rsid w:val="00E07AE9"/>
    <w:rsid w:val="00E42602"/>
    <w:rsid w:val="00E91A1C"/>
    <w:rsid w:val="00F12DB9"/>
    <w:rsid w:val="00F320A5"/>
    <w:rsid w:val="00F919F6"/>
    <w:rsid w:val="00FA46A0"/>
    <w:rsid w:val="00FC1C19"/>
    <w:rsid w:val="00FD55E2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50DC9D-9BF0-4654-B771-CBA741D2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numbering" w:customStyle="1" w:styleId="a">
    <w:name w:val="本文箇条書き"/>
    <w:uiPriority w:val="99"/>
    <w:rsid w:val="00DF0163"/>
    <w:pPr>
      <w:numPr>
        <w:numId w:val="11"/>
      </w:numPr>
    </w:pPr>
  </w:style>
  <w:style w:type="paragraph" w:styleId="ListParagraph">
    <w:name w:val="List Paragraph"/>
    <w:basedOn w:val="Normal"/>
    <w:qFormat/>
    <w:rsid w:val="001A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inr/forms/Pages/iin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tu.int/" TargetMode="Externa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tu-tmembership@itu.i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mailto:tsbtson@itu.int" TargetMode="External"/><Relationship Id="rId10" Type="http://schemas.openxmlformats.org/officeDocument/2006/relationships/hyperlink" Target="http://www.itu.int/rec/T-REC-E.118-200605-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www.itu.int/online/mm/scripts/gensel8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kacem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25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Al-Mnini, Lara</cp:lastModifiedBy>
  <cp:revision>10</cp:revision>
  <cp:lastPrinted>2017-04-28T08:30:00Z</cp:lastPrinted>
  <dcterms:created xsi:type="dcterms:W3CDTF">2017-06-22T10:11:00Z</dcterms:created>
  <dcterms:modified xsi:type="dcterms:W3CDTF">2017-06-23T06:43:00Z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