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747C90" w:rsidTr="00905238">
        <w:trPr>
          <w:cantSplit/>
        </w:trPr>
        <w:tc>
          <w:tcPr>
            <w:tcW w:w="1418" w:type="dxa"/>
            <w:vAlign w:val="center"/>
          </w:tcPr>
          <w:p w:rsidR="002F396B" w:rsidRPr="00747C90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47C90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747C90" w:rsidRDefault="002F396B" w:rsidP="0090523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47C90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747C90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47C9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747C90" w:rsidRDefault="002F396B" w:rsidP="0090523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656571" w:rsidRDefault="00656571" w:rsidP="0065657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747C90" w:rsidRDefault="00C34772" w:rsidP="00E13E9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47C90">
        <w:tab/>
        <w:t>Ginebra,</w:t>
      </w:r>
      <w:r w:rsidR="00251BCD" w:rsidRPr="00747C90">
        <w:t xml:space="preserve"> </w:t>
      </w:r>
      <w:r w:rsidR="00695CBC" w:rsidRPr="00747C90">
        <w:t>2</w:t>
      </w:r>
      <w:r w:rsidR="00E13E97">
        <w:t>2</w:t>
      </w:r>
      <w:r w:rsidR="00811D78" w:rsidRPr="00747C90">
        <w:t xml:space="preserve"> de </w:t>
      </w:r>
      <w:r w:rsidR="00E13E97">
        <w:t>junio</w:t>
      </w:r>
      <w:r w:rsidR="00251BCD" w:rsidRPr="00747C90">
        <w:t xml:space="preserve"> de 201</w:t>
      </w:r>
      <w:r w:rsidR="00695CBC" w:rsidRPr="00747C90">
        <w:t>7</w:t>
      </w:r>
    </w:p>
    <w:p w:rsidR="00C34772" w:rsidRPr="00747C90" w:rsidRDefault="00C34772" w:rsidP="00E41379">
      <w:pPr>
        <w:spacing w:before="0"/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RPr="00747C90" w:rsidTr="00303D62">
        <w:trPr>
          <w:cantSplit/>
          <w:trHeight w:val="340"/>
        </w:trPr>
        <w:tc>
          <w:tcPr>
            <w:tcW w:w="993" w:type="dxa"/>
          </w:tcPr>
          <w:p w:rsidR="00C34772" w:rsidRPr="00656571" w:rsidRDefault="00C34772" w:rsidP="00656571">
            <w:pPr>
              <w:tabs>
                <w:tab w:val="left" w:pos="4111"/>
              </w:tabs>
              <w:spacing w:before="40"/>
              <w:ind w:left="57"/>
            </w:pPr>
            <w:r w:rsidRPr="00656571">
              <w:t>Ref.:</w:t>
            </w:r>
          </w:p>
        </w:tc>
        <w:tc>
          <w:tcPr>
            <w:tcW w:w="3884" w:type="dxa"/>
          </w:tcPr>
          <w:p w:rsidR="00C34772" w:rsidRPr="00747C90" w:rsidRDefault="00251BCD" w:rsidP="00656571">
            <w:pPr>
              <w:tabs>
                <w:tab w:val="left" w:pos="4111"/>
              </w:tabs>
              <w:spacing w:before="40"/>
              <w:ind w:left="57"/>
              <w:rPr>
                <w:b/>
              </w:rPr>
            </w:pPr>
            <w:r w:rsidRPr="00747C90">
              <w:rPr>
                <w:b/>
              </w:rPr>
              <w:t xml:space="preserve">Circular TSB </w:t>
            </w:r>
            <w:r w:rsidR="00E13E97">
              <w:rPr>
                <w:b/>
              </w:rPr>
              <w:t>35</w:t>
            </w:r>
          </w:p>
          <w:p w:rsidR="00747C90" w:rsidRPr="00747C90" w:rsidRDefault="00695CBC" w:rsidP="000414D0">
            <w:pPr>
              <w:tabs>
                <w:tab w:val="left" w:pos="4111"/>
              </w:tabs>
              <w:spacing w:before="0"/>
              <w:ind w:left="57"/>
            </w:pPr>
            <w:r w:rsidRPr="00747C90">
              <w:t>SG</w:t>
            </w:r>
            <w:r w:rsidR="00811D78" w:rsidRPr="00747C90">
              <w:t>2</w:t>
            </w:r>
            <w:r w:rsidR="00251BCD" w:rsidRPr="00747C90">
              <w:t>/</w:t>
            </w:r>
            <w:r w:rsidR="00811D78" w:rsidRPr="00747C90">
              <w:t>JZ</w:t>
            </w:r>
          </w:p>
        </w:tc>
        <w:tc>
          <w:tcPr>
            <w:tcW w:w="5188" w:type="dxa"/>
          </w:tcPr>
          <w:p w:rsidR="00C34772" w:rsidRPr="00747C90" w:rsidRDefault="005734CD" w:rsidP="006565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</w:pPr>
            <w:r>
              <w:t>–</w:t>
            </w:r>
            <w:r w:rsidR="00C34772" w:rsidRPr="00747C90">
              <w:tab/>
              <w:t>A las Administraciones de los Estados Miembros de la Unión</w:t>
            </w:r>
          </w:p>
        </w:tc>
      </w:tr>
      <w:tr w:rsidR="00C34772" w:rsidRPr="00747C90" w:rsidTr="00303D62">
        <w:trPr>
          <w:cantSplit/>
        </w:trPr>
        <w:tc>
          <w:tcPr>
            <w:tcW w:w="993" w:type="dxa"/>
          </w:tcPr>
          <w:p w:rsidR="00C34772" w:rsidRPr="00747C90" w:rsidRDefault="00C34772" w:rsidP="00656571">
            <w:pPr>
              <w:tabs>
                <w:tab w:val="left" w:pos="4111"/>
              </w:tabs>
              <w:spacing w:before="40"/>
              <w:ind w:left="57"/>
            </w:pPr>
            <w:r w:rsidRPr="00747C90">
              <w:t>Tel.:</w:t>
            </w:r>
            <w:r w:rsidRPr="00747C90">
              <w:br/>
              <w:t>Fax:</w:t>
            </w:r>
            <w:r w:rsidRPr="00747C90">
              <w:br/>
              <w:t>Correo-e:</w:t>
            </w:r>
          </w:p>
        </w:tc>
        <w:tc>
          <w:tcPr>
            <w:tcW w:w="3884" w:type="dxa"/>
          </w:tcPr>
          <w:p w:rsidR="00C34772" w:rsidRPr="00747C90" w:rsidRDefault="00C34772" w:rsidP="00656571">
            <w:pPr>
              <w:tabs>
                <w:tab w:val="left" w:pos="4111"/>
              </w:tabs>
              <w:spacing w:before="40"/>
              <w:ind w:left="57"/>
            </w:pPr>
            <w:r w:rsidRPr="00747C90">
              <w:t>+41 22 730</w:t>
            </w:r>
            <w:r w:rsidR="00251BCD" w:rsidRPr="00747C90">
              <w:t xml:space="preserve"> 58</w:t>
            </w:r>
            <w:r w:rsidR="00811D78" w:rsidRPr="00747C90">
              <w:t>55</w:t>
            </w:r>
            <w:r w:rsidRPr="00747C90">
              <w:br/>
              <w:t>+41 22 730 5853</w:t>
            </w:r>
            <w:r w:rsidRPr="00747C90">
              <w:br/>
            </w:r>
            <w:hyperlink r:id="rId9" w:history="1">
              <w:r w:rsidR="00811D78" w:rsidRPr="00747C90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88" w:type="dxa"/>
          </w:tcPr>
          <w:p w:rsidR="00C34772" w:rsidRPr="00747C90" w:rsidRDefault="00C34772" w:rsidP="00656571">
            <w:pPr>
              <w:tabs>
                <w:tab w:val="left" w:pos="4111"/>
              </w:tabs>
              <w:spacing w:before="40"/>
              <w:ind w:left="57"/>
            </w:pPr>
            <w:r w:rsidRPr="00747C90">
              <w:rPr>
                <w:b/>
              </w:rPr>
              <w:t>Copia</w:t>
            </w:r>
            <w:r w:rsidRPr="00747C90">
              <w:t>:</w:t>
            </w:r>
          </w:p>
          <w:p w:rsidR="00C34772" w:rsidRPr="00747C90" w:rsidRDefault="005734CD" w:rsidP="006565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 w:rsidRPr="00747C90">
              <w:tab/>
              <w:t>A los Miembros del Sector UIT-T;</w:t>
            </w:r>
          </w:p>
          <w:p w:rsidR="00C34772" w:rsidRPr="00747C90" w:rsidRDefault="005734CD" w:rsidP="006565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 w:rsidRPr="00747C90">
              <w:tab/>
              <w:t xml:space="preserve">A los Asociados </w:t>
            </w:r>
            <w:r w:rsidR="00811D78" w:rsidRPr="00747C90">
              <w:t>de la CE</w:t>
            </w:r>
            <w:r w:rsidR="00DB3EB3" w:rsidRPr="00747C90">
              <w:t xml:space="preserve"> </w:t>
            </w:r>
            <w:r w:rsidR="00811D78" w:rsidRPr="00747C90">
              <w:t xml:space="preserve">2 </w:t>
            </w:r>
            <w:r w:rsidR="00C34772" w:rsidRPr="00747C90">
              <w:t>del UIT-T;</w:t>
            </w:r>
          </w:p>
          <w:p w:rsidR="00C34772" w:rsidRPr="00747C90" w:rsidRDefault="005734CD" w:rsidP="006565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 w:rsidRPr="00747C90">
              <w:tab/>
              <w:t>A las Instituciones</w:t>
            </w:r>
            <w:r w:rsidR="00582AE6" w:rsidRPr="00747C90">
              <w:t xml:space="preserve"> Académicas de</w:t>
            </w:r>
            <w:r w:rsidR="00811D78" w:rsidRPr="00747C90">
              <w:t xml:space="preserve"> </w:t>
            </w:r>
            <w:r w:rsidR="00582AE6" w:rsidRPr="00747C90">
              <w:t>l</w:t>
            </w:r>
            <w:r w:rsidR="00811D78" w:rsidRPr="00747C90">
              <w:t>a</w:t>
            </w:r>
            <w:r w:rsidR="00582AE6" w:rsidRPr="00747C90">
              <w:t xml:space="preserve"> UIT</w:t>
            </w:r>
            <w:r w:rsidR="00C34772" w:rsidRPr="00747C90">
              <w:t>;</w:t>
            </w:r>
          </w:p>
          <w:p w:rsidR="00C34772" w:rsidRPr="00747C90" w:rsidRDefault="005734CD" w:rsidP="006565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 w:rsidRPr="00747C90">
              <w:tab/>
              <w:t xml:space="preserve">Al Presidente y a los Vicepresidentes de la Comisión de Estudio </w:t>
            </w:r>
            <w:r w:rsidR="00811D78" w:rsidRPr="00747C90">
              <w:t>2</w:t>
            </w:r>
            <w:r w:rsidR="00251BCD" w:rsidRPr="00747C90">
              <w:t xml:space="preserve"> del UIT-T</w:t>
            </w:r>
            <w:r w:rsidR="00C34772" w:rsidRPr="00747C90">
              <w:t>;</w:t>
            </w:r>
          </w:p>
          <w:p w:rsidR="00C34772" w:rsidRPr="00747C90" w:rsidRDefault="005734CD" w:rsidP="006565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 w:rsidRPr="00747C90">
              <w:tab/>
              <w:t>Al Director de la Oficina de Desarrollo de las Telecomunicaciones;</w:t>
            </w:r>
          </w:p>
          <w:p w:rsidR="00C34772" w:rsidRPr="00747C90" w:rsidRDefault="005734CD" w:rsidP="006565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34772" w:rsidRPr="00747C90">
              <w:tab/>
              <w:t>Al Director de la Oficina de Radiocomunicaciones</w:t>
            </w:r>
          </w:p>
        </w:tc>
      </w:tr>
    </w:tbl>
    <w:p w:rsidR="00C34772" w:rsidRPr="00747C90" w:rsidRDefault="00C34772" w:rsidP="00E41379">
      <w:pPr>
        <w:spacing w:before="0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9071"/>
      </w:tblGrid>
      <w:tr w:rsidR="00C34772" w:rsidRPr="00747C90" w:rsidTr="00656571">
        <w:trPr>
          <w:cantSplit/>
        </w:trPr>
        <w:tc>
          <w:tcPr>
            <w:tcW w:w="986" w:type="dxa"/>
          </w:tcPr>
          <w:p w:rsidR="00C34772" w:rsidRPr="00656571" w:rsidRDefault="00C34772" w:rsidP="00E4137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656571">
              <w:rPr>
                <w:b/>
                <w:bCs/>
                <w:szCs w:val="24"/>
              </w:rPr>
              <w:t>Asunto:</w:t>
            </w:r>
          </w:p>
        </w:tc>
        <w:tc>
          <w:tcPr>
            <w:tcW w:w="9071" w:type="dxa"/>
          </w:tcPr>
          <w:p w:rsidR="00C34772" w:rsidRPr="00747C90" w:rsidRDefault="00E13E97" w:rsidP="00E13E97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Registro del </w:t>
            </w:r>
            <w:r w:rsidRPr="00E13E97">
              <w:rPr>
                <w:b/>
              </w:rPr>
              <w:t>número identificador de expedidor (IIN)</w:t>
            </w:r>
          </w:p>
        </w:tc>
      </w:tr>
    </w:tbl>
    <w:p w:rsidR="00C34772" w:rsidRPr="00747C90" w:rsidRDefault="00C34772" w:rsidP="000414D0">
      <w:pPr>
        <w:pStyle w:val="Normalaftertitle0"/>
      </w:pPr>
      <w:r w:rsidRPr="00747C90">
        <w:t>Muy Señora mía/Muy Señor mío:</w:t>
      </w:r>
    </w:p>
    <w:p w:rsidR="002B30E2" w:rsidRDefault="00C34772" w:rsidP="000414D0">
      <w:r w:rsidRPr="000414D0">
        <w:t>1</w:t>
      </w:r>
      <w:r w:rsidRPr="00747C90">
        <w:tab/>
      </w:r>
      <w:r w:rsidR="00E13E97">
        <w:t xml:space="preserve">La Comisión de Estudio 2 del UIT-T ha elaborado la Recomendación </w:t>
      </w:r>
      <w:hyperlink r:id="rId10" w:history="1">
        <w:r w:rsidR="00E13E97" w:rsidRPr="009C2E08">
          <w:rPr>
            <w:rStyle w:val="Hyperlink"/>
          </w:rPr>
          <w:t xml:space="preserve">UIT-T E.118 </w:t>
        </w:r>
        <w:r w:rsidR="000414D0" w:rsidRPr="009C2E08">
          <w:rPr>
            <w:rStyle w:val="Hyperlink"/>
          </w:rPr>
          <w:t>"</w:t>
        </w:r>
        <w:r w:rsidR="00E13E97" w:rsidRPr="009C2E08">
          <w:rPr>
            <w:rStyle w:val="Hyperlink"/>
          </w:rPr>
          <w:t>Tarjeta con cargo a cuenta para telecomunicaciones internacionales</w:t>
        </w:r>
        <w:r w:rsidR="000414D0" w:rsidRPr="009C2E08">
          <w:rPr>
            <w:rStyle w:val="Hyperlink"/>
          </w:rPr>
          <w:t>"</w:t>
        </w:r>
      </w:hyperlink>
      <w:r w:rsidR="00E13E97">
        <w:t>. En esta Recomendación se especifican la estructura del número visible de la tarjeta (número de cuenta primario) y el procedimiento de asignación y registro del número de identificador de</w:t>
      </w:r>
      <w:r w:rsidR="00C835CC">
        <w:t>l</w:t>
      </w:r>
      <w:r w:rsidR="00E13E97">
        <w:t xml:space="preserve"> expedidor (IIN). </w:t>
      </w:r>
      <w:r w:rsidR="00E13E97" w:rsidRPr="00E13E97">
        <w:t>El número identificador de</w:t>
      </w:r>
      <w:r w:rsidR="00C835CC">
        <w:t>l</w:t>
      </w:r>
      <w:r w:rsidR="00E13E97" w:rsidRPr="00E13E97">
        <w:t xml:space="preserve"> expedidor </w:t>
      </w:r>
      <w:r w:rsidR="002B30E2">
        <w:t xml:space="preserve">forma parte del </w:t>
      </w:r>
      <w:r w:rsidR="00E13E97" w:rsidRPr="00E13E97">
        <w:t xml:space="preserve">número visible de la tarjeta </w:t>
      </w:r>
      <w:r w:rsidR="002B30E2">
        <w:t>con</w:t>
      </w:r>
      <w:r w:rsidR="00E13E97" w:rsidRPr="00E13E97">
        <w:t xml:space="preserve"> una longitud máxima de 19 caracteres</w:t>
      </w:r>
      <w:r w:rsidR="002B30E2">
        <w:t xml:space="preserve">. El IIN utiliza el </w:t>
      </w:r>
      <w:r w:rsidR="002B30E2" w:rsidRPr="002B30E2">
        <w:t xml:space="preserve">Identificador de actividad industrial (MII) </w:t>
      </w:r>
      <w:r w:rsidR="000414D0">
        <w:t>"</w:t>
      </w:r>
      <w:r w:rsidR="002B30E2" w:rsidRPr="002B30E2">
        <w:t>89</w:t>
      </w:r>
      <w:r w:rsidR="000414D0">
        <w:t>"</w:t>
      </w:r>
      <w:r w:rsidR="00E13E97" w:rsidRPr="00E13E97">
        <w:t xml:space="preserve"> </w:t>
      </w:r>
      <w:r w:rsidR="002B30E2">
        <w:t>relativo a las telecomunicaciones, y luego el indicativo de país E.164. La estructura es la siguiente:</w:t>
      </w:r>
    </w:p>
    <w:p w:rsidR="002B30E2" w:rsidRDefault="00CA04FE" w:rsidP="000414D0">
      <w:pPr>
        <w:pStyle w:val="Figure0"/>
        <w:keepNext w:val="0"/>
        <w:keepLines w:val="0"/>
      </w:pPr>
      <w:r w:rsidRPr="002B30E2">
        <w:object w:dxaOrig="9078" w:dyaOrig="5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pt;height:262.35pt;mso-position-vertical:absolute" o:ole="">
            <v:imagedata r:id="rId11" o:title=""/>
          </v:shape>
          <o:OLEObject Type="Embed" ProgID="CorelDRAW.Graphic.12" ShapeID="_x0000_i1025" DrawAspect="Content" ObjectID="_1564903588" r:id="rId12"/>
        </w:object>
      </w:r>
    </w:p>
    <w:p w:rsidR="002B30E2" w:rsidRDefault="002B30E2" w:rsidP="002B30E2">
      <w:r>
        <w:lastRenderedPageBreak/>
        <w:t>2</w:t>
      </w:r>
      <w:r>
        <w:tab/>
        <w:t>El IIN s</w:t>
      </w:r>
      <w:r w:rsidRPr="002B30E2">
        <w:t xml:space="preserve">e utiliza para distinguir entre múltiples </w:t>
      </w:r>
      <w:r>
        <w:t>empresas de explotación (</w:t>
      </w:r>
      <w:r w:rsidRPr="002B30E2">
        <w:t>EE</w:t>
      </w:r>
      <w:r>
        <w:t>)</w:t>
      </w:r>
      <w:r w:rsidRPr="002B30E2">
        <w:t xml:space="preserve"> que expiden tarjetas en un país, o para distinguir países individuales que comparten el mismo indicativo de país, o para distinguir ambos países y expedidores. </w:t>
      </w:r>
      <w:r w:rsidR="00FC6D1C">
        <w:t>Uno de los usos habituales es para identificar a un expedidor de tarjetas SIM (</w:t>
      </w:r>
      <w:r w:rsidR="00FC6D1C" w:rsidRPr="00FC6D1C">
        <w:t>Módulo de identidad del abonado</w:t>
      </w:r>
      <w:r w:rsidR="00FC6D1C">
        <w:t>).</w:t>
      </w:r>
    </w:p>
    <w:p w:rsidR="00FC6D1C" w:rsidRDefault="00FC6D1C" w:rsidP="00CD2707">
      <w:r>
        <w:t>3</w:t>
      </w:r>
      <w:r>
        <w:tab/>
        <w:t>La TSB del UIT-T se encarga de mantener el registro de los IIN. Con arreglo al punto 4.2 d) de la Rec</w:t>
      </w:r>
      <w:r w:rsidR="00656571">
        <w:t xml:space="preserve">omendación UIT-T E.118, la TSB </w:t>
      </w:r>
      <w:r w:rsidRPr="00FC6D1C">
        <w:t xml:space="preserve">cobrará una </w:t>
      </w:r>
      <w:r>
        <w:t>tasa</w:t>
      </w:r>
      <w:r w:rsidRPr="00FC6D1C">
        <w:t xml:space="preserve"> una sola vez para </w:t>
      </w:r>
      <w:r>
        <w:t>la asignación y el registro de un nuevo</w:t>
      </w:r>
      <w:r w:rsidRPr="00FC6D1C">
        <w:t xml:space="preserve"> IIN</w:t>
      </w:r>
      <w:r>
        <w:t xml:space="preserve">. Esta tasa ha sido de 80 </w:t>
      </w:r>
      <w:r w:rsidR="00656571">
        <w:t>CHF</w:t>
      </w:r>
      <w:r>
        <w:t xml:space="preserve"> desde 1993 (Boletín de Explotación núm</w:t>
      </w:r>
      <w:r w:rsidR="00CD2707">
        <w:t>ero </w:t>
      </w:r>
      <w:r>
        <w:t>542 de la UIT (18.III.1993)).</w:t>
      </w:r>
    </w:p>
    <w:p w:rsidR="00FC6D1C" w:rsidRDefault="00FC6D1C" w:rsidP="00656571">
      <w:r>
        <w:t>4</w:t>
      </w:r>
      <w:r>
        <w:tab/>
        <w:t xml:space="preserve">En su reunión de 2017, el Consejo de la UIT acordó seguir recaudando tasas para el registro de los IIN y </w:t>
      </w:r>
      <w:r w:rsidRPr="00FC6D1C">
        <w:t xml:space="preserve">establecer una tasa de registro de 150 </w:t>
      </w:r>
      <w:r w:rsidR="00656571">
        <w:t>CHF</w:t>
      </w:r>
      <w:r w:rsidRPr="00FC6D1C">
        <w:t xml:space="preserve"> por número asignado y para los que no son Miembros de Sector del UIT-T ni del UIT-R aplicar una tasa de mantenimiento anual de 100 </w:t>
      </w:r>
      <w:r w:rsidR="00656571">
        <w:t>CHF</w:t>
      </w:r>
      <w:r w:rsidRPr="00FC6D1C">
        <w:t xml:space="preserve"> por número </w:t>
      </w:r>
      <w:r>
        <w:t>a partir del 1 de enero de 2018 (Acuerdo 601, Consejo de la UIT, reunión de</w:t>
      </w:r>
      <w:r w:rsidR="00656571">
        <w:t> </w:t>
      </w:r>
      <w:r>
        <w:t>2017).</w:t>
      </w:r>
    </w:p>
    <w:p w:rsidR="00FC6D1C" w:rsidRDefault="00FC6D1C" w:rsidP="00C835CC">
      <w:r>
        <w:t>5</w:t>
      </w:r>
      <w:r>
        <w:tab/>
        <w:t xml:space="preserve">La tasa anual se </w:t>
      </w:r>
      <w:r w:rsidR="00C835CC">
        <w:t>recaudará sobre la base de la situación de los IIN y de la condición de miembros de los recep</w:t>
      </w:r>
      <w:r w:rsidR="00656571">
        <w:t>tores de la asignación a las 00.</w:t>
      </w:r>
      <w:r w:rsidR="00C835CC">
        <w:t>00</w:t>
      </w:r>
      <w:r w:rsidR="00656571">
        <w:t xml:space="preserve"> horas</w:t>
      </w:r>
      <w:r w:rsidR="00C835CC">
        <w:t xml:space="preserve"> (hora de Ginebra) del 1 de enero de cada año a partir de 2018. A los IIN nuevamente asignados y registrados durante el año 2018 y años posteriores también se les cargará una tasa de mantenimiento anual para el año de que se trate. En caso de cancelación, no habrá reembolso.</w:t>
      </w:r>
    </w:p>
    <w:p w:rsidR="00C835CC" w:rsidRDefault="00C835CC" w:rsidP="00656571">
      <w:r>
        <w:t>6</w:t>
      </w:r>
      <w:r>
        <w:tab/>
        <w:t xml:space="preserve">Para más información sobre los IIN, sírvase consultar: </w:t>
      </w:r>
      <w:hyperlink r:id="rId13" w:history="1">
        <w:r w:rsidRPr="005E3CE6">
          <w:rPr>
            <w:rStyle w:val="Hyperlink"/>
          </w:rPr>
          <w:t>http://www.itu.int/en/ITU-T/inr/forms/Pages/iin.aspx</w:t>
        </w:r>
      </w:hyperlink>
      <w:r>
        <w:t xml:space="preserve">. Para cuestiones relativas a la condición de miembro, sírvase visitar la página: </w:t>
      </w:r>
      <w:hyperlink r:id="rId14" w:history="1">
        <w:r w:rsidRPr="005E3CE6">
          <w:rPr>
            <w:rStyle w:val="Hyperlink"/>
          </w:rPr>
          <w:t>http://www.itu.int/online/mm/scripts/gensel8</w:t>
        </w:r>
      </w:hyperlink>
      <w:r>
        <w:t xml:space="preserve">. Un Miembro de Sector figura señalado con una </w:t>
      </w:r>
      <w:r w:rsidR="00656571">
        <w:t>"</w:t>
      </w:r>
      <w:r>
        <w:t>X</w:t>
      </w:r>
      <w:r w:rsidR="00656571">
        <w:t>"</w:t>
      </w:r>
      <w:r>
        <w:t xml:space="preserve"> en las columnas </w:t>
      </w:r>
      <w:r w:rsidR="00656571">
        <w:t>"</w:t>
      </w:r>
      <w:r>
        <w:t>UIT-T</w:t>
      </w:r>
      <w:r w:rsidR="00656571">
        <w:t>"</w:t>
      </w:r>
      <w:r>
        <w:t xml:space="preserve"> y/o </w:t>
      </w:r>
      <w:r w:rsidR="00656571">
        <w:t>"</w:t>
      </w:r>
      <w:r>
        <w:t>UIT-R</w:t>
      </w:r>
      <w:r w:rsidR="00656571">
        <w:t>"</w:t>
      </w:r>
      <w:r>
        <w:t>.</w:t>
      </w:r>
    </w:p>
    <w:p w:rsidR="00C835CC" w:rsidRDefault="00C835CC" w:rsidP="00C835CC">
      <w:r>
        <w:t>7</w:t>
      </w:r>
      <w:r>
        <w:tab/>
        <w:t>Puede dirigir sus comentarios a:</w:t>
      </w:r>
    </w:p>
    <w:p w:rsidR="00C835CC" w:rsidRDefault="00C835CC" w:rsidP="00656571">
      <w:pPr>
        <w:spacing w:before="0"/>
        <w:ind w:left="794"/>
      </w:pPr>
      <w:r w:rsidRPr="00C835CC">
        <w:t>Boletín de Explotación y Administración de Numeración</w:t>
      </w:r>
    </w:p>
    <w:p w:rsidR="00C835CC" w:rsidRDefault="00C835CC" w:rsidP="00656571">
      <w:pPr>
        <w:spacing w:before="0"/>
        <w:ind w:left="794"/>
      </w:pPr>
      <w:r>
        <w:t>Unión Internacional de Telecomunicaciones</w:t>
      </w:r>
    </w:p>
    <w:p w:rsidR="00C835CC" w:rsidRDefault="00C835CC" w:rsidP="00656571">
      <w:pPr>
        <w:spacing w:before="0"/>
        <w:ind w:left="794"/>
      </w:pPr>
      <w:r>
        <w:t>Oficina de Normalización de las Telecomunicaciones</w:t>
      </w:r>
    </w:p>
    <w:p w:rsidR="00C835CC" w:rsidRPr="000C26A9" w:rsidRDefault="00C835CC" w:rsidP="00656571">
      <w:pPr>
        <w:spacing w:before="0"/>
        <w:ind w:left="794"/>
        <w:rPr>
          <w:lang w:val="fr-CH"/>
        </w:rPr>
      </w:pPr>
      <w:r w:rsidRPr="000C26A9">
        <w:rPr>
          <w:lang w:val="fr-CH"/>
        </w:rPr>
        <w:t xml:space="preserve">Place des Nations, CH-1211 GINEBRA 20, </w:t>
      </w:r>
      <w:proofErr w:type="spellStart"/>
      <w:r w:rsidRPr="000C26A9">
        <w:rPr>
          <w:lang w:val="fr-CH"/>
        </w:rPr>
        <w:t>Suiza</w:t>
      </w:r>
      <w:proofErr w:type="spellEnd"/>
    </w:p>
    <w:p w:rsidR="00C835CC" w:rsidRDefault="00C835CC" w:rsidP="00656571">
      <w:pPr>
        <w:spacing w:before="0"/>
        <w:ind w:left="794"/>
      </w:pPr>
      <w:r>
        <w:t>Tel</w:t>
      </w:r>
      <w:r w:rsidR="00CE6DB6">
        <w:t>.</w:t>
      </w:r>
      <w:r>
        <w:t>: +41 22 730 5211</w:t>
      </w:r>
    </w:p>
    <w:p w:rsidR="00C835CC" w:rsidRDefault="00C835CC" w:rsidP="00656571">
      <w:pPr>
        <w:spacing w:before="0"/>
        <w:ind w:left="794"/>
      </w:pPr>
      <w:r>
        <w:t>Fax: +41 22 730 5853</w:t>
      </w:r>
    </w:p>
    <w:p w:rsidR="00C835CC" w:rsidRDefault="00C835CC" w:rsidP="00656571">
      <w:pPr>
        <w:spacing w:before="0"/>
        <w:ind w:left="794"/>
      </w:pPr>
      <w:r>
        <w:t xml:space="preserve">Correo-e: </w:t>
      </w:r>
      <w:hyperlink r:id="rId15" w:history="1">
        <w:r w:rsidRPr="005E3CE6">
          <w:rPr>
            <w:rStyle w:val="Hyperlink"/>
          </w:rPr>
          <w:t>tsbtson@itu.int</w:t>
        </w:r>
      </w:hyperlink>
    </w:p>
    <w:p w:rsidR="00FC6D1C" w:rsidRDefault="00C835CC" w:rsidP="00FC6D1C">
      <w:r>
        <w:t xml:space="preserve">Parta cuestiones relacionadas con la condición de miembro, sírvase dirigirse a la dirección </w:t>
      </w:r>
      <w:hyperlink r:id="rId16" w:history="1">
        <w:r w:rsidRPr="005E3CE6">
          <w:rPr>
            <w:rStyle w:val="Hyperlink"/>
          </w:rPr>
          <w:t>itu-tmembership@itu.int</w:t>
        </w:r>
      </w:hyperlink>
      <w:r w:rsidR="00CE6DB6">
        <w:t>.</w:t>
      </w:r>
    </w:p>
    <w:p w:rsidR="00C835CC" w:rsidRDefault="00C835CC" w:rsidP="00FC6D1C">
      <w:r>
        <w:t>Atentamente</w:t>
      </w:r>
      <w:r w:rsidR="000C26A9">
        <w:t>,</w:t>
      </w:r>
    </w:p>
    <w:p w:rsidR="00FF4E9C" w:rsidRDefault="00FF4E9C" w:rsidP="00FC6D1C"/>
    <w:p w:rsidR="00FF4E9C" w:rsidRDefault="00FF4E9C" w:rsidP="00FC6D1C">
      <w:bookmarkStart w:id="0" w:name="_GoBack"/>
      <w:bookmarkEnd w:id="0"/>
    </w:p>
    <w:p w:rsidR="00401C20" w:rsidRPr="00747C90" w:rsidRDefault="00AF3479" w:rsidP="00FF4E9C">
      <w:pPr>
        <w:spacing w:before="0"/>
      </w:pPr>
      <w:r w:rsidRPr="00747C90">
        <w:t>Chaesub Lee</w:t>
      </w:r>
      <w:r w:rsidR="00C34772" w:rsidRPr="00747C90">
        <w:br/>
        <w:t>Director de la Oficina de</w:t>
      </w:r>
      <w:r w:rsidR="00C34772" w:rsidRPr="00747C90">
        <w:br/>
        <w:t>Normalización de las Telecomunicaciones</w:t>
      </w:r>
    </w:p>
    <w:sectPr w:rsidR="00401C20" w:rsidRPr="00747C90">
      <w:head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CD" w:rsidRDefault="00251BCD">
      <w:r>
        <w:separator/>
      </w:r>
    </w:p>
  </w:endnote>
  <w:endnote w:type="continuationSeparator" w:id="0">
    <w:p w:rsidR="00251BCD" w:rsidRDefault="002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C7" w:rsidRDefault="006E0858" w:rsidP="007D1C91">
    <w:pPr>
      <w:pStyle w:val="FirstFooter"/>
      <w:ind w:left="-397" w:right="-397"/>
      <w:jc w:val="center"/>
      <w:rPr>
        <w:szCs w:val="18"/>
      </w:rPr>
    </w:pPr>
    <w:r w:rsidRPr="00251BCD">
      <w:rPr>
        <w:szCs w:val="18"/>
      </w:rPr>
      <w:t>Unión Internacional de Telecomunicaciones • Place des Nations, CH</w:t>
    </w:r>
    <w:r w:rsidRPr="00251BCD">
      <w:rPr>
        <w:szCs w:val="18"/>
      </w:rPr>
      <w:noBreakHyphen/>
      <w:t xml:space="preserve">1211 Ginebra 20, Suiza </w:t>
    </w:r>
    <w:r w:rsidRPr="00251BCD">
      <w:rPr>
        <w:szCs w:val="18"/>
      </w:rPr>
      <w:br/>
      <w:t>Tel</w:t>
    </w:r>
    <w:r w:rsidR="00E41379">
      <w:rPr>
        <w:szCs w:val="18"/>
      </w:rPr>
      <w:t>.</w:t>
    </w:r>
    <w:r w:rsidRPr="00251BCD">
      <w:rPr>
        <w:szCs w:val="18"/>
      </w:rPr>
      <w:t xml:space="preserve">: +41 22 730 5111 • Fax: +41 22 733 7256 • Correo-e: </w:t>
    </w:r>
    <w:hyperlink r:id="rId1" w:history="1">
      <w:r w:rsidRPr="00251BCD">
        <w:rPr>
          <w:rStyle w:val="Hyperlink"/>
        </w:rPr>
        <w:t>itumail@itu.int</w:t>
      </w:r>
    </w:hyperlink>
    <w:r w:rsidRPr="00251BCD">
      <w:rPr>
        <w:szCs w:val="18"/>
      </w:rPr>
      <w:t xml:space="preserve"> • </w:t>
    </w:r>
    <w:hyperlink r:id="rId2" w:history="1">
      <w:r w:rsidRPr="00251BCD">
        <w:rPr>
          <w:rStyle w:val="Hyperlink"/>
        </w:rPr>
        <w:t>www.itu.int</w:t>
      </w:r>
    </w:hyperlink>
    <w:r w:rsidRPr="00251BC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CD" w:rsidRDefault="00251BCD">
      <w:r>
        <w:t>____________________</w:t>
      </w:r>
    </w:p>
  </w:footnote>
  <w:footnote w:type="continuationSeparator" w:id="0">
    <w:p w:rsidR="00251BCD" w:rsidRDefault="002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FF4E9C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CD"/>
    <w:rsid w:val="00002529"/>
    <w:rsid w:val="00022615"/>
    <w:rsid w:val="000414D0"/>
    <w:rsid w:val="00056F9C"/>
    <w:rsid w:val="00095876"/>
    <w:rsid w:val="000C26A9"/>
    <w:rsid w:val="000C382F"/>
    <w:rsid w:val="000D1637"/>
    <w:rsid w:val="001173CC"/>
    <w:rsid w:val="00137E25"/>
    <w:rsid w:val="001549A6"/>
    <w:rsid w:val="00154AF8"/>
    <w:rsid w:val="001A54CC"/>
    <w:rsid w:val="001C1F9F"/>
    <w:rsid w:val="001F3718"/>
    <w:rsid w:val="002045F5"/>
    <w:rsid w:val="00221291"/>
    <w:rsid w:val="00251BCD"/>
    <w:rsid w:val="00257FB4"/>
    <w:rsid w:val="00270279"/>
    <w:rsid w:val="002B30E2"/>
    <w:rsid w:val="002F396B"/>
    <w:rsid w:val="00303D62"/>
    <w:rsid w:val="00306D15"/>
    <w:rsid w:val="00313386"/>
    <w:rsid w:val="00335367"/>
    <w:rsid w:val="00370C2D"/>
    <w:rsid w:val="003809DF"/>
    <w:rsid w:val="003D1E8D"/>
    <w:rsid w:val="003D673B"/>
    <w:rsid w:val="003F2855"/>
    <w:rsid w:val="00401C20"/>
    <w:rsid w:val="0041566A"/>
    <w:rsid w:val="00454A96"/>
    <w:rsid w:val="004B4200"/>
    <w:rsid w:val="004B6CC7"/>
    <w:rsid w:val="004C4144"/>
    <w:rsid w:val="004C5D45"/>
    <w:rsid w:val="005100F7"/>
    <w:rsid w:val="005734CD"/>
    <w:rsid w:val="00582AE6"/>
    <w:rsid w:val="00656571"/>
    <w:rsid w:val="00695CBC"/>
    <w:rsid w:val="006969B4"/>
    <w:rsid w:val="006B5E10"/>
    <w:rsid w:val="006E0858"/>
    <w:rsid w:val="006E6B4B"/>
    <w:rsid w:val="00747C90"/>
    <w:rsid w:val="00766C24"/>
    <w:rsid w:val="00781E2A"/>
    <w:rsid w:val="007A2390"/>
    <w:rsid w:val="007D1C91"/>
    <w:rsid w:val="00811D78"/>
    <w:rsid w:val="008258C2"/>
    <w:rsid w:val="008505BD"/>
    <w:rsid w:val="00850C78"/>
    <w:rsid w:val="008C17AD"/>
    <w:rsid w:val="008D02CD"/>
    <w:rsid w:val="00905238"/>
    <w:rsid w:val="0095172A"/>
    <w:rsid w:val="0096668E"/>
    <w:rsid w:val="00991430"/>
    <w:rsid w:val="009C2E08"/>
    <w:rsid w:val="009C786F"/>
    <w:rsid w:val="00A27522"/>
    <w:rsid w:val="00A5218B"/>
    <w:rsid w:val="00A54E47"/>
    <w:rsid w:val="00AE7093"/>
    <w:rsid w:val="00AF3479"/>
    <w:rsid w:val="00B214EE"/>
    <w:rsid w:val="00B422BC"/>
    <w:rsid w:val="00B43F77"/>
    <w:rsid w:val="00B85161"/>
    <w:rsid w:val="00B95F0A"/>
    <w:rsid w:val="00B96180"/>
    <w:rsid w:val="00C05691"/>
    <w:rsid w:val="00C07C30"/>
    <w:rsid w:val="00C17AC0"/>
    <w:rsid w:val="00C34772"/>
    <w:rsid w:val="00C60891"/>
    <w:rsid w:val="00C835CC"/>
    <w:rsid w:val="00C8745F"/>
    <w:rsid w:val="00C959A3"/>
    <w:rsid w:val="00CA04FE"/>
    <w:rsid w:val="00CB51CD"/>
    <w:rsid w:val="00CD2707"/>
    <w:rsid w:val="00CD591A"/>
    <w:rsid w:val="00CE6DB6"/>
    <w:rsid w:val="00CF35DC"/>
    <w:rsid w:val="00D357B0"/>
    <w:rsid w:val="00D81346"/>
    <w:rsid w:val="00DB3EB3"/>
    <w:rsid w:val="00DD77C9"/>
    <w:rsid w:val="00DE2ED8"/>
    <w:rsid w:val="00DF39D2"/>
    <w:rsid w:val="00E13E97"/>
    <w:rsid w:val="00E41379"/>
    <w:rsid w:val="00E60B65"/>
    <w:rsid w:val="00E839B0"/>
    <w:rsid w:val="00E9195D"/>
    <w:rsid w:val="00E92C09"/>
    <w:rsid w:val="00EA4FAE"/>
    <w:rsid w:val="00EF24E2"/>
    <w:rsid w:val="00F33B2E"/>
    <w:rsid w:val="00F6461F"/>
    <w:rsid w:val="00FC6D1C"/>
    <w:rsid w:val="00FD2B2D"/>
    <w:rsid w:val="00FF4E9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D38D9959-51C7-4617-AC3F-8DDBD97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6B5E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E10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2B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inr/forms/Pages/iin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tu-tmembership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tsbtson@itu.int" TargetMode="External"/><Relationship Id="rId10" Type="http://schemas.openxmlformats.org/officeDocument/2006/relationships/hyperlink" Target="http://www.itu.int/rec/T-REC-E.118-200605-I/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online/mm/scripts/gensel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9C2B-5C88-450E-83D7-E372CBE5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4</TotalTime>
  <Pages>2</Pages>
  <Words>590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4002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243S.DOCX  For: _x000d_Document date: _x000d_Saved by ITU51011599 at 16:44:35 on 27/09/2016</dc:description>
  <cp:lastModifiedBy>Osvath, Alexandra</cp:lastModifiedBy>
  <cp:revision>4</cp:revision>
  <cp:lastPrinted>2017-08-22T08:40:00Z</cp:lastPrinted>
  <dcterms:created xsi:type="dcterms:W3CDTF">2017-08-22T08:08:00Z</dcterms:created>
  <dcterms:modified xsi:type="dcterms:W3CDTF">2017-08-22T08:40:00Z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