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485D5A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485D5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CA47E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CA47E5">
              <w:rPr>
                <w:rFonts w:eastAsiaTheme="minorEastAsia"/>
                <w:lang w:eastAsia="zh-CN"/>
              </w:rPr>
              <w:t>12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CA47E5">
              <w:rPr>
                <w:rFonts w:eastAsiaTheme="minorEastAsia" w:hint="cs"/>
                <w:rtl/>
                <w:lang w:eastAsia="zh-CN" w:bidi="ar-EG"/>
              </w:rPr>
              <w:t>يوليو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B0200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Default="00A15845" w:rsidP="00B0200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485D5A">
              <w:rPr>
                <w:rFonts w:eastAsiaTheme="minorEastAsia"/>
                <w:b/>
                <w:lang w:eastAsia="zh-CN" w:bidi="ar-SY"/>
              </w:rPr>
              <w:t> </w:t>
            </w:r>
            <w:r w:rsidR="00CA47E5">
              <w:rPr>
                <w:rFonts w:eastAsiaTheme="minorEastAsia"/>
                <w:b/>
                <w:lang w:eastAsia="zh-CN" w:bidi="ar-SY"/>
              </w:rPr>
              <w:t>40</w:t>
            </w:r>
          </w:p>
          <w:p w:rsidR="00AA5BC2" w:rsidRPr="00A15845" w:rsidRDefault="00AA5BC2" w:rsidP="00B0200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954174">
              <w:t>SG</w:t>
            </w:r>
            <w:r>
              <w:t>1</w:t>
            </w:r>
            <w:r w:rsidRPr="00954174">
              <w:t>5/</w:t>
            </w:r>
            <w:r>
              <w:t>HO</w:t>
            </w:r>
          </w:p>
        </w:tc>
        <w:tc>
          <w:tcPr>
            <w:tcW w:w="2470" w:type="pct"/>
            <w:vMerge w:val="restart"/>
          </w:tcPr>
          <w:p w:rsidR="00A15845" w:rsidRDefault="00425492" w:rsidP="00B0200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425492" w:rsidRPr="00CA47E5" w:rsidRDefault="00425492" w:rsidP="00B0200C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highlight w:val="yellow"/>
                <w:lang w:bidi="ar-EG"/>
              </w:rPr>
            </w:pPr>
            <w:r w:rsidRPr="00CA47E5">
              <w:rPr>
                <w:rFonts w:hint="cs"/>
                <w:rtl/>
              </w:rPr>
              <w:t>-</w:t>
            </w:r>
            <w:r w:rsidRPr="00CA47E5">
              <w:rPr>
                <w:rtl/>
              </w:rPr>
              <w:tab/>
            </w:r>
            <w:r w:rsidRPr="00CA47E5">
              <w:rPr>
                <w:rFonts w:hint="cs"/>
                <w:rtl/>
              </w:rPr>
              <w:t>إدارات الدول الأعضاء في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B0200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AA5BC2" w:rsidP="00B0200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AA5BC2">
              <w:rPr>
                <w:rFonts w:eastAsiaTheme="minorEastAsia"/>
                <w:lang w:eastAsia="zh-CN" w:bidi="ar-SY"/>
              </w:rPr>
              <w:t>+41</w:t>
            </w:r>
            <w:r w:rsidR="00B0200C">
              <w:rPr>
                <w:rFonts w:eastAsiaTheme="minorEastAsia"/>
                <w:lang w:eastAsia="zh-CN" w:bidi="ar-SY"/>
              </w:rPr>
              <w:t> </w:t>
            </w:r>
            <w:r w:rsidRPr="00AA5BC2">
              <w:rPr>
                <w:rFonts w:eastAsiaTheme="minorEastAsia"/>
                <w:lang w:eastAsia="zh-CN" w:bidi="ar-SY"/>
              </w:rPr>
              <w:t>22</w:t>
            </w:r>
            <w:r w:rsidR="00B0200C">
              <w:rPr>
                <w:rFonts w:eastAsiaTheme="minorEastAsia"/>
                <w:lang w:eastAsia="zh-CN" w:bidi="ar-SY"/>
              </w:rPr>
              <w:t> </w:t>
            </w:r>
            <w:r w:rsidRPr="00AA5BC2">
              <w:rPr>
                <w:rFonts w:eastAsiaTheme="minorEastAsia"/>
                <w:lang w:eastAsia="zh-CN" w:bidi="ar-SY"/>
              </w:rPr>
              <w:t>730</w:t>
            </w:r>
            <w:r w:rsidR="00B0200C">
              <w:rPr>
                <w:rFonts w:eastAsiaTheme="minorEastAsia"/>
                <w:lang w:eastAsia="zh-CN" w:bidi="ar-SY"/>
              </w:rPr>
              <w:t> </w:t>
            </w:r>
            <w:r w:rsidRPr="00AA5BC2">
              <w:rPr>
                <w:rFonts w:eastAsiaTheme="minorEastAsia"/>
                <w:lang w:eastAsia="zh-CN" w:bidi="ar-SY"/>
              </w:rPr>
              <w:t>6356</w:t>
            </w:r>
          </w:p>
        </w:tc>
        <w:tc>
          <w:tcPr>
            <w:tcW w:w="2470" w:type="pct"/>
            <w:vMerge/>
          </w:tcPr>
          <w:p w:rsidR="00A15845" w:rsidRPr="00A15845" w:rsidRDefault="00A15845" w:rsidP="00B0200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B0200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AA5BC2" w:rsidP="00B0200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AA5BC2">
              <w:rPr>
                <w:rFonts w:eastAsiaTheme="minorEastAsia"/>
                <w:lang w:val="en-GB" w:eastAsia="zh-CN" w:bidi="ar-SY"/>
              </w:rPr>
              <w:t>+41</w:t>
            </w:r>
            <w:r w:rsidR="00B0200C">
              <w:rPr>
                <w:rFonts w:eastAsiaTheme="minorEastAsia"/>
                <w:lang w:val="en-GB" w:eastAsia="zh-CN" w:bidi="ar-SY"/>
              </w:rPr>
              <w:t> </w:t>
            </w:r>
            <w:r w:rsidRPr="00AA5BC2">
              <w:rPr>
                <w:rFonts w:eastAsiaTheme="minorEastAsia"/>
                <w:lang w:val="en-GB" w:eastAsia="zh-CN" w:bidi="ar-SY"/>
              </w:rPr>
              <w:t>22</w:t>
            </w:r>
            <w:r w:rsidR="00B0200C">
              <w:rPr>
                <w:rFonts w:eastAsiaTheme="minorEastAsia"/>
                <w:lang w:val="en-GB" w:eastAsia="zh-CN" w:bidi="ar-SY"/>
              </w:rPr>
              <w:t> </w:t>
            </w:r>
            <w:r w:rsidRPr="00AA5BC2">
              <w:rPr>
                <w:rFonts w:eastAsiaTheme="minorEastAsia"/>
                <w:lang w:val="en-GB" w:eastAsia="zh-CN" w:bidi="ar-SY"/>
              </w:rPr>
              <w:t>730</w:t>
            </w:r>
            <w:r w:rsidR="00B0200C">
              <w:rPr>
                <w:rFonts w:eastAsiaTheme="minorEastAsia"/>
                <w:lang w:val="en-GB" w:eastAsia="zh-CN" w:bidi="ar-SY"/>
              </w:rPr>
              <w:t> </w:t>
            </w:r>
            <w:r w:rsidRPr="00AA5BC2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A15845" w:rsidRDefault="00A15845" w:rsidP="00B0200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B0200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F920D0" w:rsidP="00B0200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BF738B" w:rsidRPr="00BF738B">
                <w:rPr>
                  <w:rStyle w:val="Hyperlink"/>
                  <w:rFonts w:eastAsiaTheme="minorEastAsia"/>
                  <w:lang w:eastAsia="zh-CN" w:bidi="ar-SY"/>
                </w:rPr>
                <w:t>tsbsg15@itu.int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B0200C">
            <w:pPr>
              <w:tabs>
                <w:tab w:val="left" w:pos="284"/>
                <w:tab w:val="left" w:pos="4111"/>
              </w:tabs>
              <w:spacing w:before="40" w:after="40" w:line="340" w:lineRule="exact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AA5BC2" w:rsidRPr="00AA5BC2" w:rsidRDefault="00AA5BC2" w:rsidP="00B0200C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</w:rPr>
            </w:pPr>
            <w:r w:rsidRPr="00AA5BC2">
              <w:rPr>
                <w:rFonts w:hint="cs"/>
                <w:rtl/>
              </w:rPr>
              <w:t>-</w:t>
            </w:r>
            <w:r w:rsidRPr="00AA5BC2">
              <w:rPr>
                <w:rtl/>
              </w:rPr>
              <w:tab/>
            </w:r>
            <w:r w:rsidRPr="00AA5BC2">
              <w:rPr>
                <w:rFonts w:hint="cs"/>
                <w:rtl/>
              </w:rPr>
              <w:t xml:space="preserve">أعضاء قطاع تقييس الاتصالات في </w:t>
            </w:r>
            <w:r w:rsidR="000D7AFE">
              <w:rPr>
                <w:rFonts w:hint="cs"/>
                <w:rtl/>
              </w:rPr>
              <w:t>الاتحاد</w:t>
            </w:r>
            <w:r w:rsidRPr="00AA5BC2">
              <w:rPr>
                <w:rFonts w:hint="cs"/>
                <w:rtl/>
              </w:rPr>
              <w:t>؛</w:t>
            </w:r>
          </w:p>
          <w:p w:rsidR="00AA5BC2" w:rsidRPr="00AA5BC2" w:rsidRDefault="00AA5BC2" w:rsidP="00B0200C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</w:rPr>
            </w:pPr>
            <w:r w:rsidRPr="00AA5BC2">
              <w:rPr>
                <w:rFonts w:hint="cs"/>
                <w:rtl/>
              </w:rPr>
              <w:t>-</w:t>
            </w:r>
            <w:r w:rsidRPr="00AA5BC2">
              <w:rPr>
                <w:rtl/>
              </w:rPr>
              <w:tab/>
            </w:r>
            <w:r w:rsidRPr="00AA5BC2">
              <w:rPr>
                <w:rFonts w:hint="cs"/>
                <w:rtl/>
              </w:rPr>
              <w:t>المنتسبين إلى قطاع تقييس الاتصالات؛</w:t>
            </w:r>
          </w:p>
          <w:p w:rsidR="00AA5BC2" w:rsidRPr="00AA5BC2" w:rsidRDefault="00AA5BC2" w:rsidP="00B0200C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</w:pPr>
            <w:r w:rsidRPr="00AA5BC2">
              <w:rPr>
                <w:rFonts w:hint="cs"/>
                <w:rtl/>
              </w:rPr>
              <w:t>-</w:t>
            </w:r>
            <w:r w:rsidRPr="00AA5BC2">
              <w:rPr>
                <w:rtl/>
                <w:lang w:bidi="ar-EG"/>
              </w:rPr>
              <w:tab/>
            </w:r>
            <w:r w:rsidRPr="00AA5BC2">
              <w:rPr>
                <w:rFonts w:hint="cs"/>
                <w:rtl/>
                <w:lang w:bidi="ar-EG"/>
              </w:rPr>
              <w:t>الهيئات الأكاديمية المنضمة إلى الاتحاد</w:t>
            </w:r>
            <w:r w:rsidR="007612C8">
              <w:rPr>
                <w:rFonts w:hint="cs"/>
                <w:rtl/>
              </w:rPr>
              <w:t>؛</w:t>
            </w:r>
          </w:p>
          <w:p w:rsidR="00AA5BC2" w:rsidRPr="00AA5BC2" w:rsidRDefault="00AA5BC2" w:rsidP="00B0200C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  <w:lang w:bidi="ar-EG"/>
              </w:rPr>
            </w:pPr>
            <w:r w:rsidRPr="00AA5BC2">
              <w:rPr>
                <w:rFonts w:hint="cs"/>
                <w:rtl/>
              </w:rPr>
              <w:t>-</w:t>
            </w:r>
            <w:r w:rsidRPr="00AA5BC2">
              <w:rPr>
                <w:rtl/>
              </w:rPr>
              <w:tab/>
            </w:r>
            <w:r w:rsidRPr="00AA5BC2">
              <w:rPr>
                <w:rFonts w:hint="cs"/>
                <w:rtl/>
              </w:rPr>
              <w:t xml:space="preserve">رئيس لجنة الدراسات </w:t>
            </w:r>
            <w:r w:rsidRPr="00AA5BC2">
              <w:t>15</w:t>
            </w:r>
            <w:r w:rsidRPr="00AA5BC2">
              <w:rPr>
                <w:rFonts w:hint="cs"/>
                <w:rtl/>
                <w:lang w:bidi="ar-EG"/>
              </w:rPr>
              <w:t xml:space="preserve"> لقطاع تقييس الاتصالات ونوابه؛</w:t>
            </w:r>
          </w:p>
          <w:p w:rsidR="00AA5BC2" w:rsidRPr="00AA5BC2" w:rsidRDefault="00AA5BC2" w:rsidP="00B0200C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</w:rPr>
            </w:pPr>
            <w:r w:rsidRPr="00AA5BC2">
              <w:rPr>
                <w:rFonts w:hint="cs"/>
                <w:rtl/>
              </w:rPr>
              <w:t>-</w:t>
            </w:r>
            <w:r w:rsidRPr="00AA5BC2">
              <w:rPr>
                <w:rtl/>
              </w:rPr>
              <w:tab/>
              <w:t>مدير مكتب تنمية الاتصالات</w:t>
            </w:r>
            <w:r w:rsidRPr="00AA5BC2">
              <w:rPr>
                <w:rFonts w:hint="cs"/>
                <w:rtl/>
              </w:rPr>
              <w:t>؛</w:t>
            </w:r>
          </w:p>
          <w:p w:rsidR="00A15845" w:rsidRPr="00A15845" w:rsidRDefault="00AA5BC2" w:rsidP="00B0200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284" w:hanging="284"/>
              <w:jc w:val="left"/>
              <w:rPr>
                <w:rFonts w:eastAsiaTheme="minorEastAsia"/>
                <w:rtl/>
                <w:lang w:eastAsia="zh-CN"/>
              </w:rPr>
            </w:pPr>
            <w:r w:rsidRPr="00AA5BC2">
              <w:rPr>
                <w:rFonts w:hint="cs"/>
                <w:rtl/>
              </w:rPr>
              <w:t>-</w:t>
            </w:r>
            <w:r w:rsidRPr="00AA5BC2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C34D7D" w:rsidRDefault="00AA61F6" w:rsidP="00C34D7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spacing w:val="-2"/>
                <w:rtl/>
                <w:lang w:eastAsia="zh-CN" w:bidi="ar-EG"/>
              </w:rPr>
            </w:pPr>
            <w:r w:rsidRPr="00C34D7D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حالة التوصية </w:t>
            </w:r>
            <w:r w:rsidRPr="00C34D7D">
              <w:rPr>
                <w:rFonts w:eastAsiaTheme="minorEastAsia"/>
                <w:b/>
                <w:bCs/>
                <w:spacing w:val="-2"/>
                <w:lang w:val="en-GB" w:eastAsia="zh-CN"/>
              </w:rPr>
              <w:t>ITU-T</w:t>
            </w:r>
            <w:r w:rsidR="00C34D7D" w:rsidRPr="00C34D7D">
              <w:rPr>
                <w:rFonts w:eastAsiaTheme="minorEastAsia"/>
                <w:b/>
                <w:bCs/>
                <w:spacing w:val="-2"/>
                <w:lang w:val="en-GB" w:eastAsia="zh-CN"/>
              </w:rPr>
              <w:t> </w:t>
            </w:r>
            <w:r w:rsidRPr="00C34D7D">
              <w:rPr>
                <w:rFonts w:eastAsiaTheme="minorEastAsia"/>
                <w:b/>
                <w:bCs/>
                <w:spacing w:val="-2"/>
                <w:lang w:val="en-GB" w:eastAsia="zh-CN"/>
              </w:rPr>
              <w:t>G.9700 (2014) Amd.2</w:t>
            </w:r>
            <w:r w:rsidRPr="00C34D7D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 والتوصية </w:t>
            </w:r>
            <w:r w:rsidRPr="00C34D7D">
              <w:rPr>
                <w:rFonts w:eastAsiaTheme="minorEastAsia"/>
                <w:b/>
                <w:bCs/>
                <w:spacing w:val="-2"/>
                <w:lang w:val="en-GB" w:eastAsia="zh-CN"/>
              </w:rPr>
              <w:t>ITU-T</w:t>
            </w:r>
            <w:r w:rsidR="00C34D7D" w:rsidRPr="00C34D7D">
              <w:rPr>
                <w:rFonts w:eastAsiaTheme="minorEastAsia"/>
                <w:b/>
                <w:bCs/>
                <w:spacing w:val="-2"/>
                <w:lang w:val="en-GB" w:eastAsia="zh-CN"/>
              </w:rPr>
              <w:t> </w:t>
            </w:r>
            <w:r w:rsidRPr="00C34D7D">
              <w:rPr>
                <w:rFonts w:eastAsiaTheme="minorEastAsia"/>
                <w:b/>
                <w:bCs/>
                <w:spacing w:val="-2"/>
                <w:lang w:val="en-GB" w:eastAsia="zh-CN"/>
              </w:rPr>
              <w:t>G.9901</w:t>
            </w:r>
            <w:r w:rsidRPr="00C34D7D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 </w:t>
            </w:r>
            <w:r w:rsidRPr="00C34D7D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>بعد اجتماع لجنة الدراسات</w:t>
            </w:r>
            <w:r w:rsidRPr="00C34D7D">
              <w:rPr>
                <w:rFonts w:eastAsiaTheme="minorEastAsia" w:hint="eastAsia"/>
                <w:b/>
                <w:bCs/>
                <w:spacing w:val="-2"/>
                <w:rtl/>
                <w:lang w:eastAsia="zh-CN" w:bidi="ar-EG"/>
              </w:rPr>
              <w:t> </w:t>
            </w:r>
            <w:r w:rsidRPr="00C34D7D">
              <w:rPr>
                <w:rFonts w:eastAsiaTheme="minorEastAsia"/>
                <w:b/>
                <w:bCs/>
                <w:spacing w:val="-2"/>
                <w:lang w:eastAsia="zh-CN"/>
              </w:rPr>
              <w:t>15</w:t>
            </w:r>
            <w:r w:rsidRPr="00C34D7D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 xml:space="preserve"> لقطاع تقييس الاتصالات (</w:t>
            </w:r>
            <w:r w:rsidR="00F25DB4" w:rsidRPr="00C34D7D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 xml:space="preserve">جنيف، </w:t>
            </w:r>
            <w:r w:rsidRPr="00C34D7D">
              <w:rPr>
                <w:rFonts w:eastAsiaTheme="minorEastAsia"/>
                <w:b/>
                <w:bCs/>
                <w:spacing w:val="-2"/>
                <w:lang w:val="fr-FR" w:eastAsia="zh-CN"/>
              </w:rPr>
              <w:t>30-19</w:t>
            </w:r>
            <w:r w:rsidRPr="00C34D7D">
              <w:rPr>
                <w:rFonts w:eastAsiaTheme="minorEastAsia" w:hint="cs"/>
                <w:b/>
                <w:bCs/>
                <w:spacing w:val="-2"/>
                <w:rtl/>
                <w:lang w:eastAsia="zh-CN"/>
              </w:rPr>
              <w:t xml:space="preserve"> يونيو </w:t>
            </w:r>
            <w:r w:rsidRPr="00C34D7D">
              <w:rPr>
                <w:rFonts w:eastAsiaTheme="minorEastAsia"/>
                <w:b/>
                <w:bCs/>
                <w:spacing w:val="-2"/>
                <w:lang w:eastAsia="zh-CN"/>
              </w:rPr>
              <w:t>2017</w:t>
            </w:r>
            <w:r w:rsidRPr="00C34D7D">
              <w:rPr>
                <w:rFonts w:eastAsiaTheme="minorEastAsia" w:hint="cs"/>
                <w:b/>
                <w:bCs/>
                <w:spacing w:val="-2"/>
                <w:rtl/>
                <w:lang w:eastAsia="zh-CN" w:bidi="ar-EG"/>
              </w:rPr>
              <w:t>)</w:t>
            </w:r>
          </w:p>
        </w:tc>
      </w:tr>
    </w:tbl>
    <w:p w:rsidR="00A15845" w:rsidRPr="00A15845" w:rsidRDefault="00A15845" w:rsidP="00E25C0E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425492" w:rsidRPr="000436AC" w:rsidRDefault="00BE159A" w:rsidP="00043FE5">
      <w:pPr>
        <w:spacing w:after="240"/>
        <w:rPr>
          <w:rFonts w:eastAsiaTheme="minorEastAsia"/>
          <w:spacing w:val="-2"/>
          <w:lang w:eastAsia="zh-CN"/>
        </w:rPr>
      </w:pPr>
      <w:r>
        <w:rPr>
          <w:rFonts w:eastAsiaTheme="minorEastAsia"/>
          <w:spacing w:val="-2"/>
          <w:lang w:eastAsia="zh-CN"/>
        </w:rPr>
        <w:t>1</w:t>
      </w:r>
      <w:r w:rsidRPr="00AC5114">
        <w:rPr>
          <w:rFonts w:hint="cs"/>
          <w:spacing w:val="-2"/>
          <w:rtl/>
          <w:lang w:bidi="ar-EG"/>
        </w:rPr>
        <w:tab/>
      </w:r>
      <w:r w:rsidR="00AA61F6" w:rsidRPr="000436AC">
        <w:rPr>
          <w:rFonts w:eastAsiaTheme="minorEastAsia" w:hint="cs"/>
          <w:spacing w:val="-2"/>
          <w:rtl/>
          <w:lang w:eastAsia="zh-CN"/>
        </w:rPr>
        <w:t xml:space="preserve">إلحاقاً </w:t>
      </w:r>
      <w:r w:rsidR="00D9582D" w:rsidRPr="000436AC">
        <w:rPr>
          <w:rFonts w:eastAsiaTheme="minorEastAsia" w:hint="cs"/>
          <w:spacing w:val="-2"/>
          <w:rtl/>
          <w:lang w:eastAsia="zh-CN" w:bidi="ar-EG"/>
        </w:rPr>
        <w:t>بالرسالة المعممة</w:t>
      </w:r>
      <w:r w:rsidR="0067543E" w:rsidRPr="000436AC">
        <w:rPr>
          <w:rFonts w:eastAsiaTheme="minorEastAsia" w:hint="cs"/>
          <w:spacing w:val="-2"/>
          <w:rtl/>
          <w:lang w:eastAsia="zh-CN" w:bidi="ar-EG"/>
        </w:rPr>
        <w:t xml:space="preserve"> </w:t>
      </w:r>
      <w:hyperlink r:id="rId12" w:history="1">
        <w:r w:rsidR="0067543E" w:rsidRPr="000436AC">
          <w:rPr>
            <w:rStyle w:val="Hyperlink"/>
            <w:rFonts w:eastAsiaTheme="minorEastAsia"/>
            <w:spacing w:val="-2"/>
            <w:lang w:eastAsia="zh-CN" w:bidi="ar-EG"/>
          </w:rPr>
          <w:t>2</w:t>
        </w:r>
      </w:hyperlink>
      <w:r w:rsidR="00D9582D" w:rsidRPr="000436AC">
        <w:rPr>
          <w:rFonts w:eastAsiaTheme="minorEastAsia" w:hint="cs"/>
          <w:spacing w:val="-2"/>
          <w:rtl/>
          <w:lang w:eastAsia="zh-CN" w:bidi="ar-EG"/>
        </w:rPr>
        <w:t xml:space="preserve"> لمكتب تقييس الاتصالات </w:t>
      </w:r>
      <w:r w:rsidR="00AA61F6" w:rsidRPr="000436AC">
        <w:rPr>
          <w:rFonts w:eastAsiaTheme="minorEastAsia" w:hint="cs"/>
          <w:spacing w:val="-2"/>
          <w:rtl/>
          <w:lang w:eastAsia="zh-CN" w:bidi="ar-EG"/>
        </w:rPr>
        <w:t>المؤرخ</w:t>
      </w:r>
      <w:r w:rsidR="00D9582D" w:rsidRPr="000436AC">
        <w:rPr>
          <w:rFonts w:eastAsiaTheme="minorEastAsia" w:hint="cs"/>
          <w:spacing w:val="-2"/>
          <w:rtl/>
          <w:lang w:eastAsia="zh-CN" w:bidi="ar-EG"/>
        </w:rPr>
        <w:t>ة</w:t>
      </w:r>
      <w:r w:rsidR="00AA61F6" w:rsidRPr="000436AC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AA61F6" w:rsidRPr="000436AC">
        <w:rPr>
          <w:rFonts w:eastAsiaTheme="minorEastAsia"/>
          <w:spacing w:val="-2"/>
          <w:lang w:eastAsia="zh-CN" w:bidi="ar-SY"/>
        </w:rPr>
        <w:t>1</w:t>
      </w:r>
      <w:r w:rsidR="00D9582D" w:rsidRPr="000436AC">
        <w:rPr>
          <w:rFonts w:eastAsiaTheme="minorEastAsia"/>
          <w:spacing w:val="-2"/>
          <w:lang w:eastAsia="zh-CN" w:bidi="ar-SY"/>
        </w:rPr>
        <w:t>7</w:t>
      </w:r>
      <w:r w:rsidR="00AA61F6" w:rsidRPr="000436AC">
        <w:rPr>
          <w:rFonts w:eastAsiaTheme="minorEastAsia" w:hint="cs"/>
          <w:spacing w:val="-2"/>
          <w:rtl/>
          <w:lang w:eastAsia="zh-CN" w:bidi="ar-EG"/>
        </w:rPr>
        <w:t xml:space="preserve"> يناير </w:t>
      </w:r>
      <w:r w:rsidR="00AA61F6" w:rsidRPr="000436AC">
        <w:rPr>
          <w:rFonts w:eastAsiaTheme="minorEastAsia"/>
          <w:spacing w:val="-2"/>
          <w:lang w:eastAsia="zh-CN" w:bidi="ar-SY"/>
        </w:rPr>
        <w:t>2017</w:t>
      </w:r>
      <w:r w:rsidR="00AA61F6" w:rsidRPr="000436AC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="00D9582D" w:rsidRPr="000436AC">
        <w:rPr>
          <w:rFonts w:eastAsiaTheme="minorEastAsia" w:hint="cs"/>
          <w:spacing w:val="-2"/>
          <w:rtl/>
          <w:lang w:eastAsia="zh-CN" w:bidi="ar-EG"/>
        </w:rPr>
        <w:t>وعملاً بالقسم</w:t>
      </w:r>
      <w:r w:rsidR="00F03100" w:rsidRPr="000436AC">
        <w:rPr>
          <w:rFonts w:eastAsiaTheme="minorEastAsia" w:hint="eastAsia"/>
          <w:spacing w:val="-2"/>
          <w:rtl/>
          <w:lang w:eastAsia="zh-CN" w:bidi="ar-EG"/>
        </w:rPr>
        <w:t> </w:t>
      </w:r>
      <w:r w:rsidR="00D9582D" w:rsidRPr="000436AC">
        <w:rPr>
          <w:rFonts w:eastAsiaTheme="minorEastAsia"/>
          <w:spacing w:val="-2"/>
          <w:lang w:eastAsia="zh-CN" w:bidi="ar-EG"/>
        </w:rPr>
        <w:t>9</w:t>
      </w:r>
      <w:r w:rsidR="00D9582D" w:rsidRPr="000436AC">
        <w:rPr>
          <w:rFonts w:eastAsiaTheme="minorEastAsia" w:hint="cs"/>
          <w:spacing w:val="-2"/>
          <w:rtl/>
          <w:lang w:eastAsia="zh-CN" w:bidi="ar-EG"/>
        </w:rPr>
        <w:t xml:space="preserve"> من القرار</w:t>
      </w:r>
      <w:r w:rsidR="00F03100" w:rsidRPr="000436AC">
        <w:rPr>
          <w:rFonts w:eastAsiaTheme="minorEastAsia" w:hint="eastAsia"/>
          <w:spacing w:val="-2"/>
          <w:rtl/>
          <w:lang w:eastAsia="zh-CN" w:bidi="ar-EG"/>
        </w:rPr>
        <w:t> </w:t>
      </w:r>
      <w:r w:rsidR="00D9582D" w:rsidRPr="000436AC">
        <w:rPr>
          <w:rFonts w:eastAsiaTheme="minorEastAsia"/>
          <w:spacing w:val="-2"/>
          <w:lang w:eastAsia="zh-CN" w:bidi="ar-EG"/>
        </w:rPr>
        <w:t>1</w:t>
      </w:r>
      <w:r w:rsidR="00D9582D" w:rsidRPr="000436AC">
        <w:rPr>
          <w:rFonts w:eastAsiaTheme="minorEastAsia" w:hint="cs"/>
          <w:spacing w:val="-2"/>
          <w:rtl/>
          <w:lang w:eastAsia="zh-CN" w:bidi="ar-EG"/>
        </w:rPr>
        <w:t xml:space="preserve"> الصادر عن الجمعية العالمية لتقييس الاتصالات (الحمامات، </w:t>
      </w:r>
      <w:r w:rsidR="00D9582D" w:rsidRPr="000436AC">
        <w:rPr>
          <w:rFonts w:eastAsiaTheme="minorEastAsia"/>
          <w:spacing w:val="-2"/>
          <w:lang w:eastAsia="zh-CN" w:bidi="ar-EG"/>
        </w:rPr>
        <w:t>2016</w:t>
      </w:r>
      <w:r w:rsidR="00D9582D" w:rsidRPr="000436AC">
        <w:rPr>
          <w:rFonts w:eastAsiaTheme="minorEastAsia" w:hint="cs"/>
          <w:spacing w:val="-2"/>
          <w:rtl/>
          <w:lang w:eastAsia="zh-CN" w:bidi="ar-EG"/>
        </w:rPr>
        <w:t>)</w:t>
      </w:r>
      <w:r w:rsidR="00AA61F6" w:rsidRPr="000436AC">
        <w:rPr>
          <w:rFonts w:eastAsiaTheme="minorEastAsia" w:hint="cs"/>
          <w:spacing w:val="-2"/>
          <w:rtl/>
          <w:lang w:eastAsia="zh-CN" w:bidi="ar-EG"/>
        </w:rPr>
        <w:t xml:space="preserve">، أود إبلاغكم بأن لجنة الدراسات </w:t>
      </w:r>
      <w:r w:rsidR="00D9582D" w:rsidRPr="000436AC">
        <w:rPr>
          <w:rFonts w:eastAsiaTheme="minorEastAsia"/>
          <w:spacing w:val="-2"/>
          <w:lang w:eastAsia="zh-CN" w:bidi="ar-EG"/>
        </w:rPr>
        <w:t>1</w:t>
      </w:r>
      <w:r w:rsidR="00AA61F6" w:rsidRPr="000436AC">
        <w:rPr>
          <w:rFonts w:eastAsiaTheme="minorEastAsia"/>
          <w:spacing w:val="-2"/>
          <w:lang w:eastAsia="zh-CN" w:bidi="ar-SY"/>
        </w:rPr>
        <w:t>5</w:t>
      </w:r>
      <w:r w:rsidR="00AA61F6" w:rsidRPr="000436AC">
        <w:rPr>
          <w:rFonts w:eastAsiaTheme="minorEastAsia" w:hint="cs"/>
          <w:spacing w:val="-2"/>
          <w:rtl/>
          <w:lang w:eastAsia="zh-CN" w:bidi="ar-EG"/>
        </w:rPr>
        <w:t xml:space="preserve"> لقطاع تقييس الاتصالات توصلت إلى القرار</w:t>
      </w:r>
      <w:r w:rsidR="00D9582D" w:rsidRPr="000436AC">
        <w:rPr>
          <w:rFonts w:eastAsiaTheme="minorEastAsia" w:hint="cs"/>
          <w:spacing w:val="-2"/>
          <w:rtl/>
          <w:lang w:eastAsia="zh-CN" w:bidi="ar-EG"/>
        </w:rPr>
        <w:t>ين</w:t>
      </w:r>
      <w:r w:rsidR="00AA61F6" w:rsidRPr="000436AC">
        <w:rPr>
          <w:rFonts w:eastAsiaTheme="minorEastAsia" w:hint="cs"/>
          <w:spacing w:val="-2"/>
          <w:rtl/>
          <w:lang w:eastAsia="zh-CN" w:bidi="ar-EG"/>
        </w:rPr>
        <w:t xml:space="preserve"> التالي</w:t>
      </w:r>
      <w:r w:rsidR="00D9582D" w:rsidRPr="000436AC">
        <w:rPr>
          <w:rFonts w:eastAsiaTheme="minorEastAsia" w:hint="cs"/>
          <w:spacing w:val="-2"/>
          <w:rtl/>
          <w:lang w:eastAsia="zh-CN" w:bidi="ar-EG"/>
        </w:rPr>
        <w:t>ين</w:t>
      </w:r>
      <w:r w:rsidR="00AA61F6" w:rsidRPr="000436AC">
        <w:rPr>
          <w:rFonts w:eastAsiaTheme="minorEastAsia" w:hint="cs"/>
          <w:spacing w:val="-2"/>
          <w:rtl/>
          <w:lang w:eastAsia="zh-CN" w:bidi="ar-EG"/>
        </w:rPr>
        <w:t xml:space="preserve"> خلال جلستها العامة التي عُقدت في</w:t>
      </w:r>
      <w:r w:rsidR="00AA61F6" w:rsidRPr="000436AC">
        <w:rPr>
          <w:rFonts w:eastAsiaTheme="minorEastAsia" w:hint="eastAsia"/>
          <w:spacing w:val="-2"/>
          <w:rtl/>
          <w:lang w:eastAsia="zh-CN" w:bidi="ar-EG"/>
        </w:rPr>
        <w:t> </w:t>
      </w:r>
      <w:r w:rsidR="00D9582D" w:rsidRPr="000436AC">
        <w:rPr>
          <w:rFonts w:eastAsiaTheme="minorEastAsia"/>
          <w:spacing w:val="-2"/>
          <w:lang w:val="fr-FR" w:eastAsia="zh-CN" w:bidi="ar-SY"/>
        </w:rPr>
        <w:t>30</w:t>
      </w:r>
      <w:r w:rsidR="00AA61F6" w:rsidRPr="000436AC">
        <w:rPr>
          <w:rFonts w:eastAsiaTheme="minorEastAsia" w:hint="eastAsia"/>
          <w:spacing w:val="-2"/>
          <w:rtl/>
          <w:lang w:eastAsia="zh-CN"/>
        </w:rPr>
        <w:t> </w:t>
      </w:r>
      <w:r w:rsidR="00D9582D" w:rsidRPr="000436AC">
        <w:rPr>
          <w:rFonts w:eastAsiaTheme="minorEastAsia" w:hint="cs"/>
          <w:spacing w:val="-2"/>
          <w:rtl/>
          <w:lang w:eastAsia="zh-CN"/>
        </w:rPr>
        <w:t>يونيو</w:t>
      </w:r>
      <w:r w:rsidR="00AA61F6" w:rsidRPr="000436AC">
        <w:rPr>
          <w:rFonts w:eastAsiaTheme="minorEastAsia" w:hint="eastAsia"/>
          <w:spacing w:val="-2"/>
          <w:rtl/>
          <w:lang w:eastAsia="zh-CN"/>
        </w:rPr>
        <w:t> </w:t>
      </w:r>
      <w:r w:rsidR="00AA61F6" w:rsidRPr="000436AC">
        <w:rPr>
          <w:rFonts w:eastAsiaTheme="minorEastAsia"/>
          <w:spacing w:val="-2"/>
          <w:lang w:val="fr-FR" w:eastAsia="zh-CN" w:bidi="ar-SY"/>
        </w:rPr>
        <w:t>2017</w:t>
      </w:r>
      <w:r w:rsidR="00AA61F6" w:rsidRPr="000436AC">
        <w:rPr>
          <w:rFonts w:eastAsiaTheme="minorEastAsia" w:hint="cs"/>
          <w:spacing w:val="-2"/>
          <w:rtl/>
          <w:lang w:eastAsia="zh-CN"/>
        </w:rPr>
        <w:t xml:space="preserve"> فيما يتعلق بمشروعي التوصيتين التاليتين لقطاع تقييس</w:t>
      </w:r>
      <w:r w:rsidR="00AA61F6" w:rsidRPr="000436AC">
        <w:rPr>
          <w:rFonts w:eastAsiaTheme="minorEastAsia" w:hint="eastAsia"/>
          <w:spacing w:val="-2"/>
          <w:rtl/>
          <w:lang w:eastAsia="zh-CN"/>
        </w:rPr>
        <w:t> </w:t>
      </w:r>
      <w:r w:rsidR="00AA61F6" w:rsidRPr="000436AC">
        <w:rPr>
          <w:rFonts w:eastAsiaTheme="minorEastAsia" w:hint="cs"/>
          <w:spacing w:val="-2"/>
          <w:rtl/>
          <w:lang w:eastAsia="zh-CN"/>
        </w:rPr>
        <w:t>الاتصالات: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5946"/>
        <w:gridCol w:w="1276"/>
      </w:tblGrid>
      <w:tr w:rsidR="00AA61F6" w:rsidRPr="00E25C0E" w:rsidTr="00721F8B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AA61F6" w:rsidRPr="00E25C0E" w:rsidRDefault="00AA61F6" w:rsidP="00721F8B">
            <w:pPr>
              <w:pStyle w:val="Tablehead"/>
              <w:spacing w:line="340" w:lineRule="exact"/>
              <w:rPr>
                <w:b w:val="0"/>
                <w:bCs w:val="0"/>
                <w:sz w:val="22"/>
                <w:szCs w:val="30"/>
              </w:rPr>
            </w:pPr>
            <w:r w:rsidRPr="00E25C0E">
              <w:rPr>
                <w:b w:val="0"/>
                <w:sz w:val="22"/>
                <w:szCs w:val="30"/>
                <w:rtl/>
              </w:rPr>
              <w:t>الرقم</w:t>
            </w:r>
          </w:p>
        </w:tc>
        <w:tc>
          <w:tcPr>
            <w:tcW w:w="5946" w:type="dxa"/>
            <w:tcBorders>
              <w:bottom w:val="single" w:sz="12" w:space="0" w:color="auto"/>
            </w:tcBorders>
          </w:tcPr>
          <w:p w:rsidR="00AA61F6" w:rsidRPr="00E25C0E" w:rsidRDefault="00AA61F6" w:rsidP="00721F8B">
            <w:pPr>
              <w:pStyle w:val="Tablehead"/>
              <w:spacing w:line="340" w:lineRule="exact"/>
              <w:rPr>
                <w:b w:val="0"/>
                <w:bCs w:val="0"/>
                <w:sz w:val="22"/>
                <w:szCs w:val="30"/>
              </w:rPr>
            </w:pPr>
            <w:r w:rsidRPr="00E25C0E">
              <w:rPr>
                <w:b w:val="0"/>
                <w:sz w:val="22"/>
                <w:szCs w:val="30"/>
                <w:rtl/>
              </w:rPr>
              <w:t>العنوان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A61F6" w:rsidRPr="00E25C0E" w:rsidRDefault="00AA61F6" w:rsidP="00721F8B">
            <w:pPr>
              <w:pStyle w:val="Tablehead"/>
              <w:spacing w:line="340" w:lineRule="exact"/>
              <w:rPr>
                <w:b w:val="0"/>
                <w:bCs w:val="0"/>
                <w:sz w:val="22"/>
                <w:szCs w:val="30"/>
              </w:rPr>
            </w:pPr>
            <w:r w:rsidRPr="00E25C0E">
              <w:rPr>
                <w:b w:val="0"/>
                <w:sz w:val="22"/>
                <w:szCs w:val="30"/>
                <w:rtl/>
              </w:rPr>
              <w:t>القرار</w:t>
            </w:r>
          </w:p>
        </w:tc>
      </w:tr>
      <w:tr w:rsidR="00AA61F6" w:rsidRPr="00E25C0E" w:rsidTr="00721F8B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AA61F6" w:rsidRPr="00E25C0E" w:rsidRDefault="00F920D0" w:rsidP="00C03BCE">
            <w:pPr>
              <w:pStyle w:val="Tablehead"/>
              <w:spacing w:line="340" w:lineRule="exact"/>
              <w:jc w:val="left"/>
              <w:rPr>
                <w:b w:val="0"/>
                <w:bCs w:val="0"/>
                <w:sz w:val="22"/>
                <w:szCs w:val="30"/>
                <w:rtl/>
              </w:rPr>
            </w:pPr>
            <w:hyperlink r:id="rId13" w:history="1">
              <w:r w:rsidR="00C03BCE" w:rsidRPr="00E25C0E">
                <w:rPr>
                  <w:rStyle w:val="Hyperlink"/>
                  <w:b w:val="0"/>
                  <w:bCs w:val="0"/>
                </w:rPr>
                <w:t>G.9700 (2014) Amd2</w:t>
              </w:r>
            </w:hyperlink>
          </w:p>
        </w:tc>
        <w:tc>
          <w:tcPr>
            <w:tcW w:w="5946" w:type="dxa"/>
            <w:tcBorders>
              <w:bottom w:val="single" w:sz="12" w:space="0" w:color="auto"/>
            </w:tcBorders>
          </w:tcPr>
          <w:p w:rsidR="00AA61F6" w:rsidRPr="00E25C0E" w:rsidRDefault="00AA61F6" w:rsidP="00EA0F07">
            <w:pPr>
              <w:pStyle w:val="Tablehead"/>
              <w:spacing w:line="340" w:lineRule="exact"/>
              <w:jc w:val="both"/>
              <w:rPr>
                <w:bCs w:val="0"/>
                <w:sz w:val="22"/>
                <w:szCs w:val="30"/>
                <w:highlight w:val="yellow"/>
                <w:rtl/>
              </w:rPr>
            </w:pPr>
            <w:r w:rsidRPr="00E25C0E">
              <w:rPr>
                <w:b w:val="0"/>
                <w:bCs w:val="0"/>
                <w:sz w:val="22"/>
                <w:szCs w:val="30"/>
                <w:rtl/>
              </w:rPr>
              <w:t xml:space="preserve">النفاذ السريع إلى مطاريف المشتركين </w:t>
            </w:r>
            <w:r w:rsidRPr="00E25C0E">
              <w:rPr>
                <w:b w:val="0"/>
                <w:bCs w:val="0"/>
                <w:sz w:val="22"/>
                <w:szCs w:val="30"/>
                <w:lang w:val="en-GB" w:bidi="ar-SA"/>
              </w:rPr>
              <w:t>(</w:t>
            </w:r>
            <w:proofErr w:type="spellStart"/>
            <w:r w:rsidRPr="00E25C0E">
              <w:rPr>
                <w:b w:val="0"/>
                <w:bCs w:val="0"/>
                <w:sz w:val="22"/>
                <w:szCs w:val="30"/>
                <w:lang w:val="en-GB" w:bidi="ar-SA"/>
              </w:rPr>
              <w:t>G.fast</w:t>
            </w:r>
            <w:proofErr w:type="spellEnd"/>
            <w:r w:rsidRPr="00E25C0E">
              <w:rPr>
                <w:b w:val="0"/>
                <w:bCs w:val="0"/>
                <w:sz w:val="22"/>
                <w:szCs w:val="30"/>
                <w:lang w:val="en-GB" w:bidi="ar-SA"/>
              </w:rPr>
              <w:t>)</w:t>
            </w:r>
            <w:r w:rsidRPr="00E25C0E">
              <w:rPr>
                <w:rFonts w:hint="eastAsia"/>
                <w:b w:val="0"/>
                <w:bCs w:val="0"/>
                <w:sz w:val="22"/>
                <w:szCs w:val="30"/>
                <w:rtl/>
              </w:rPr>
              <w:t> </w:t>
            </w:r>
            <w:r w:rsidRPr="00E25C0E">
              <w:rPr>
                <w:b w:val="0"/>
                <w:bCs w:val="0"/>
                <w:sz w:val="22"/>
                <w:szCs w:val="30"/>
                <w:rtl/>
              </w:rPr>
              <w:t xml:space="preserve">- </w:t>
            </w:r>
            <w:r w:rsidRPr="00C12EDA">
              <w:rPr>
                <w:rFonts w:hint="cs"/>
                <w:b w:val="0"/>
                <w:bCs w:val="0"/>
                <w:sz w:val="22"/>
                <w:szCs w:val="30"/>
                <w:rtl/>
              </w:rPr>
              <w:t>مواصفات</w:t>
            </w:r>
            <w:r w:rsidRPr="00C12EDA">
              <w:rPr>
                <w:b w:val="0"/>
                <w:bCs w:val="0"/>
                <w:sz w:val="22"/>
                <w:szCs w:val="30"/>
                <w:rtl/>
              </w:rPr>
              <w:t xml:space="preserve"> الكثافة الطيفية للقدرة</w:t>
            </w:r>
            <w:r w:rsidR="00EA0F07" w:rsidRPr="00C12EDA">
              <w:rPr>
                <w:rFonts w:hint="eastAsia"/>
                <w:b w:val="0"/>
                <w:bCs w:val="0"/>
                <w:sz w:val="22"/>
                <w:szCs w:val="30"/>
                <w:rtl/>
              </w:rPr>
              <w:t> </w:t>
            </w:r>
            <w:r w:rsidRPr="00C12EDA">
              <w:rPr>
                <w:b w:val="0"/>
                <w:bCs w:val="0"/>
                <w:sz w:val="22"/>
                <w:szCs w:val="30"/>
              </w:rPr>
              <w:t>(2014)</w:t>
            </w:r>
            <w:r w:rsidR="00B069BC" w:rsidRPr="00C12EDA">
              <w:rPr>
                <w:rFonts w:hint="cs"/>
                <w:b w:val="0"/>
                <w:bCs w:val="0"/>
                <w:sz w:val="22"/>
                <w:szCs w:val="30"/>
                <w:rtl/>
              </w:rPr>
              <w:t>،</w:t>
            </w:r>
            <w:r w:rsidRPr="00E25C0E">
              <w:rPr>
                <w:rFonts w:hint="cs"/>
                <w:b w:val="0"/>
                <w:bCs w:val="0"/>
                <w:sz w:val="22"/>
                <w:szCs w:val="30"/>
                <w:rtl/>
                <w:lang w:bidi="ar-SA"/>
              </w:rPr>
              <w:t xml:space="preserve"> التعديل</w:t>
            </w:r>
            <w:r w:rsidRPr="00E25C0E">
              <w:rPr>
                <w:rFonts w:hint="cs"/>
                <w:bCs w:val="0"/>
                <w:sz w:val="22"/>
                <w:szCs w:val="30"/>
                <w:rtl/>
                <w:lang w:bidi="ar-SA"/>
              </w:rPr>
              <w:t xml:space="preserve"> </w:t>
            </w:r>
            <w:r w:rsidRPr="00E25C0E">
              <w:rPr>
                <w:b w:val="0"/>
                <w:sz w:val="22"/>
                <w:szCs w:val="30"/>
                <w:lang w:bidi="ar-SA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A61F6" w:rsidRPr="00E25C0E" w:rsidRDefault="00AA61F6" w:rsidP="00721F8B">
            <w:pPr>
              <w:spacing w:before="60" w:after="60" w:line="340" w:lineRule="exact"/>
              <w:jc w:val="center"/>
              <w:rPr>
                <w:b/>
                <w:rtl/>
              </w:rPr>
            </w:pPr>
            <w:r w:rsidRPr="00E25C0E">
              <w:rPr>
                <w:rFonts w:hint="cs"/>
                <w:rtl/>
              </w:rPr>
              <w:t>تمت</w:t>
            </w:r>
            <w:r w:rsidRPr="00E25C0E">
              <w:br/>
            </w:r>
            <w:r w:rsidRPr="00E25C0E">
              <w:rPr>
                <w:rFonts w:hint="cs"/>
                <w:rtl/>
              </w:rPr>
              <w:t>الموافقة</w:t>
            </w:r>
            <w:r w:rsidRPr="00E25C0E">
              <w:rPr>
                <w:rtl/>
              </w:rPr>
              <w:t xml:space="preserve"> عليها</w:t>
            </w:r>
          </w:p>
        </w:tc>
      </w:tr>
      <w:bookmarkStart w:id="0" w:name="lt_pId053"/>
      <w:tr w:rsidR="00AA61F6" w:rsidRPr="00E25C0E" w:rsidTr="00721F8B">
        <w:trPr>
          <w:jc w:val="center"/>
        </w:trPr>
        <w:tc>
          <w:tcPr>
            <w:tcW w:w="0" w:type="auto"/>
          </w:tcPr>
          <w:p w:rsidR="00AA61F6" w:rsidRPr="00C12EDA" w:rsidRDefault="00C03BCE" w:rsidP="00C03BCE">
            <w:pPr>
              <w:pStyle w:val="Tabletext"/>
              <w:spacing w:line="340" w:lineRule="exact"/>
              <w:jc w:val="left"/>
              <w:rPr>
                <w:sz w:val="22"/>
                <w:szCs w:val="30"/>
                <w:rtl/>
                <w:lang w:val="es-ES"/>
              </w:rPr>
            </w:pPr>
            <w:r w:rsidRPr="00C12EDA">
              <w:rPr>
                <w:sz w:val="22"/>
                <w:szCs w:val="30"/>
                <w:lang w:val="en-US"/>
              </w:rPr>
              <w:fldChar w:fldCharType="begin"/>
            </w:r>
            <w:r w:rsidRPr="00C12EDA">
              <w:rPr>
                <w:sz w:val="22"/>
                <w:szCs w:val="30"/>
                <w:lang w:val="en-US"/>
              </w:rPr>
              <w:instrText xml:space="preserve"> HYPERLINK "http://www.itu.int/ITU-T/workprog/wp_item.aspx?isn=13379" </w:instrText>
            </w:r>
            <w:r w:rsidRPr="00C12EDA">
              <w:rPr>
                <w:sz w:val="22"/>
                <w:szCs w:val="30"/>
                <w:lang w:val="en-US"/>
              </w:rPr>
              <w:fldChar w:fldCharType="separate"/>
            </w:r>
            <w:r w:rsidRPr="00C12EDA">
              <w:rPr>
                <w:rStyle w:val="Hyperlink"/>
                <w:bCs/>
                <w:lang w:val="en-US"/>
              </w:rPr>
              <w:t>G.9901</w:t>
            </w:r>
            <w:r w:rsidRPr="00C12EDA">
              <w:rPr>
                <w:sz w:val="22"/>
                <w:szCs w:val="30"/>
                <w:lang w:val="en-GB"/>
              </w:rPr>
              <w:fldChar w:fldCharType="end"/>
            </w:r>
            <w:r w:rsidRPr="00C12EDA">
              <w:rPr>
                <w:bCs/>
                <w:sz w:val="22"/>
                <w:szCs w:val="30"/>
                <w:lang w:val="en-US"/>
              </w:rPr>
              <w:t xml:space="preserve"> (Revised)</w:t>
            </w:r>
            <w:bookmarkEnd w:id="0"/>
          </w:p>
        </w:tc>
        <w:tc>
          <w:tcPr>
            <w:tcW w:w="5946" w:type="dxa"/>
          </w:tcPr>
          <w:p w:rsidR="00AA61F6" w:rsidRPr="00E25C0E" w:rsidRDefault="00AA61F6" w:rsidP="002A0132">
            <w:pPr>
              <w:spacing w:before="60" w:after="60" w:line="340" w:lineRule="exact"/>
              <w:rPr>
                <w:highlight w:val="yellow"/>
                <w:lang w:val="fr-CH"/>
              </w:rPr>
            </w:pPr>
            <w:r w:rsidRPr="00E25C0E">
              <w:rPr>
                <w:rtl/>
              </w:rPr>
              <w:t>المرسِلات المستقبِلات في الاتصالات ضيقة النطاق عبر الخطوط الكهربائية بتعدد الإرسال بتقسيم تعامدي للتردد</w:t>
            </w:r>
            <w:r w:rsidR="00532FD5" w:rsidRPr="00E25C0E">
              <w:rPr>
                <w:rFonts w:hint="cs"/>
                <w:rtl/>
              </w:rPr>
              <w:t xml:space="preserve"> </w:t>
            </w:r>
            <w:r w:rsidRPr="00E25C0E">
              <w:t>(OFDM)</w:t>
            </w:r>
            <w:r w:rsidR="00532FD5" w:rsidRPr="00E25C0E">
              <w:rPr>
                <w:rFonts w:hint="cs"/>
                <w:rtl/>
              </w:rPr>
              <w:t xml:space="preserve"> - </w:t>
            </w:r>
            <w:r w:rsidRPr="00C12EDA">
              <w:rPr>
                <w:rtl/>
              </w:rPr>
              <w:t>توصيف كثافة القدرة الطيفية</w:t>
            </w:r>
            <w:r w:rsidR="002A0132" w:rsidRPr="00C12EDA">
              <w:rPr>
                <w:rFonts w:hint="cs"/>
                <w:rtl/>
              </w:rPr>
              <w:t> </w:t>
            </w:r>
            <w:r w:rsidRPr="00C12EDA">
              <w:t>(PSD)</w:t>
            </w:r>
          </w:p>
        </w:tc>
        <w:tc>
          <w:tcPr>
            <w:tcW w:w="1276" w:type="dxa"/>
          </w:tcPr>
          <w:p w:rsidR="00AA61F6" w:rsidRPr="00E25C0E" w:rsidRDefault="00AA61F6" w:rsidP="00721F8B">
            <w:pPr>
              <w:pStyle w:val="Tabletext"/>
              <w:spacing w:line="340" w:lineRule="exact"/>
              <w:rPr>
                <w:sz w:val="22"/>
                <w:szCs w:val="30"/>
              </w:rPr>
            </w:pPr>
            <w:r w:rsidRPr="00E25C0E">
              <w:rPr>
                <w:rFonts w:hint="cs"/>
                <w:sz w:val="22"/>
                <w:szCs w:val="30"/>
                <w:rtl/>
              </w:rPr>
              <w:t>تمت</w:t>
            </w:r>
            <w:r w:rsidRPr="00E25C0E">
              <w:rPr>
                <w:sz w:val="22"/>
                <w:szCs w:val="30"/>
              </w:rPr>
              <w:br/>
            </w:r>
            <w:r w:rsidRPr="00E25C0E">
              <w:rPr>
                <w:rFonts w:hint="cs"/>
                <w:sz w:val="22"/>
                <w:szCs w:val="30"/>
                <w:rtl/>
              </w:rPr>
              <w:t>الموافقة</w:t>
            </w:r>
            <w:r w:rsidRPr="00E25C0E">
              <w:rPr>
                <w:sz w:val="22"/>
                <w:szCs w:val="30"/>
                <w:rtl/>
              </w:rPr>
              <w:t xml:space="preserve"> عليها</w:t>
            </w:r>
          </w:p>
        </w:tc>
      </w:tr>
    </w:tbl>
    <w:p w:rsidR="00AA61F6" w:rsidRPr="00BA6D30" w:rsidRDefault="00AA61F6" w:rsidP="00AA61F6">
      <w:pPr>
        <w:keepNext/>
        <w:keepLines/>
        <w:widowControl w:val="0"/>
        <w:rPr>
          <w:spacing w:val="-2"/>
          <w:rtl/>
          <w:lang w:bidi="ar-EG"/>
        </w:rPr>
      </w:pPr>
      <w:r w:rsidRPr="00AC5114">
        <w:rPr>
          <w:spacing w:val="-2"/>
          <w:lang w:bidi="ar-EG"/>
        </w:rPr>
        <w:lastRenderedPageBreak/>
        <w:t>2</w:t>
      </w:r>
      <w:r w:rsidRPr="00AC5114">
        <w:rPr>
          <w:rFonts w:hint="cs"/>
          <w:spacing w:val="-2"/>
          <w:rtl/>
          <w:lang w:bidi="ar-EG"/>
        </w:rPr>
        <w:tab/>
      </w:r>
      <w:r w:rsidRPr="00BA6D30">
        <w:rPr>
          <w:rFonts w:hint="cs"/>
          <w:spacing w:val="-2"/>
          <w:rtl/>
        </w:rPr>
        <w:t>ويمكن</w:t>
      </w:r>
      <w:r w:rsidRPr="00BA6D30">
        <w:rPr>
          <w:rFonts w:hint="cs"/>
          <w:spacing w:val="-2"/>
          <w:rtl/>
          <w:lang w:bidi="ar-EG"/>
        </w:rPr>
        <w:t xml:space="preserve"> الاطلاع على المعلومات المتاحة بشأن براءات الاختراع بالرجوع إلى </w:t>
      </w:r>
      <w:hyperlink r:id="rId14" w:history="1">
        <w:r w:rsidRPr="00BA6D30">
          <w:rPr>
            <w:rStyle w:val="Hyperlink"/>
            <w:rFonts w:hint="cs"/>
            <w:spacing w:val="-2"/>
            <w:rtl/>
            <w:lang w:bidi="ar-EG"/>
          </w:rPr>
          <w:t>الموقع الإلكتروني لقطاع تقييس</w:t>
        </w:r>
        <w:r w:rsidRPr="00BA6D30">
          <w:rPr>
            <w:rStyle w:val="Hyperlink"/>
            <w:rFonts w:hint="eastAsia"/>
            <w:spacing w:val="-2"/>
            <w:rtl/>
            <w:lang w:bidi="ar-EG"/>
          </w:rPr>
          <w:t> </w:t>
        </w:r>
        <w:r w:rsidRPr="00BA6D30">
          <w:rPr>
            <w:rStyle w:val="Hyperlink"/>
            <w:rFonts w:hint="cs"/>
            <w:spacing w:val="-2"/>
            <w:rtl/>
            <w:lang w:bidi="ar-EG"/>
          </w:rPr>
          <w:t>الاتصالات</w:t>
        </w:r>
      </w:hyperlink>
      <w:r w:rsidRPr="00BA6D30">
        <w:rPr>
          <w:rFonts w:hint="cs"/>
          <w:spacing w:val="-2"/>
          <w:rtl/>
          <w:lang w:bidi="ar-EG"/>
        </w:rPr>
        <w:t>.</w:t>
      </w:r>
    </w:p>
    <w:p w:rsidR="00AA61F6" w:rsidRPr="00BA6D30" w:rsidRDefault="00AA61F6" w:rsidP="00136E21">
      <w:pPr>
        <w:rPr>
          <w:rtl/>
          <w:lang w:bidi="ar-EG"/>
        </w:rPr>
      </w:pPr>
      <w:r w:rsidRPr="00BA6D30">
        <w:rPr>
          <w:lang w:bidi="ar-EG"/>
        </w:rPr>
        <w:t>3</w:t>
      </w:r>
      <w:r w:rsidRPr="00BA6D30">
        <w:rPr>
          <w:rFonts w:hint="cs"/>
          <w:rtl/>
          <w:lang w:bidi="ar-EG"/>
        </w:rPr>
        <w:tab/>
        <w:t>وسيتاح قريباً نص كل من التوصيتين بالصيغة السابقة للنشر في الموقع الإلكتروني لقطاع تقييس</w:t>
      </w:r>
      <w:r w:rsidRPr="00BA6D30">
        <w:rPr>
          <w:rFonts w:hint="eastAsia"/>
          <w:rtl/>
          <w:lang w:bidi="ar-EG"/>
        </w:rPr>
        <w:t> </w:t>
      </w:r>
      <w:r w:rsidRPr="00BA6D30">
        <w:rPr>
          <w:rFonts w:hint="cs"/>
          <w:rtl/>
          <w:lang w:bidi="ar-EG"/>
        </w:rPr>
        <w:t>الاتصالات في</w:t>
      </w:r>
      <w:r>
        <w:rPr>
          <w:rFonts w:hint="eastAsia"/>
          <w:rtl/>
          <w:lang w:bidi="ar-EG"/>
        </w:rPr>
        <w:t> </w:t>
      </w:r>
      <w:r w:rsidRPr="00BA6D30">
        <w:rPr>
          <w:rFonts w:hint="cs"/>
          <w:rtl/>
          <w:lang w:bidi="ar-EG"/>
        </w:rPr>
        <w:t>العنوان التالي:</w:t>
      </w:r>
      <w:r w:rsidRPr="00BA6D30">
        <w:rPr>
          <w:rFonts w:hint="cs"/>
          <w:rtl/>
        </w:rPr>
        <w:t xml:space="preserve"> </w:t>
      </w:r>
      <w:hyperlink r:id="rId15" w:history="1">
        <w:r w:rsidR="00136E21" w:rsidRPr="00136E21">
          <w:rPr>
            <w:rStyle w:val="Hyperlink"/>
          </w:rPr>
          <w:t>http://itu.int/itu-t/recommendations/</w:t>
        </w:r>
      </w:hyperlink>
      <w:r w:rsidRPr="00BA6D30">
        <w:rPr>
          <w:rFonts w:hint="cs"/>
          <w:rtl/>
        </w:rPr>
        <w:t>.</w:t>
      </w:r>
    </w:p>
    <w:p w:rsidR="00AA61F6" w:rsidRPr="00425492" w:rsidRDefault="00AA61F6" w:rsidP="00AA61F6">
      <w:pPr>
        <w:rPr>
          <w:rFonts w:eastAsiaTheme="minorEastAsia"/>
          <w:rtl/>
          <w:lang w:eastAsia="zh-CN" w:bidi="ar-EG"/>
        </w:rPr>
      </w:pPr>
      <w:r w:rsidRPr="00BA6D30">
        <w:rPr>
          <w:lang w:bidi="ar-EG"/>
        </w:rPr>
        <w:t>4</w:t>
      </w:r>
      <w:r w:rsidRPr="00BA6D30">
        <w:rPr>
          <w:rFonts w:hint="cs"/>
          <w:rtl/>
          <w:lang w:bidi="ar-EG"/>
        </w:rPr>
        <w:tab/>
        <w:t>وسوف ينشر الاتحاد نصي هاتين التوصيتين في أقرب وقت ممكن.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bookmarkStart w:id="1" w:name="_GoBack"/>
      <w:bookmarkEnd w:id="1"/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2E6D7E" w:rsidRPr="00A15845" w:rsidRDefault="002E6D7E" w:rsidP="002E6D7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 xml:space="preserve"> </w:t>
      </w:r>
    </w:p>
    <w:p w:rsidR="008B5B5D" w:rsidRDefault="00A15845" w:rsidP="002E6D7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BD7" w:rsidRDefault="00207BD7" w:rsidP="00E07379">
      <w:pPr>
        <w:spacing w:before="0" w:line="240" w:lineRule="auto"/>
      </w:pPr>
      <w:r>
        <w:separator/>
      </w:r>
    </w:p>
  </w:endnote>
  <w:endnote w:type="continuationSeparator" w:id="0">
    <w:p w:rsidR="00207BD7" w:rsidRDefault="00207BD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>International Telecommunication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BD7" w:rsidRDefault="00207BD7" w:rsidP="00E07379">
      <w:pPr>
        <w:spacing w:before="0" w:line="240" w:lineRule="auto"/>
      </w:pPr>
      <w:r>
        <w:separator/>
      </w:r>
    </w:p>
  </w:footnote>
  <w:footnote w:type="continuationSeparator" w:id="0">
    <w:p w:rsidR="00207BD7" w:rsidRDefault="00207BD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15845" w:rsidP="00A1584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F920D0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73"/>
    <w:rsid w:val="000124CC"/>
    <w:rsid w:val="00041F8B"/>
    <w:rsid w:val="000436AC"/>
    <w:rsid w:val="00043FE5"/>
    <w:rsid w:val="00046444"/>
    <w:rsid w:val="0006023B"/>
    <w:rsid w:val="0008638B"/>
    <w:rsid w:val="00090574"/>
    <w:rsid w:val="00092FC2"/>
    <w:rsid w:val="000969BC"/>
    <w:rsid w:val="000A1677"/>
    <w:rsid w:val="000B407F"/>
    <w:rsid w:val="000C13C2"/>
    <w:rsid w:val="000D4C64"/>
    <w:rsid w:val="000D7AFE"/>
    <w:rsid w:val="000F0B1C"/>
    <w:rsid w:val="000F1D42"/>
    <w:rsid w:val="000F4D07"/>
    <w:rsid w:val="00102A03"/>
    <w:rsid w:val="001040A3"/>
    <w:rsid w:val="00136E21"/>
    <w:rsid w:val="00173915"/>
    <w:rsid w:val="00207BD7"/>
    <w:rsid w:val="0022345D"/>
    <w:rsid w:val="00225854"/>
    <w:rsid w:val="0023283D"/>
    <w:rsid w:val="00252E0C"/>
    <w:rsid w:val="00276881"/>
    <w:rsid w:val="002916BE"/>
    <w:rsid w:val="002978F4"/>
    <w:rsid w:val="002A0132"/>
    <w:rsid w:val="002B028D"/>
    <w:rsid w:val="002B435E"/>
    <w:rsid w:val="002C4DAE"/>
    <w:rsid w:val="002D6669"/>
    <w:rsid w:val="002E6541"/>
    <w:rsid w:val="002E6D7E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D1006"/>
    <w:rsid w:val="003E4132"/>
    <w:rsid w:val="003F678F"/>
    <w:rsid w:val="00402773"/>
    <w:rsid w:val="00425492"/>
    <w:rsid w:val="0042686F"/>
    <w:rsid w:val="004367CE"/>
    <w:rsid w:val="00443869"/>
    <w:rsid w:val="0045651C"/>
    <w:rsid w:val="004712C6"/>
    <w:rsid w:val="00485D5A"/>
    <w:rsid w:val="00497703"/>
    <w:rsid w:val="004A0FC7"/>
    <w:rsid w:val="004A125C"/>
    <w:rsid w:val="004F0F06"/>
    <w:rsid w:val="00501E0E"/>
    <w:rsid w:val="005204D7"/>
    <w:rsid w:val="00530420"/>
    <w:rsid w:val="00532FD5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543E"/>
    <w:rsid w:val="006C1556"/>
    <w:rsid w:val="006D0D15"/>
    <w:rsid w:val="006F267F"/>
    <w:rsid w:val="006F63F7"/>
    <w:rsid w:val="006F6F03"/>
    <w:rsid w:val="00706D7A"/>
    <w:rsid w:val="00726AEC"/>
    <w:rsid w:val="007530CA"/>
    <w:rsid w:val="007612C8"/>
    <w:rsid w:val="0079553D"/>
    <w:rsid w:val="007B01CC"/>
    <w:rsid w:val="007D1AB3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8F7A5B"/>
    <w:rsid w:val="009168EB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BC2"/>
    <w:rsid w:val="00AA61F6"/>
    <w:rsid w:val="00AB1309"/>
    <w:rsid w:val="00AC2C52"/>
    <w:rsid w:val="00AD1503"/>
    <w:rsid w:val="00AE7244"/>
    <w:rsid w:val="00AF3FEE"/>
    <w:rsid w:val="00B0200C"/>
    <w:rsid w:val="00B02F46"/>
    <w:rsid w:val="00B069BC"/>
    <w:rsid w:val="00B2000C"/>
    <w:rsid w:val="00B20ADE"/>
    <w:rsid w:val="00B23C4B"/>
    <w:rsid w:val="00B66B9A"/>
    <w:rsid w:val="00B82089"/>
    <w:rsid w:val="00B970AE"/>
    <w:rsid w:val="00BA1427"/>
    <w:rsid w:val="00BD0C50"/>
    <w:rsid w:val="00BE159A"/>
    <w:rsid w:val="00BE49D0"/>
    <w:rsid w:val="00BF2C38"/>
    <w:rsid w:val="00BF738B"/>
    <w:rsid w:val="00C03BCE"/>
    <w:rsid w:val="00C12EDA"/>
    <w:rsid w:val="00C23331"/>
    <w:rsid w:val="00C265DA"/>
    <w:rsid w:val="00C34D7D"/>
    <w:rsid w:val="00C442F2"/>
    <w:rsid w:val="00C674FE"/>
    <w:rsid w:val="00C7297D"/>
    <w:rsid w:val="00C75633"/>
    <w:rsid w:val="00C8242E"/>
    <w:rsid w:val="00C82615"/>
    <w:rsid w:val="00C867DB"/>
    <w:rsid w:val="00CA2A38"/>
    <w:rsid w:val="00CA47E5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9582D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25C0E"/>
    <w:rsid w:val="00E32189"/>
    <w:rsid w:val="00E35CB5"/>
    <w:rsid w:val="00E36022"/>
    <w:rsid w:val="00E45211"/>
    <w:rsid w:val="00E7380C"/>
    <w:rsid w:val="00E74BE7"/>
    <w:rsid w:val="00E86CC9"/>
    <w:rsid w:val="00E96624"/>
    <w:rsid w:val="00EA0F07"/>
    <w:rsid w:val="00F03100"/>
    <w:rsid w:val="00F126F1"/>
    <w:rsid w:val="00F2106A"/>
    <w:rsid w:val="00F25DB4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0D0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5029F74-FDBD-46DF-8192-297DCB8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96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TU-T/workprog/wp_item.aspx?isn=1345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002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5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D48A1-F389-4ADA-9D65-EBD0D64D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70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Millet, Lia</cp:lastModifiedBy>
  <cp:revision>39</cp:revision>
  <cp:lastPrinted>2017-08-02T14:29:00Z</cp:lastPrinted>
  <dcterms:created xsi:type="dcterms:W3CDTF">2017-07-18T10:26:00Z</dcterms:created>
  <dcterms:modified xsi:type="dcterms:W3CDTF">2017-08-02T14:37:00Z</dcterms:modified>
  <cp:category>Conference document</cp:category>
</cp:coreProperties>
</file>