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AC7192" w:rsidRPr="000C67CA" w:rsidTr="00AC7192">
        <w:trPr>
          <w:cantSplit/>
        </w:trPr>
        <w:tc>
          <w:tcPr>
            <w:tcW w:w="1418" w:type="dxa"/>
            <w:vAlign w:val="center"/>
          </w:tcPr>
          <w:p w:rsidR="00AC7192" w:rsidRPr="001C59A6" w:rsidRDefault="00AC7192" w:rsidP="00297434">
            <w:pPr>
              <w:tabs>
                <w:tab w:val="right" w:pos="8732"/>
              </w:tabs>
              <w:spacing w:before="0"/>
              <w:jc w:val="center"/>
              <w:rPr>
                <w:rFonts w:ascii="Verdana" w:hAnsi="Verdana"/>
                <w:b/>
                <w:bCs/>
                <w:iCs/>
                <w:color w:val="FFFFFF"/>
                <w:sz w:val="26"/>
                <w:szCs w:val="26"/>
                <w:lang w:val="ru-RU"/>
              </w:rPr>
            </w:pPr>
            <w:bookmarkStart w:id="0" w:name="ditulogo"/>
            <w:bookmarkEnd w:id="0"/>
            <w:r w:rsidRPr="001C59A6">
              <w:rPr>
                <w:noProof/>
                <w:lang w:eastAsia="zh-CN"/>
              </w:rPr>
              <w:drawing>
                <wp:inline distT="0" distB="0" distL="0" distR="0" wp14:anchorId="3BC34336" wp14:editId="4CF6533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AC7192" w:rsidRPr="001C59A6" w:rsidRDefault="00AC7192" w:rsidP="00297434">
            <w:pPr>
              <w:spacing w:before="0"/>
              <w:rPr>
                <w:rFonts w:cs="Times New Roman Bold"/>
                <w:b/>
                <w:bCs/>
                <w:iCs/>
                <w:smallCaps/>
                <w:sz w:val="32"/>
                <w:szCs w:val="32"/>
                <w:lang w:val="ru-RU"/>
              </w:rPr>
            </w:pPr>
            <w:r w:rsidRPr="001C59A6">
              <w:rPr>
                <w:rFonts w:cs="Times New Roman Bold"/>
                <w:b/>
                <w:bCs/>
                <w:iCs/>
                <w:smallCaps/>
                <w:sz w:val="32"/>
                <w:szCs w:val="32"/>
                <w:lang w:val="ru-RU"/>
              </w:rPr>
              <w:t>Международный союз электросвязи</w:t>
            </w:r>
          </w:p>
          <w:p w:rsidR="00AC7192" w:rsidRPr="001C59A6" w:rsidRDefault="00AC7192" w:rsidP="00297434">
            <w:pPr>
              <w:tabs>
                <w:tab w:val="right" w:pos="8732"/>
              </w:tabs>
              <w:rPr>
                <w:rFonts w:ascii="Verdana" w:hAnsi="Verdana"/>
                <w:b/>
                <w:bCs/>
                <w:iCs/>
                <w:color w:val="FFFFFF"/>
                <w:sz w:val="26"/>
                <w:szCs w:val="26"/>
                <w:lang w:val="ru-RU"/>
              </w:rPr>
            </w:pPr>
            <w:r w:rsidRPr="001C59A6">
              <w:rPr>
                <w:rFonts w:cs="Times New Roman Bold"/>
                <w:b/>
                <w:bCs/>
                <w:iCs/>
                <w:smallCaps/>
                <w:sz w:val="26"/>
                <w:szCs w:val="26"/>
                <w:lang w:val="ru-RU"/>
              </w:rPr>
              <w:t>Бюро стандартизации электросвязи</w:t>
            </w:r>
          </w:p>
        </w:tc>
      </w:tr>
    </w:tbl>
    <w:p w:rsidR="001629DC" w:rsidRPr="001C59A6" w:rsidRDefault="001629DC" w:rsidP="00ED63B0">
      <w:pPr>
        <w:tabs>
          <w:tab w:val="clear" w:pos="794"/>
          <w:tab w:val="clear" w:pos="1191"/>
          <w:tab w:val="clear" w:pos="1588"/>
          <w:tab w:val="clear" w:pos="1985"/>
          <w:tab w:val="left" w:pos="5529"/>
        </w:tabs>
        <w:spacing w:before="480" w:after="360"/>
        <w:rPr>
          <w:lang w:val="ru-RU"/>
        </w:rPr>
      </w:pPr>
      <w:r w:rsidRPr="001C59A6">
        <w:rPr>
          <w:lang w:val="ru-RU"/>
        </w:rPr>
        <w:tab/>
      </w:r>
      <w:r w:rsidR="00AC7192" w:rsidRPr="001C59A6">
        <w:rPr>
          <w:lang w:val="ru-RU"/>
        </w:rPr>
        <w:t xml:space="preserve">Женева, </w:t>
      </w:r>
      <w:r w:rsidR="008E267C" w:rsidRPr="001C59A6">
        <w:rPr>
          <w:lang w:val="ru-RU"/>
        </w:rPr>
        <w:t>2</w:t>
      </w:r>
      <w:r w:rsidR="00ED63B0" w:rsidRPr="001C59A6">
        <w:rPr>
          <w:lang w:val="ru-RU"/>
        </w:rPr>
        <w:t>5</w:t>
      </w:r>
      <w:r w:rsidR="008E267C" w:rsidRPr="001C59A6">
        <w:rPr>
          <w:lang w:val="ru-RU"/>
        </w:rPr>
        <w:t xml:space="preserve"> </w:t>
      </w:r>
      <w:r w:rsidR="00196F1C" w:rsidRPr="001C59A6">
        <w:rPr>
          <w:lang w:val="ru-RU"/>
        </w:rPr>
        <w:t>сентября</w:t>
      </w:r>
      <w:r w:rsidR="00AC7192" w:rsidRPr="001C59A6">
        <w:rPr>
          <w:lang w:val="ru-RU"/>
        </w:rPr>
        <w:t xml:space="preserve"> 2017 года</w:t>
      </w:r>
    </w:p>
    <w:tbl>
      <w:tblPr>
        <w:tblW w:w="9771" w:type="dxa"/>
        <w:tblLayout w:type="fixed"/>
        <w:tblCellMar>
          <w:left w:w="0" w:type="dxa"/>
          <w:right w:w="0" w:type="dxa"/>
        </w:tblCellMar>
        <w:tblLook w:val="0000" w:firstRow="0" w:lastRow="0" w:firstColumn="0" w:lastColumn="0" w:noHBand="0" w:noVBand="0"/>
      </w:tblPr>
      <w:tblGrid>
        <w:gridCol w:w="1418"/>
        <w:gridCol w:w="4111"/>
        <w:gridCol w:w="4242"/>
      </w:tblGrid>
      <w:tr w:rsidR="004E46B0" w:rsidRPr="000C67CA" w:rsidTr="0072564E">
        <w:trPr>
          <w:cantSplit/>
        </w:trPr>
        <w:tc>
          <w:tcPr>
            <w:tcW w:w="1418" w:type="dxa"/>
          </w:tcPr>
          <w:p w:rsidR="004E46B0" w:rsidRPr="001C59A6" w:rsidRDefault="004E46B0" w:rsidP="00867192">
            <w:pPr>
              <w:spacing w:before="0"/>
              <w:rPr>
                <w:lang w:val="ru-RU"/>
              </w:rPr>
            </w:pPr>
            <w:r w:rsidRPr="001C59A6">
              <w:rPr>
                <w:lang w:val="ru-RU"/>
              </w:rPr>
              <w:t>Осн.:</w:t>
            </w:r>
          </w:p>
        </w:tc>
        <w:tc>
          <w:tcPr>
            <w:tcW w:w="4111" w:type="dxa"/>
          </w:tcPr>
          <w:p w:rsidR="004E46B0" w:rsidRPr="001C59A6" w:rsidRDefault="004E46B0" w:rsidP="00C564D0">
            <w:pPr>
              <w:spacing w:before="0"/>
              <w:ind w:left="142"/>
              <w:rPr>
                <w:lang w:val="ru-RU"/>
              </w:rPr>
            </w:pPr>
            <w:r w:rsidRPr="001C59A6">
              <w:rPr>
                <w:b/>
                <w:bCs/>
                <w:lang w:val="ru-RU"/>
              </w:rPr>
              <w:t xml:space="preserve">Циркуляр </w:t>
            </w:r>
            <w:r w:rsidR="00C564D0" w:rsidRPr="001C59A6">
              <w:rPr>
                <w:b/>
                <w:bCs/>
                <w:lang w:val="ru-RU"/>
              </w:rPr>
              <w:t>47</w:t>
            </w:r>
            <w:r w:rsidRPr="001C59A6">
              <w:rPr>
                <w:b/>
                <w:bCs/>
                <w:lang w:val="ru-RU"/>
              </w:rPr>
              <w:t xml:space="preserve"> БСЭ</w:t>
            </w:r>
            <w:r w:rsidR="009145BE" w:rsidRPr="001C59A6">
              <w:rPr>
                <w:b/>
                <w:bCs/>
                <w:lang w:val="ru-RU"/>
              </w:rPr>
              <w:br/>
            </w:r>
            <w:r w:rsidR="00C564D0" w:rsidRPr="001C59A6">
              <w:rPr>
                <w:lang w:val="ru-RU"/>
              </w:rPr>
              <w:t>TSB Events</w:t>
            </w:r>
            <w:r w:rsidR="00797FE8" w:rsidRPr="001C59A6">
              <w:rPr>
                <w:lang w:val="ru-RU"/>
              </w:rPr>
              <w:t>/</w:t>
            </w:r>
            <w:r w:rsidR="00C564D0" w:rsidRPr="001C59A6">
              <w:rPr>
                <w:lang w:val="ru-RU"/>
              </w:rPr>
              <w:t>MA</w:t>
            </w:r>
          </w:p>
        </w:tc>
        <w:tc>
          <w:tcPr>
            <w:tcW w:w="4242" w:type="dxa"/>
            <w:vMerge w:val="restart"/>
          </w:tcPr>
          <w:p w:rsidR="00C564D0" w:rsidRPr="001C59A6" w:rsidRDefault="00C564D0" w:rsidP="00C564D0">
            <w:pPr>
              <w:tabs>
                <w:tab w:val="clear" w:pos="794"/>
                <w:tab w:val="clear" w:pos="1191"/>
                <w:tab w:val="clear" w:pos="1588"/>
                <w:tab w:val="clear" w:pos="1985"/>
                <w:tab w:val="left" w:pos="284"/>
              </w:tabs>
              <w:spacing w:before="0"/>
              <w:ind w:left="284" w:hanging="284"/>
              <w:rPr>
                <w:szCs w:val="22"/>
                <w:lang w:val="ru-RU"/>
              </w:rPr>
            </w:pPr>
            <w:r w:rsidRPr="001C59A6">
              <w:rPr>
                <w:b/>
                <w:bCs/>
                <w:szCs w:val="22"/>
                <w:lang w:val="ru-RU"/>
              </w:rPr>
              <w:t>Кому</w:t>
            </w:r>
            <w:r w:rsidRPr="001C59A6">
              <w:rPr>
                <w:szCs w:val="22"/>
                <w:lang w:val="ru-RU"/>
              </w:rPr>
              <w:t>:</w:t>
            </w:r>
          </w:p>
          <w:p w:rsidR="00C564D0" w:rsidRPr="001C59A6" w:rsidRDefault="00C564D0" w:rsidP="00C564D0">
            <w:pPr>
              <w:pStyle w:val="Tabletext0"/>
              <w:ind w:left="283" w:hanging="283"/>
              <w:rPr>
                <w:sz w:val="22"/>
                <w:szCs w:val="22"/>
                <w:lang w:val="ru-RU"/>
              </w:rPr>
            </w:pPr>
            <w:r w:rsidRPr="001C59A6">
              <w:rPr>
                <w:sz w:val="22"/>
                <w:szCs w:val="22"/>
                <w:lang w:val="ru-RU"/>
              </w:rPr>
              <w:t>−</w:t>
            </w:r>
            <w:r w:rsidRPr="001C59A6">
              <w:rPr>
                <w:sz w:val="22"/>
                <w:szCs w:val="22"/>
                <w:lang w:val="ru-RU"/>
              </w:rPr>
              <w:tab/>
              <w:t>Администрациям Государств-Членов Союза</w:t>
            </w:r>
          </w:p>
          <w:p w:rsidR="00C564D0" w:rsidRPr="001C59A6" w:rsidRDefault="00C564D0" w:rsidP="00C564D0">
            <w:pPr>
              <w:pStyle w:val="Tabletext0"/>
              <w:ind w:left="283" w:hanging="283"/>
              <w:rPr>
                <w:color w:val="000000"/>
                <w:sz w:val="22"/>
                <w:szCs w:val="22"/>
                <w:lang w:val="ru-RU"/>
              </w:rPr>
            </w:pPr>
            <w:r w:rsidRPr="001C59A6">
              <w:rPr>
                <w:sz w:val="22"/>
                <w:szCs w:val="22"/>
                <w:lang w:val="ru-RU"/>
              </w:rPr>
              <w:t>−</w:t>
            </w:r>
            <w:r w:rsidRPr="001C59A6">
              <w:rPr>
                <w:sz w:val="22"/>
                <w:szCs w:val="22"/>
                <w:lang w:val="ru-RU"/>
              </w:rPr>
              <w:tab/>
            </w:r>
            <w:r w:rsidRPr="001C59A6">
              <w:rPr>
                <w:color w:val="000000"/>
                <w:sz w:val="22"/>
                <w:szCs w:val="22"/>
                <w:lang w:val="ru-RU"/>
              </w:rPr>
              <w:t xml:space="preserve">Членам </w:t>
            </w:r>
            <w:r w:rsidR="001C59A6" w:rsidRPr="001C59A6">
              <w:rPr>
                <w:color w:val="000000"/>
                <w:sz w:val="22"/>
                <w:szCs w:val="22"/>
                <w:lang w:val="ru-RU"/>
              </w:rPr>
              <w:t xml:space="preserve">Сектора </w:t>
            </w:r>
            <w:r w:rsidRPr="001C59A6">
              <w:rPr>
                <w:color w:val="000000"/>
                <w:sz w:val="22"/>
                <w:szCs w:val="22"/>
                <w:lang w:val="ru-RU"/>
              </w:rPr>
              <w:t>МСЭ-T</w:t>
            </w:r>
          </w:p>
          <w:p w:rsidR="00C564D0" w:rsidRPr="001C59A6" w:rsidRDefault="00C564D0" w:rsidP="00C564D0">
            <w:pPr>
              <w:pStyle w:val="Tabletext0"/>
              <w:ind w:left="283" w:hanging="283"/>
              <w:rPr>
                <w:color w:val="000000"/>
                <w:sz w:val="22"/>
                <w:szCs w:val="22"/>
                <w:lang w:val="ru-RU"/>
              </w:rPr>
            </w:pPr>
            <w:r w:rsidRPr="001C59A6">
              <w:rPr>
                <w:sz w:val="22"/>
                <w:szCs w:val="22"/>
                <w:lang w:val="ru-RU"/>
              </w:rPr>
              <w:t>−</w:t>
            </w:r>
            <w:r w:rsidRPr="001C59A6">
              <w:rPr>
                <w:sz w:val="22"/>
                <w:szCs w:val="22"/>
                <w:lang w:val="ru-RU"/>
              </w:rPr>
              <w:tab/>
            </w:r>
            <w:r w:rsidRPr="001C59A6">
              <w:rPr>
                <w:color w:val="000000"/>
                <w:sz w:val="22"/>
                <w:szCs w:val="22"/>
                <w:lang w:val="ru-RU"/>
              </w:rPr>
              <w:t>Ассоциированным членам МСЭ-T</w:t>
            </w:r>
          </w:p>
          <w:p w:rsidR="00797FE8" w:rsidRPr="001C59A6" w:rsidRDefault="00C564D0" w:rsidP="00C564D0">
            <w:pPr>
              <w:tabs>
                <w:tab w:val="clear" w:pos="794"/>
                <w:tab w:val="clear" w:pos="1191"/>
                <w:tab w:val="clear" w:pos="1588"/>
                <w:tab w:val="clear" w:pos="1985"/>
                <w:tab w:val="left" w:pos="284"/>
              </w:tabs>
              <w:spacing w:before="0"/>
              <w:ind w:left="284" w:hanging="284"/>
              <w:rPr>
                <w:szCs w:val="22"/>
                <w:lang w:val="ru-RU"/>
              </w:rPr>
            </w:pPr>
            <w:r w:rsidRPr="001C59A6">
              <w:rPr>
                <w:szCs w:val="22"/>
                <w:lang w:val="ru-RU"/>
              </w:rPr>
              <w:t>−</w:t>
            </w:r>
            <w:r w:rsidRPr="001C59A6">
              <w:rPr>
                <w:szCs w:val="22"/>
                <w:lang w:val="ru-RU"/>
              </w:rPr>
              <w:tab/>
            </w:r>
            <w:r w:rsidR="009927FE" w:rsidRPr="001C59A6">
              <w:rPr>
                <w:color w:val="000000"/>
                <w:szCs w:val="22"/>
                <w:lang w:val="ru-RU"/>
              </w:rPr>
              <w:t>Академическим организациям </w:t>
            </w:r>
            <w:r w:rsidRPr="001C59A6">
              <w:rPr>
                <w:color w:val="000000"/>
                <w:szCs w:val="22"/>
                <w:lang w:val="ru-RU"/>
              </w:rPr>
              <w:t>–</w:t>
            </w:r>
            <w:r w:rsidR="009927FE" w:rsidRPr="001C59A6">
              <w:rPr>
                <w:color w:val="000000"/>
                <w:szCs w:val="22"/>
                <w:lang w:val="ru-RU"/>
              </w:rPr>
              <w:t> </w:t>
            </w:r>
            <w:r w:rsidRPr="001C59A6">
              <w:rPr>
                <w:color w:val="000000"/>
                <w:szCs w:val="22"/>
                <w:lang w:val="ru-RU"/>
              </w:rPr>
              <w:t>Членам МСЭ</w:t>
            </w:r>
          </w:p>
          <w:p w:rsidR="00797FE8" w:rsidRPr="001C59A6" w:rsidRDefault="00797FE8" w:rsidP="00797FE8">
            <w:pPr>
              <w:tabs>
                <w:tab w:val="clear" w:pos="794"/>
                <w:tab w:val="clear" w:pos="1191"/>
                <w:tab w:val="clear" w:pos="1588"/>
                <w:tab w:val="clear" w:pos="1985"/>
                <w:tab w:val="left" w:pos="284"/>
              </w:tabs>
              <w:ind w:left="284" w:hanging="284"/>
              <w:rPr>
                <w:szCs w:val="22"/>
                <w:lang w:val="ru-RU"/>
              </w:rPr>
            </w:pPr>
            <w:r w:rsidRPr="001C59A6">
              <w:rPr>
                <w:b/>
                <w:bCs/>
                <w:szCs w:val="22"/>
                <w:lang w:val="ru-RU"/>
              </w:rPr>
              <w:t>Копии</w:t>
            </w:r>
            <w:r w:rsidRPr="001C59A6">
              <w:rPr>
                <w:szCs w:val="22"/>
                <w:lang w:val="ru-RU"/>
              </w:rPr>
              <w:t>:</w:t>
            </w:r>
          </w:p>
          <w:p w:rsidR="00797FE8" w:rsidRPr="001C59A6" w:rsidRDefault="00797FE8" w:rsidP="00797FE8">
            <w:pPr>
              <w:tabs>
                <w:tab w:val="clear" w:pos="794"/>
                <w:tab w:val="clear" w:pos="1191"/>
                <w:tab w:val="clear" w:pos="1588"/>
                <w:tab w:val="clear" w:pos="1985"/>
                <w:tab w:val="left" w:pos="284"/>
              </w:tabs>
              <w:spacing w:before="0"/>
              <w:ind w:left="284" w:hanging="284"/>
              <w:rPr>
                <w:szCs w:val="22"/>
                <w:lang w:val="ru-RU"/>
              </w:rPr>
            </w:pPr>
            <w:r w:rsidRPr="001C59A6">
              <w:rPr>
                <w:szCs w:val="22"/>
                <w:lang w:val="ru-RU"/>
              </w:rPr>
              <w:t>–</w:t>
            </w:r>
            <w:r w:rsidRPr="001C59A6">
              <w:rPr>
                <w:szCs w:val="22"/>
                <w:lang w:val="ru-RU"/>
              </w:rPr>
              <w:tab/>
            </w:r>
            <w:r w:rsidR="00C564D0" w:rsidRPr="001C59A6">
              <w:rPr>
                <w:szCs w:val="22"/>
                <w:lang w:val="ru-RU"/>
              </w:rPr>
              <w:t>Председателям и заместителям председателей исследовательских комиссий МСЭ-T</w:t>
            </w:r>
          </w:p>
          <w:p w:rsidR="008F1DEA" w:rsidRPr="001C59A6" w:rsidRDefault="008F1DEA" w:rsidP="00797FE8">
            <w:pPr>
              <w:tabs>
                <w:tab w:val="clear" w:pos="794"/>
                <w:tab w:val="clear" w:pos="1191"/>
                <w:tab w:val="clear" w:pos="1588"/>
                <w:tab w:val="clear" w:pos="1985"/>
                <w:tab w:val="left" w:pos="284"/>
              </w:tabs>
              <w:spacing w:before="0"/>
              <w:ind w:left="284" w:hanging="284"/>
              <w:rPr>
                <w:szCs w:val="22"/>
                <w:lang w:val="ru-RU"/>
              </w:rPr>
            </w:pPr>
            <w:r w:rsidRPr="001C59A6">
              <w:rPr>
                <w:szCs w:val="22"/>
                <w:lang w:val="ru-RU"/>
              </w:rPr>
              <w:t>–</w:t>
            </w:r>
            <w:r w:rsidRPr="001C59A6">
              <w:rPr>
                <w:szCs w:val="22"/>
                <w:lang w:val="ru-RU"/>
              </w:rPr>
              <w:tab/>
              <w:t xml:space="preserve">Директору Бюро развития электросвязи </w:t>
            </w:r>
          </w:p>
          <w:p w:rsidR="008F1DEA" w:rsidRPr="001C59A6" w:rsidRDefault="008F1DEA" w:rsidP="00797FE8">
            <w:pPr>
              <w:tabs>
                <w:tab w:val="clear" w:pos="794"/>
                <w:tab w:val="clear" w:pos="1191"/>
                <w:tab w:val="clear" w:pos="1588"/>
                <w:tab w:val="clear" w:pos="1985"/>
                <w:tab w:val="left" w:pos="284"/>
              </w:tabs>
              <w:spacing w:before="0"/>
              <w:ind w:left="284" w:hanging="284"/>
              <w:rPr>
                <w:szCs w:val="22"/>
                <w:lang w:val="ru-RU"/>
              </w:rPr>
            </w:pPr>
            <w:r w:rsidRPr="001C59A6">
              <w:rPr>
                <w:szCs w:val="22"/>
                <w:lang w:val="ru-RU"/>
              </w:rPr>
              <w:t>–</w:t>
            </w:r>
            <w:r w:rsidRPr="001C59A6">
              <w:rPr>
                <w:szCs w:val="22"/>
                <w:lang w:val="ru-RU"/>
              </w:rPr>
              <w:tab/>
              <w:t>Директору Бюро радиосвязи</w:t>
            </w:r>
          </w:p>
          <w:p w:rsidR="006F1305" w:rsidRPr="001C59A6" w:rsidRDefault="00797FE8" w:rsidP="001E5D5D">
            <w:pPr>
              <w:tabs>
                <w:tab w:val="clear" w:pos="794"/>
                <w:tab w:val="clear" w:pos="1191"/>
                <w:tab w:val="clear" w:pos="1588"/>
                <w:tab w:val="clear" w:pos="1985"/>
                <w:tab w:val="left" w:pos="284"/>
              </w:tabs>
              <w:spacing w:before="0"/>
              <w:ind w:left="284" w:hanging="284"/>
              <w:rPr>
                <w:szCs w:val="22"/>
                <w:lang w:val="ru-RU"/>
              </w:rPr>
            </w:pPr>
            <w:r w:rsidRPr="001C59A6">
              <w:rPr>
                <w:szCs w:val="22"/>
                <w:lang w:val="ru-RU"/>
              </w:rPr>
              <w:t>−</w:t>
            </w:r>
            <w:r w:rsidRPr="001C59A6">
              <w:rPr>
                <w:szCs w:val="22"/>
                <w:lang w:val="ru-RU"/>
              </w:rPr>
              <w:tab/>
            </w:r>
            <w:r w:rsidR="001E5D5D" w:rsidRPr="001C59A6">
              <w:rPr>
                <w:szCs w:val="22"/>
                <w:lang w:val="ru-RU"/>
              </w:rPr>
              <w:t>Директору Регионального отделения МСЭ в регионе Северной и Южной Америки, Бразилиа</w:t>
            </w:r>
          </w:p>
        </w:tc>
      </w:tr>
      <w:tr w:rsidR="00F87345" w:rsidRPr="000C67CA" w:rsidTr="00701D73">
        <w:trPr>
          <w:cantSplit/>
          <w:trHeight w:val="1583"/>
        </w:trPr>
        <w:tc>
          <w:tcPr>
            <w:tcW w:w="1418" w:type="dxa"/>
          </w:tcPr>
          <w:p w:rsidR="00F87345" w:rsidRPr="001C59A6" w:rsidRDefault="00F87345" w:rsidP="00797FE8">
            <w:pPr>
              <w:rPr>
                <w:lang w:val="ru-RU"/>
              </w:rPr>
            </w:pPr>
            <w:r w:rsidRPr="001C59A6">
              <w:rPr>
                <w:lang w:val="ru-RU"/>
              </w:rPr>
              <w:t>Для контактов:</w:t>
            </w:r>
          </w:p>
          <w:p w:rsidR="00F87345" w:rsidRPr="001C59A6" w:rsidRDefault="00F87345" w:rsidP="00797FE8">
            <w:pPr>
              <w:rPr>
                <w:lang w:val="ru-RU"/>
              </w:rPr>
            </w:pPr>
            <w:r w:rsidRPr="001C59A6">
              <w:rPr>
                <w:lang w:val="ru-RU"/>
              </w:rPr>
              <w:t>Тел.:</w:t>
            </w:r>
            <w:r w:rsidRPr="001C59A6">
              <w:rPr>
                <w:lang w:val="ru-RU"/>
              </w:rPr>
              <w:br/>
              <w:t>Факс:</w:t>
            </w:r>
            <w:r w:rsidRPr="001C59A6">
              <w:rPr>
                <w:lang w:val="ru-RU"/>
              </w:rPr>
              <w:br/>
              <w:t>Эл. почта:</w:t>
            </w:r>
          </w:p>
        </w:tc>
        <w:tc>
          <w:tcPr>
            <w:tcW w:w="4111" w:type="dxa"/>
          </w:tcPr>
          <w:p w:rsidR="00F87345" w:rsidRPr="001C59A6" w:rsidRDefault="00C564D0" w:rsidP="00797FE8">
            <w:pPr>
              <w:ind w:left="142"/>
              <w:rPr>
                <w:lang w:val="ru-RU"/>
              </w:rPr>
            </w:pPr>
            <w:r w:rsidRPr="001C59A6">
              <w:rPr>
                <w:b/>
                <w:lang w:val="ru-RU"/>
              </w:rPr>
              <w:t>Мартин Адольф (Martin Adolph)</w:t>
            </w:r>
          </w:p>
          <w:p w:rsidR="00F87345" w:rsidRPr="001C59A6" w:rsidRDefault="00C564D0" w:rsidP="00C564D0">
            <w:pPr>
              <w:ind w:left="142"/>
              <w:rPr>
                <w:b/>
                <w:bCs/>
                <w:lang w:val="ru-RU"/>
              </w:rPr>
            </w:pPr>
            <w:r w:rsidRPr="001C59A6">
              <w:rPr>
                <w:lang w:val="ru-RU"/>
              </w:rPr>
              <w:t>+41 22 730 6828</w:t>
            </w:r>
            <w:r w:rsidR="00F87345" w:rsidRPr="001C59A6">
              <w:rPr>
                <w:lang w:val="ru-RU"/>
              </w:rPr>
              <w:br/>
            </w:r>
            <w:r w:rsidRPr="001C59A6">
              <w:rPr>
                <w:lang w:val="ru-RU"/>
              </w:rPr>
              <w:t>+41 22 730 5853</w:t>
            </w:r>
            <w:r w:rsidR="00F87345" w:rsidRPr="001C59A6">
              <w:rPr>
                <w:lang w:val="ru-RU"/>
              </w:rPr>
              <w:br/>
            </w:r>
            <w:hyperlink r:id="rId9" w:history="1">
              <w:r w:rsidRPr="001C59A6">
                <w:rPr>
                  <w:rStyle w:val="Hyperlink"/>
                  <w:szCs w:val="22"/>
                  <w:lang w:val="ru-RU"/>
                </w:rPr>
                <w:t>tsbevents@itu.int</w:t>
              </w:r>
            </w:hyperlink>
          </w:p>
        </w:tc>
        <w:tc>
          <w:tcPr>
            <w:tcW w:w="4242" w:type="dxa"/>
            <w:vMerge/>
          </w:tcPr>
          <w:p w:rsidR="00F87345" w:rsidRPr="001C59A6" w:rsidRDefault="00F87345" w:rsidP="007D4432">
            <w:pPr>
              <w:tabs>
                <w:tab w:val="left" w:pos="284"/>
              </w:tabs>
              <w:spacing w:before="0"/>
              <w:ind w:left="284" w:hanging="284"/>
              <w:rPr>
                <w:lang w:val="ru-RU"/>
              </w:rPr>
            </w:pPr>
          </w:p>
        </w:tc>
      </w:tr>
    </w:tbl>
    <w:p w:rsidR="001629DC" w:rsidRPr="001C59A6"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418"/>
        <w:gridCol w:w="8363"/>
      </w:tblGrid>
      <w:tr w:rsidR="004F7B49" w:rsidRPr="000C67CA" w:rsidTr="0072564E">
        <w:trPr>
          <w:cantSplit/>
        </w:trPr>
        <w:tc>
          <w:tcPr>
            <w:tcW w:w="1418" w:type="dxa"/>
          </w:tcPr>
          <w:p w:rsidR="004F7B49" w:rsidRPr="001C59A6" w:rsidRDefault="004F7B49" w:rsidP="004F7B49">
            <w:pPr>
              <w:spacing w:before="0"/>
              <w:ind w:left="-107"/>
              <w:rPr>
                <w:lang w:val="ru-RU"/>
              </w:rPr>
            </w:pPr>
            <w:r w:rsidRPr="001C59A6">
              <w:rPr>
                <w:lang w:val="ru-RU"/>
              </w:rPr>
              <w:t>Предмет:</w:t>
            </w:r>
          </w:p>
        </w:tc>
        <w:tc>
          <w:tcPr>
            <w:tcW w:w="8363" w:type="dxa"/>
          </w:tcPr>
          <w:p w:rsidR="004F7B49" w:rsidRPr="001C59A6" w:rsidRDefault="00C564D0" w:rsidP="00C564D0">
            <w:pPr>
              <w:spacing w:before="0"/>
              <w:ind w:left="35"/>
              <w:rPr>
                <w:szCs w:val="22"/>
                <w:lang w:val="ru-RU"/>
              </w:rPr>
            </w:pPr>
            <w:r w:rsidRPr="001C59A6">
              <w:rPr>
                <w:b/>
                <w:bCs/>
                <w:lang w:val="ru-RU"/>
              </w:rPr>
              <w:t xml:space="preserve">Семинар-практикум на тему </w:t>
            </w:r>
            <w:r w:rsidRPr="001C59A6">
              <w:rPr>
                <w:lang w:val="ru-RU"/>
              </w:rPr>
              <w:t>"</w:t>
            </w:r>
            <w:r w:rsidRPr="001C59A6">
              <w:rPr>
                <w:b/>
                <w:bCs/>
                <w:lang w:val="ru-RU"/>
              </w:rPr>
              <w:t>Качество услуг электросвязи</w:t>
            </w:r>
            <w:r w:rsidRPr="001C59A6">
              <w:rPr>
                <w:lang w:val="ru-RU"/>
              </w:rPr>
              <w:t>"</w:t>
            </w:r>
            <w:r w:rsidRPr="001C59A6">
              <w:rPr>
                <w:b/>
                <w:bCs/>
                <w:lang w:val="ru-RU"/>
              </w:rPr>
              <w:t xml:space="preserve"> Рио-де-Жанейро, Бразилия, </w:t>
            </w:r>
            <w:r w:rsidR="009927FE" w:rsidRPr="001C59A6">
              <w:rPr>
                <w:b/>
                <w:bCs/>
                <w:lang w:val="ru-RU"/>
              </w:rPr>
              <w:t>27−</w:t>
            </w:r>
            <w:r w:rsidRPr="001C59A6">
              <w:rPr>
                <w:b/>
                <w:bCs/>
                <w:lang w:val="ru-RU"/>
              </w:rPr>
              <w:t xml:space="preserve">29 ноября 2017 </w:t>
            </w:r>
            <w:r w:rsidR="005228CE" w:rsidRPr="001C59A6">
              <w:rPr>
                <w:b/>
                <w:bCs/>
                <w:szCs w:val="22"/>
                <w:lang w:val="ru-RU"/>
              </w:rPr>
              <w:t>года</w:t>
            </w:r>
          </w:p>
        </w:tc>
      </w:tr>
    </w:tbl>
    <w:p w:rsidR="001629DC" w:rsidRPr="001C59A6" w:rsidRDefault="001629DC" w:rsidP="007B25FD">
      <w:pPr>
        <w:pStyle w:val="Normalaftertitle"/>
        <w:spacing w:before="480"/>
        <w:rPr>
          <w:lang w:val="ru-RU"/>
        </w:rPr>
      </w:pPr>
      <w:r w:rsidRPr="001C59A6">
        <w:rPr>
          <w:lang w:val="ru-RU"/>
        </w:rPr>
        <w:t>Уважаемая госпожа,</w:t>
      </w:r>
      <w:r w:rsidRPr="001C59A6">
        <w:rPr>
          <w:lang w:val="ru-RU"/>
        </w:rPr>
        <w:br/>
        <w:t>уважаемый господин,</w:t>
      </w:r>
    </w:p>
    <w:p w:rsidR="00C564D0" w:rsidRPr="001C59A6" w:rsidRDefault="00C564D0" w:rsidP="009927FE">
      <w:pPr>
        <w:jc w:val="both"/>
        <w:rPr>
          <w:lang w:val="ru-RU"/>
        </w:rPr>
      </w:pPr>
      <w:r w:rsidRPr="001C59A6">
        <w:rPr>
          <w:bCs/>
          <w:lang w:val="ru-RU"/>
        </w:rPr>
        <w:t>1</w:t>
      </w:r>
      <w:r w:rsidRPr="001C59A6">
        <w:rPr>
          <w:lang w:val="ru-RU"/>
        </w:rPr>
        <w:tab/>
        <w:t xml:space="preserve">Хотел бы сообщить вам, что </w:t>
      </w:r>
      <w:r w:rsidRPr="001C59A6">
        <w:rPr>
          <w:b/>
          <w:bCs/>
          <w:lang w:val="ru-RU"/>
        </w:rPr>
        <w:t xml:space="preserve">семинар-практикум МСЭ </w:t>
      </w:r>
      <w:r w:rsidR="001E5D5D" w:rsidRPr="001C59A6">
        <w:rPr>
          <w:lang w:val="ru-RU"/>
        </w:rPr>
        <w:t>"</w:t>
      </w:r>
      <w:r w:rsidRPr="001C59A6">
        <w:rPr>
          <w:b/>
          <w:bCs/>
          <w:lang w:val="ru-RU"/>
        </w:rPr>
        <w:t>Качество услуг электросвязи</w:t>
      </w:r>
      <w:r w:rsidR="001E5D5D" w:rsidRPr="001C59A6">
        <w:rPr>
          <w:lang w:val="ru-RU"/>
        </w:rPr>
        <w:t>"</w:t>
      </w:r>
      <w:r w:rsidRPr="001C59A6">
        <w:rPr>
          <w:lang w:val="ru-RU"/>
        </w:rPr>
        <w:t xml:space="preserve"> состоится в гостинице</w:t>
      </w:r>
      <w:r w:rsidRPr="001C59A6">
        <w:rPr>
          <w:b/>
          <w:bCs/>
          <w:lang w:val="ru-RU"/>
        </w:rPr>
        <w:t xml:space="preserve"> Pestana Rio Atlântica</w:t>
      </w:r>
      <w:r w:rsidRPr="001C59A6">
        <w:rPr>
          <w:lang w:val="ru-RU"/>
        </w:rPr>
        <w:t>, Рио-де-Жанейро, Бразилия,</w:t>
      </w:r>
      <w:r w:rsidR="009927FE" w:rsidRPr="001C59A6">
        <w:rPr>
          <w:lang w:val="ru-RU"/>
        </w:rPr>
        <w:t xml:space="preserve"> </w:t>
      </w:r>
      <w:r w:rsidR="001E5D5D" w:rsidRPr="001C59A6">
        <w:rPr>
          <w:b/>
          <w:bCs/>
          <w:lang w:val="ru-RU"/>
        </w:rPr>
        <w:t>27</w:t>
      </w:r>
      <w:r w:rsidR="009927FE" w:rsidRPr="001C59A6">
        <w:rPr>
          <w:b/>
          <w:bCs/>
          <w:lang w:val="ru-RU"/>
        </w:rPr>
        <w:t>−</w:t>
      </w:r>
      <w:r w:rsidRPr="001C59A6">
        <w:rPr>
          <w:b/>
          <w:bCs/>
          <w:lang w:val="ru-RU"/>
        </w:rPr>
        <w:t>29 ноября 2017 года</w:t>
      </w:r>
      <w:r w:rsidRPr="001C59A6">
        <w:rPr>
          <w:lang w:val="ru-RU"/>
        </w:rPr>
        <w:t>.</w:t>
      </w:r>
    </w:p>
    <w:p w:rsidR="00C564D0" w:rsidRPr="001C59A6" w:rsidRDefault="00C564D0" w:rsidP="001E5D5D">
      <w:pPr>
        <w:jc w:val="both"/>
        <w:rPr>
          <w:bCs/>
          <w:lang w:val="ru-RU"/>
        </w:rPr>
      </w:pPr>
      <w:r w:rsidRPr="001C59A6">
        <w:rPr>
          <w:bCs/>
          <w:lang w:val="ru-RU"/>
        </w:rPr>
        <w:t xml:space="preserve">Семинар-практикум будет проходить при институциональной поддержке бразильского регуляторного органа электросвязи </w:t>
      </w:r>
      <w:r w:rsidRPr="001C59A6">
        <w:rPr>
          <w:b/>
          <w:bCs/>
          <w:lang w:val="ru-RU"/>
        </w:rPr>
        <w:t>ANATEL (</w:t>
      </w:r>
      <w:r w:rsidRPr="001C59A6">
        <w:rPr>
          <w:b/>
          <w:lang w:val="ru-RU"/>
        </w:rPr>
        <w:t>Agência Nacional de Telecomunicações</w:t>
      </w:r>
      <w:r w:rsidRPr="001C59A6">
        <w:rPr>
          <w:lang w:val="ru-RU"/>
        </w:rPr>
        <w:t>) и спонсорской поддержке местных компаний</w:t>
      </w:r>
      <w:r w:rsidRPr="001C59A6">
        <w:rPr>
          <w:bCs/>
          <w:lang w:val="ru-RU"/>
        </w:rPr>
        <w:t xml:space="preserve">. </w:t>
      </w:r>
    </w:p>
    <w:p w:rsidR="00C564D0" w:rsidRPr="001C59A6" w:rsidRDefault="00C564D0" w:rsidP="009927FE">
      <w:pPr>
        <w:jc w:val="both"/>
        <w:rPr>
          <w:lang w:val="ru-RU"/>
        </w:rPr>
      </w:pPr>
      <w:r w:rsidRPr="001C59A6">
        <w:rPr>
          <w:lang w:val="ru-RU"/>
        </w:rPr>
        <w:t xml:space="preserve">Открытие семинара-практикума состоится в 09 час. 00 мин. Регистрация участников начнется </w:t>
      </w:r>
      <w:r w:rsidR="009927FE" w:rsidRPr="001C59A6">
        <w:rPr>
          <w:lang w:val="ru-RU"/>
        </w:rPr>
        <w:t>в </w:t>
      </w:r>
      <w:r w:rsidRPr="001C59A6">
        <w:rPr>
          <w:lang w:val="ru-RU"/>
        </w:rPr>
        <w:t>08</w:t>
      </w:r>
      <w:r w:rsidR="009927FE" w:rsidRPr="001C59A6">
        <w:rPr>
          <w:lang w:val="ru-RU"/>
        </w:rPr>
        <w:t> час. </w:t>
      </w:r>
      <w:r w:rsidRPr="001C59A6">
        <w:rPr>
          <w:lang w:val="ru-RU"/>
        </w:rPr>
        <w:t>30</w:t>
      </w:r>
      <w:r w:rsidR="009927FE" w:rsidRPr="001C59A6">
        <w:rPr>
          <w:lang w:val="ru-RU"/>
        </w:rPr>
        <w:t> </w:t>
      </w:r>
      <w:r w:rsidRPr="001C59A6">
        <w:rPr>
          <w:lang w:val="ru-RU"/>
        </w:rPr>
        <w:t>мин.</w:t>
      </w:r>
    </w:p>
    <w:p w:rsidR="00C564D0" w:rsidRPr="001C59A6" w:rsidRDefault="00C564D0" w:rsidP="001E5D5D">
      <w:pPr>
        <w:jc w:val="both"/>
        <w:rPr>
          <w:lang w:val="ru-RU"/>
        </w:rPr>
      </w:pPr>
      <w:r w:rsidRPr="001C59A6">
        <w:rPr>
          <w:lang w:val="ru-RU"/>
        </w:rPr>
        <w:t>2</w:t>
      </w:r>
      <w:r w:rsidRPr="001C59A6">
        <w:rPr>
          <w:lang w:val="ru-RU"/>
        </w:rPr>
        <w:tab/>
        <w:t xml:space="preserve">Семинар-практикум задуман как платформа для обсуждения между всеми заинтересованными сторонами текущих тенденций в области качества услуг электросвязи, включая нормативно-правовую базу, поведение клиентов и стратегии в области качества обслуживания и оценки качества услуг пользователями. </w:t>
      </w:r>
    </w:p>
    <w:p w:rsidR="00C564D0" w:rsidRPr="001C59A6" w:rsidRDefault="00C564D0" w:rsidP="001E5D5D">
      <w:pPr>
        <w:jc w:val="both"/>
        <w:rPr>
          <w:bCs/>
          <w:lang w:val="ru-RU"/>
        </w:rPr>
      </w:pPr>
      <w:r w:rsidRPr="001C59A6">
        <w:rPr>
          <w:bCs/>
          <w:lang w:val="ru-RU"/>
        </w:rPr>
        <w:t xml:space="preserve">Он организован </w:t>
      </w:r>
      <w:r w:rsidRPr="001C59A6">
        <w:rPr>
          <w:b/>
          <w:lang w:val="ru-RU"/>
        </w:rPr>
        <w:t>Группой по разработке качества обслуживания</w:t>
      </w:r>
      <w:r w:rsidRPr="001C59A6">
        <w:rPr>
          <w:bCs/>
          <w:lang w:val="ru-RU"/>
        </w:rPr>
        <w:t xml:space="preserve"> (QSDG), действующей в рамках </w:t>
      </w:r>
      <w:r w:rsidR="001E5D5D" w:rsidRPr="001C59A6">
        <w:rPr>
          <w:bCs/>
          <w:lang w:val="ru-RU"/>
        </w:rPr>
        <w:t>12</w:t>
      </w:r>
      <w:r w:rsidR="001E5D5D" w:rsidRPr="001C59A6">
        <w:rPr>
          <w:bCs/>
          <w:lang w:val="ru-RU"/>
        </w:rPr>
        <w:noBreakHyphen/>
        <w:t>й </w:t>
      </w:r>
      <w:r w:rsidRPr="001C59A6">
        <w:rPr>
          <w:bCs/>
          <w:lang w:val="ru-RU"/>
        </w:rPr>
        <w:t xml:space="preserve">Исследовательской комиссии МСЭ-T (Показатели работы, качество обслуживания и оценка пользователем качества услуги) во исполнение </w:t>
      </w:r>
      <w:r w:rsidRPr="001C59A6">
        <w:rPr>
          <w:b/>
          <w:lang w:val="ru-RU"/>
        </w:rPr>
        <w:t xml:space="preserve">Резолюции 95 </w:t>
      </w:r>
      <w:r w:rsidRPr="001C59A6">
        <w:rPr>
          <w:bCs/>
          <w:lang w:val="ru-RU"/>
        </w:rPr>
        <w:t xml:space="preserve">"Инициативы Сектора стандартизации электросвязи МСЭ по повышению уровня информированности о передовом опыте и политике, касающихся качества обслуживания" </w:t>
      </w:r>
      <w:r w:rsidRPr="001C59A6">
        <w:rPr>
          <w:b/>
          <w:lang w:val="ru-RU"/>
        </w:rPr>
        <w:t>ВАСЭ</w:t>
      </w:r>
      <w:r w:rsidRPr="001C59A6">
        <w:rPr>
          <w:b/>
          <w:lang w:val="ru-RU"/>
        </w:rPr>
        <w:noBreakHyphen/>
        <w:t>16</w:t>
      </w:r>
      <w:r w:rsidRPr="001C59A6">
        <w:rPr>
          <w:bCs/>
          <w:lang w:val="ru-RU"/>
        </w:rPr>
        <w:t>.</w:t>
      </w:r>
    </w:p>
    <w:p w:rsidR="001C59A6" w:rsidRPr="001C59A6" w:rsidRDefault="001C59A6">
      <w:pPr>
        <w:tabs>
          <w:tab w:val="clear" w:pos="794"/>
          <w:tab w:val="clear" w:pos="1191"/>
          <w:tab w:val="clear" w:pos="1588"/>
          <w:tab w:val="clear" w:pos="1985"/>
        </w:tabs>
        <w:spacing w:before="0"/>
        <w:rPr>
          <w:lang w:val="ru-RU"/>
        </w:rPr>
      </w:pPr>
      <w:r w:rsidRPr="001C59A6">
        <w:rPr>
          <w:lang w:val="ru-RU"/>
        </w:rPr>
        <w:br w:type="page"/>
      </w:r>
    </w:p>
    <w:p w:rsidR="00C564D0" w:rsidRPr="001C59A6" w:rsidRDefault="001E5D5D" w:rsidP="001E5D5D">
      <w:pPr>
        <w:jc w:val="both"/>
        <w:rPr>
          <w:lang w:val="ru-RU"/>
        </w:rPr>
      </w:pPr>
      <w:r w:rsidRPr="001C59A6">
        <w:rPr>
          <w:lang w:val="ru-RU"/>
        </w:rPr>
        <w:lastRenderedPageBreak/>
        <w:t>3</w:t>
      </w:r>
      <w:r w:rsidRPr="001C59A6">
        <w:rPr>
          <w:lang w:val="ru-RU"/>
        </w:rPr>
        <w:tab/>
      </w:r>
      <w:r w:rsidR="00C564D0" w:rsidRPr="001C59A6">
        <w:rPr>
          <w:lang w:val="ru-RU"/>
        </w:rPr>
        <w:t xml:space="preserve">Информация о </w:t>
      </w:r>
      <w:r w:rsidR="00C564D0" w:rsidRPr="001C59A6">
        <w:rPr>
          <w:spacing w:val="-2"/>
          <w:lang w:val="ru-RU"/>
        </w:rPr>
        <w:t>семинаре-практикуме</w:t>
      </w:r>
      <w:r w:rsidR="00C564D0" w:rsidRPr="001C59A6">
        <w:rPr>
          <w:lang w:val="ru-RU"/>
        </w:rPr>
        <w:t>, включая проект программы, будет опубликована на веб</w:t>
      </w:r>
      <w:r w:rsidRPr="001C59A6">
        <w:rPr>
          <w:lang w:val="ru-RU"/>
        </w:rPr>
        <w:t>-</w:t>
      </w:r>
      <w:r w:rsidR="00C564D0" w:rsidRPr="001C59A6">
        <w:rPr>
          <w:lang w:val="ru-RU"/>
        </w:rPr>
        <w:t xml:space="preserve">сайте мероприятия по следующему адресу: </w:t>
      </w:r>
      <w:r w:rsidR="00731DF7">
        <w:fldChar w:fldCharType="begin"/>
      </w:r>
      <w:r w:rsidR="00731DF7" w:rsidRPr="000C67CA">
        <w:rPr>
          <w:lang w:val="ru-RU"/>
        </w:rPr>
        <w:instrText xml:space="preserve"> </w:instrText>
      </w:r>
      <w:r w:rsidR="00731DF7">
        <w:instrText>HYPERLINK</w:instrText>
      </w:r>
      <w:r w:rsidR="00731DF7" w:rsidRPr="000C67CA">
        <w:rPr>
          <w:lang w:val="ru-RU"/>
        </w:rPr>
        <w:instrText xml:space="preserve"> "</w:instrText>
      </w:r>
      <w:r w:rsidR="00731DF7">
        <w:instrText>https</w:instrText>
      </w:r>
      <w:r w:rsidR="00731DF7" w:rsidRPr="000C67CA">
        <w:rPr>
          <w:lang w:val="ru-RU"/>
        </w:rPr>
        <w:instrText>://</w:instrText>
      </w:r>
      <w:r w:rsidR="00731DF7">
        <w:instrText>itu</w:instrText>
      </w:r>
      <w:r w:rsidR="00731DF7" w:rsidRPr="000C67CA">
        <w:rPr>
          <w:lang w:val="ru-RU"/>
        </w:rPr>
        <w:instrText>.</w:instrText>
      </w:r>
      <w:r w:rsidR="00731DF7">
        <w:instrText>int</w:instrText>
      </w:r>
      <w:r w:rsidR="00731DF7" w:rsidRPr="000C67CA">
        <w:rPr>
          <w:lang w:val="ru-RU"/>
        </w:rPr>
        <w:instrText>/</w:instrText>
      </w:r>
      <w:r w:rsidR="00731DF7">
        <w:instrText>en</w:instrText>
      </w:r>
      <w:r w:rsidR="00731DF7" w:rsidRPr="000C67CA">
        <w:rPr>
          <w:lang w:val="ru-RU"/>
        </w:rPr>
        <w:instrText>/</w:instrText>
      </w:r>
      <w:r w:rsidR="00731DF7">
        <w:instrText>ITU</w:instrText>
      </w:r>
      <w:r w:rsidR="00731DF7" w:rsidRPr="000C67CA">
        <w:rPr>
          <w:lang w:val="ru-RU"/>
        </w:rPr>
        <w:instrText>-</w:instrText>
      </w:r>
      <w:r w:rsidR="00731DF7">
        <w:instrText>T</w:instrText>
      </w:r>
      <w:r w:rsidR="00731DF7" w:rsidRPr="000C67CA">
        <w:rPr>
          <w:lang w:val="ru-RU"/>
        </w:rPr>
        <w:instrText>/</w:instrText>
      </w:r>
      <w:r w:rsidR="00731DF7">
        <w:instrText>Workshops</w:instrText>
      </w:r>
      <w:r w:rsidR="00731DF7" w:rsidRPr="000C67CA">
        <w:rPr>
          <w:lang w:val="ru-RU"/>
        </w:rPr>
        <w:instrText>-</w:instrText>
      </w:r>
      <w:r w:rsidR="00731DF7">
        <w:instrText>and</w:instrText>
      </w:r>
      <w:r w:rsidR="00731DF7" w:rsidRPr="000C67CA">
        <w:rPr>
          <w:lang w:val="ru-RU"/>
        </w:rPr>
        <w:instrText>-</w:instrText>
      </w:r>
      <w:r w:rsidR="00731DF7">
        <w:instrText>Seminars</w:instrText>
      </w:r>
      <w:r w:rsidR="00731DF7" w:rsidRPr="000C67CA">
        <w:rPr>
          <w:lang w:val="ru-RU"/>
        </w:rPr>
        <w:instrText>/</w:instrText>
      </w:r>
      <w:r w:rsidR="00731DF7">
        <w:instrText>qos</w:instrText>
      </w:r>
      <w:r w:rsidR="00731DF7" w:rsidRPr="000C67CA">
        <w:rPr>
          <w:lang w:val="ru-RU"/>
        </w:rPr>
        <w:instrText xml:space="preserve">/201711/" </w:instrText>
      </w:r>
      <w:r w:rsidR="00731DF7">
        <w:fldChar w:fldCharType="separate"/>
      </w:r>
      <w:r w:rsidR="00C564D0" w:rsidRPr="001C59A6">
        <w:rPr>
          <w:rStyle w:val="Hyperlink"/>
          <w:spacing w:val="-6"/>
          <w:lang w:val="ru-RU"/>
        </w:rPr>
        <w:t>https://itu.int/en/ITU-T/Workshops-and-Seminars/qos/201711/</w:t>
      </w:r>
      <w:r w:rsidR="00731DF7">
        <w:rPr>
          <w:rStyle w:val="Hyperlink"/>
          <w:spacing w:val="-6"/>
          <w:lang w:val="ru-RU"/>
        </w:rPr>
        <w:fldChar w:fldCharType="end"/>
      </w:r>
      <w:r w:rsidR="00C564D0" w:rsidRPr="001C59A6">
        <w:rPr>
          <w:lang w:val="ru-RU"/>
        </w:rPr>
        <w:t>. Содержание данного веб-сайта будет обновляться на регулярной основе по мере появления новой или измененной информации. Участникам предлагается периодически проверять содержание веб-сайта на предмет появления новой информации.</w:t>
      </w:r>
    </w:p>
    <w:p w:rsidR="00C564D0" w:rsidRPr="001C59A6" w:rsidRDefault="00C564D0" w:rsidP="001E5D5D">
      <w:pPr>
        <w:jc w:val="both"/>
        <w:rPr>
          <w:lang w:val="ru-RU"/>
        </w:rPr>
      </w:pPr>
      <w:r w:rsidRPr="001C59A6">
        <w:rPr>
          <w:bCs/>
          <w:lang w:val="ru-RU"/>
        </w:rPr>
        <w:t>4</w:t>
      </w:r>
      <w:r w:rsidRPr="001C59A6">
        <w:rPr>
          <w:lang w:val="ru-RU"/>
        </w:rPr>
        <w:tab/>
        <w:t>Семинар-практикум будет проходить на английском языке; при этом будет обеспечен устный перевод на испанский и португальский языки.</w:t>
      </w:r>
    </w:p>
    <w:p w:rsidR="00C564D0" w:rsidRPr="001C59A6" w:rsidRDefault="00C564D0" w:rsidP="001C59A6">
      <w:pPr>
        <w:jc w:val="both"/>
        <w:rPr>
          <w:lang w:val="ru-RU"/>
        </w:rPr>
      </w:pPr>
      <w:r w:rsidRPr="001C59A6">
        <w:rPr>
          <w:lang w:val="ru-RU"/>
        </w:rPr>
        <w:t>5</w:t>
      </w:r>
      <w:r w:rsidRPr="001C59A6">
        <w:rPr>
          <w:lang w:val="ru-RU"/>
        </w:rPr>
        <w:tab/>
        <w:t>В семинаре-практикуме мо</w:t>
      </w:r>
      <w:r w:rsidR="001C59A6" w:rsidRPr="001C59A6">
        <w:rPr>
          <w:lang w:val="ru-RU"/>
        </w:rPr>
        <w:t xml:space="preserve">гут принять участие Государства − </w:t>
      </w:r>
      <w:r w:rsidRPr="001C59A6">
        <w:rPr>
          <w:lang w:val="ru-RU"/>
        </w:rPr>
        <w:t>Члены МСЭ, Члены Секторов МСЭ, Ассоциированные члены МСЭ и Академические организации</w:t>
      </w:r>
      <w:r w:rsidR="001C59A6" w:rsidRPr="001C59A6">
        <w:rPr>
          <w:lang w:val="ru-RU"/>
        </w:rPr>
        <w:t xml:space="preserve"> − </w:t>
      </w:r>
      <w:r w:rsidRPr="001C59A6">
        <w:rPr>
          <w:lang w:val="ru-RU"/>
        </w:rPr>
        <w:t xml:space="preserve">Члены МСЭ,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Участие в семинаре-практикуме является бесплатным, </w:t>
      </w:r>
      <w:r w:rsidRPr="001C59A6">
        <w:rPr>
          <w:b/>
          <w:bCs/>
          <w:lang w:val="ru-RU"/>
        </w:rPr>
        <w:t>но стипендии не предоставляются</w:t>
      </w:r>
      <w:r w:rsidRPr="001C59A6">
        <w:rPr>
          <w:lang w:val="ru-RU"/>
        </w:rPr>
        <w:t xml:space="preserve">. </w:t>
      </w:r>
    </w:p>
    <w:p w:rsidR="00C564D0" w:rsidRPr="001C59A6" w:rsidRDefault="00C564D0" w:rsidP="001E5D5D">
      <w:pPr>
        <w:jc w:val="both"/>
        <w:rPr>
          <w:rFonts w:ascii="Calibri" w:hAnsi="Calibri"/>
          <w:color w:val="1F497D"/>
          <w:lang w:val="ru-RU"/>
        </w:rPr>
      </w:pPr>
      <w:r w:rsidRPr="001C59A6">
        <w:rPr>
          <w:lang w:val="ru-RU"/>
        </w:rPr>
        <w:t>6</w:t>
      </w:r>
      <w:r w:rsidRPr="001C59A6">
        <w:rPr>
          <w:lang w:val="ru-RU"/>
        </w:rPr>
        <w:tab/>
      </w:r>
      <w:r w:rsidRPr="001C59A6">
        <w:rPr>
          <w:szCs w:val="22"/>
          <w:lang w:val="ru-RU"/>
        </w:rPr>
        <w:t>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w:t>
      </w:r>
      <w:r w:rsidRPr="001C59A6">
        <w:rPr>
          <w:lang w:val="ru-RU"/>
        </w:rPr>
        <w:t xml:space="preserve"> </w:t>
      </w:r>
      <w:hyperlink r:id="rId10" w:history="1">
        <w:r w:rsidRPr="001C59A6">
          <w:rPr>
            <w:rStyle w:val="Hyperlink"/>
            <w:lang w:val="ru-RU"/>
          </w:rPr>
          <w:t>http://itu.int/reg/tmisc/3001018</w:t>
        </w:r>
      </w:hyperlink>
      <w:r w:rsidRPr="001C59A6">
        <w:rPr>
          <w:lang w:val="ru-RU"/>
        </w:rPr>
        <w:t xml:space="preserve"> </w:t>
      </w:r>
      <w:r w:rsidRPr="001C59A6">
        <w:rPr>
          <w:szCs w:val="22"/>
          <w:lang w:val="ru-RU"/>
        </w:rPr>
        <w:t>в максимально короткий срок, но</w:t>
      </w:r>
      <w:r w:rsidRPr="001C59A6">
        <w:rPr>
          <w:b/>
          <w:lang w:val="ru-RU"/>
        </w:rPr>
        <w:t xml:space="preserve"> не позднее 20 ноября 2017 года</w:t>
      </w:r>
      <w:r w:rsidRPr="001C59A6">
        <w:rPr>
          <w:bCs/>
          <w:lang w:val="ru-RU"/>
        </w:rPr>
        <w:t>.</w:t>
      </w:r>
      <w:r w:rsidRPr="001C59A6">
        <w:rPr>
          <w:lang w:val="ru-RU"/>
        </w:rPr>
        <w:t xml:space="preserve"> </w:t>
      </w:r>
      <w:r w:rsidRPr="001C59A6">
        <w:rPr>
          <w:szCs w:val="22"/>
          <w:lang w:val="ru-RU"/>
        </w:rPr>
        <w:t xml:space="preserve">Просьба принять к сведению, что предварительная регистрация участников семинаров-практикумов проводится только в </w:t>
      </w:r>
      <w:r w:rsidRPr="001C59A6">
        <w:rPr>
          <w:i/>
          <w:iCs/>
          <w:szCs w:val="22"/>
          <w:lang w:val="ru-RU"/>
        </w:rPr>
        <w:t>онлайновом</w:t>
      </w:r>
      <w:r w:rsidRPr="001C59A6">
        <w:rPr>
          <w:szCs w:val="22"/>
          <w:lang w:val="ru-RU"/>
        </w:rPr>
        <w:t xml:space="preserve"> </w:t>
      </w:r>
      <w:r w:rsidRPr="001C59A6">
        <w:rPr>
          <w:i/>
          <w:iCs/>
          <w:szCs w:val="22"/>
          <w:lang w:val="ru-RU"/>
        </w:rPr>
        <w:t>режиме</w:t>
      </w:r>
      <w:r w:rsidRPr="001C59A6">
        <w:rPr>
          <w:szCs w:val="22"/>
          <w:lang w:val="ru-RU"/>
        </w:rPr>
        <w:t>.</w:t>
      </w:r>
    </w:p>
    <w:p w:rsidR="00C564D0" w:rsidRPr="001C59A6" w:rsidRDefault="00C564D0" w:rsidP="001E5D5D">
      <w:pPr>
        <w:jc w:val="both"/>
        <w:rPr>
          <w:lang w:val="ru-RU"/>
        </w:rPr>
      </w:pPr>
      <w:r w:rsidRPr="001C59A6">
        <w:rPr>
          <w:lang w:val="ru-RU"/>
        </w:rPr>
        <w:t>7</w:t>
      </w:r>
      <w:r w:rsidRPr="001C59A6">
        <w:rPr>
          <w:lang w:val="ru-RU"/>
        </w:rPr>
        <w:tab/>
        <w:t xml:space="preserve">Будет обеспечена возможность </w:t>
      </w:r>
      <w:r w:rsidRPr="001C59A6">
        <w:rPr>
          <w:b/>
          <w:bCs/>
          <w:lang w:val="ru-RU"/>
        </w:rPr>
        <w:t>дистанционного участия</w:t>
      </w:r>
      <w:r w:rsidRPr="001C59A6">
        <w:rPr>
          <w:lang w:val="ru-RU"/>
        </w:rPr>
        <w:t>. Подробная информация об этом будет предоставлена участникам, зарегистрировавшимся для дистанционного участия.</w:t>
      </w:r>
    </w:p>
    <w:p w:rsidR="00C564D0" w:rsidRPr="001C59A6" w:rsidRDefault="00C564D0" w:rsidP="001E5D5D">
      <w:pPr>
        <w:jc w:val="both"/>
        <w:rPr>
          <w:lang w:val="ru-RU"/>
        </w:rPr>
      </w:pPr>
      <w:r w:rsidRPr="001C59A6">
        <w:rPr>
          <w:lang w:val="ru-RU"/>
        </w:rPr>
        <w:t>8</w:t>
      </w:r>
      <w:r w:rsidRPr="001C59A6">
        <w:rPr>
          <w:lang w:val="ru-RU"/>
        </w:rPr>
        <w:tab/>
        <w:t>Хотел бы напомнить вам, что, в зависимости от гражданства участника, ему может потребоваться въездная виза, подлежащая предъявлению местным властям. Более подробная информация о визовых требованиях приведена в Приложении 2.</w:t>
      </w:r>
    </w:p>
    <w:p w:rsidR="009E79C5" w:rsidRDefault="009E79C5" w:rsidP="00C564D0">
      <w:pPr>
        <w:pStyle w:val="Normalaftertitle"/>
        <w:keepNext/>
        <w:keepLines/>
        <w:spacing w:before="240"/>
        <w:rPr>
          <w:lang w:val="ru-RU"/>
        </w:rPr>
      </w:pPr>
      <w:r w:rsidRPr="001C59A6">
        <w:rPr>
          <w:lang w:val="ru-RU"/>
        </w:rPr>
        <w:t>С уважением,</w:t>
      </w:r>
    </w:p>
    <w:p w:rsidR="000C67CA" w:rsidRPr="000C67CA" w:rsidRDefault="00731DF7" w:rsidP="000C67CA">
      <w:pPr>
        <w:rPr>
          <w:lang w:val="ru-RU"/>
        </w:rPr>
      </w:pPr>
      <w:r>
        <w:rPr>
          <w:noProof/>
          <w:lang w:eastAsia="zh-CN"/>
        </w:rPr>
        <w:drawing>
          <wp:inline distT="0" distB="0" distL="0" distR="0">
            <wp:extent cx="722870" cy="38762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1">
                      <a:extLst>
                        <a:ext uri="{28A0092B-C50C-407E-A947-70E740481C1C}">
                          <a14:useLocalDpi xmlns:a14="http://schemas.microsoft.com/office/drawing/2010/main" val="0"/>
                        </a:ext>
                      </a:extLst>
                    </a:blip>
                    <a:stretch>
                      <a:fillRect/>
                    </a:stretch>
                  </pic:blipFill>
                  <pic:spPr>
                    <a:xfrm>
                      <a:off x="0" y="0"/>
                      <a:ext cx="734084" cy="393639"/>
                    </a:xfrm>
                    <a:prstGeom prst="rect">
                      <a:avLst/>
                    </a:prstGeom>
                  </pic:spPr>
                </pic:pic>
              </a:graphicData>
            </a:graphic>
          </wp:inline>
        </w:drawing>
      </w:r>
    </w:p>
    <w:p w:rsidR="009E79C5" w:rsidRPr="001C59A6" w:rsidRDefault="009E79C5" w:rsidP="000C67CA">
      <w:pPr>
        <w:pStyle w:val="Normalaftertitle"/>
        <w:keepNext/>
        <w:keepLines/>
        <w:spacing w:before="0"/>
        <w:rPr>
          <w:lang w:val="ru-RU"/>
        </w:rPr>
      </w:pPr>
      <w:r w:rsidRPr="001C59A6">
        <w:rPr>
          <w:lang w:val="ru-RU"/>
        </w:rPr>
        <w:t>Чхе Суб Ли</w:t>
      </w:r>
      <w:bookmarkStart w:id="1" w:name="_GoBack"/>
      <w:bookmarkEnd w:id="1"/>
      <w:r w:rsidRPr="001C59A6">
        <w:rPr>
          <w:lang w:val="ru-RU"/>
        </w:rPr>
        <w:br/>
        <w:t>Директор Бюро</w:t>
      </w:r>
      <w:r w:rsidRPr="001C59A6">
        <w:rPr>
          <w:lang w:val="ru-RU"/>
        </w:rPr>
        <w:br/>
        <w:t>стандартизации электросвязи</w:t>
      </w:r>
    </w:p>
    <w:p w:rsidR="005228CE" w:rsidRPr="001C59A6" w:rsidRDefault="009E79C5" w:rsidP="000C67CA">
      <w:pPr>
        <w:spacing w:before="960"/>
        <w:ind w:right="91"/>
        <w:rPr>
          <w:lang w:val="ru-RU"/>
        </w:rPr>
      </w:pPr>
      <w:r w:rsidRPr="001C59A6">
        <w:rPr>
          <w:b/>
          <w:lang w:val="ru-RU"/>
        </w:rPr>
        <w:t>Приложения</w:t>
      </w:r>
      <w:r w:rsidR="005228CE" w:rsidRPr="001C59A6">
        <w:rPr>
          <w:bCs/>
          <w:lang w:val="ru-RU"/>
        </w:rPr>
        <w:t xml:space="preserve">: </w:t>
      </w:r>
      <w:r w:rsidR="00C564D0" w:rsidRPr="001C59A6">
        <w:rPr>
          <w:bCs/>
          <w:lang w:val="ru-RU"/>
        </w:rPr>
        <w:t>2</w:t>
      </w:r>
    </w:p>
    <w:p w:rsidR="00383619" w:rsidRPr="001C59A6" w:rsidRDefault="00383619">
      <w:pPr>
        <w:tabs>
          <w:tab w:val="clear" w:pos="794"/>
          <w:tab w:val="clear" w:pos="1191"/>
          <w:tab w:val="clear" w:pos="1588"/>
          <w:tab w:val="clear" w:pos="1985"/>
        </w:tabs>
        <w:spacing w:before="0"/>
        <w:rPr>
          <w:lang w:val="ru-RU"/>
        </w:rPr>
      </w:pPr>
      <w:r w:rsidRPr="001C59A6">
        <w:rPr>
          <w:lang w:val="ru-RU"/>
        </w:rPr>
        <w:br w:type="page"/>
      </w:r>
    </w:p>
    <w:p w:rsidR="001E5D5D" w:rsidRPr="000C67CA" w:rsidRDefault="001E5D5D" w:rsidP="001E5D5D">
      <w:pPr>
        <w:pStyle w:val="AnnexNo"/>
        <w:rPr>
          <w:b/>
          <w:bCs/>
          <w:sz w:val="24"/>
          <w:szCs w:val="24"/>
          <w:lang w:val="ru-RU"/>
        </w:rPr>
      </w:pPr>
      <w:r w:rsidRPr="000C67CA">
        <w:rPr>
          <w:b/>
          <w:bCs/>
          <w:sz w:val="24"/>
          <w:szCs w:val="24"/>
          <w:lang w:val="ru-RU"/>
        </w:rPr>
        <w:lastRenderedPageBreak/>
        <w:t>Annex 1</w:t>
      </w:r>
    </w:p>
    <w:p w:rsidR="001E5D5D" w:rsidRPr="001C59A6" w:rsidRDefault="001C59A6" w:rsidP="001E5D5D">
      <w:pPr>
        <w:pStyle w:val="Annextitle0"/>
        <w:rPr>
          <w:b w:val="0"/>
          <w:lang w:val="ru-RU"/>
        </w:rPr>
      </w:pPr>
      <w:r w:rsidRPr="001C59A6">
        <w:rPr>
          <w:lang w:val="ru-RU"/>
        </w:rPr>
        <w:t>Draft Agenda</w:t>
      </w: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1E5D5D" w:rsidRPr="001C59A6" w:rsidTr="00BA4DAF">
        <w:trPr>
          <w:trHeight w:val="432"/>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1E5D5D" w:rsidRPr="001C59A6" w:rsidRDefault="001E5D5D" w:rsidP="001C59A6">
            <w:pPr>
              <w:tabs>
                <w:tab w:val="left" w:pos="305"/>
              </w:tabs>
              <w:spacing w:before="60" w:after="60" w:line="240" w:lineRule="atLeast"/>
              <w:rPr>
                <w:b/>
                <w:bCs/>
                <w:lang w:val="ru-RU"/>
              </w:rPr>
            </w:pPr>
            <w:r w:rsidRPr="001C59A6">
              <w:rPr>
                <w:b/>
                <w:bCs/>
                <w:lang w:val="ru-RU"/>
              </w:rPr>
              <w:t>Monday, 27 November 2017</w:t>
            </w:r>
          </w:p>
        </w:tc>
      </w:tr>
      <w:tr w:rsidR="001E5D5D" w:rsidRPr="001C59A6" w:rsidTr="00BA4DAF">
        <w:trPr>
          <w:trHeight w:val="27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08:30 – 09:00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rPr>
                <w:lang w:val="ru-RU"/>
              </w:rPr>
            </w:pPr>
            <w:r w:rsidRPr="001C59A6">
              <w:rPr>
                <w:lang w:val="ru-RU"/>
              </w:rPr>
              <w:t>Registration</w:t>
            </w:r>
          </w:p>
        </w:tc>
      </w:tr>
      <w:tr w:rsidR="001E5D5D" w:rsidRPr="001C59A6" w:rsidTr="00BA4DAF">
        <w:trPr>
          <w:trHeight w:val="417"/>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09:00 – 09:30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rPr>
                <w:b/>
                <w:bCs/>
                <w:lang w:val="ru-RU"/>
              </w:rPr>
            </w:pPr>
            <w:r w:rsidRPr="001C59A6">
              <w:rPr>
                <w:b/>
                <w:bCs/>
                <w:lang w:val="ru-RU"/>
              </w:rPr>
              <w:t>Opening session</w:t>
            </w:r>
          </w:p>
          <w:p w:rsidR="001E5D5D" w:rsidRPr="001C59A6" w:rsidRDefault="001E5D5D" w:rsidP="001C59A6">
            <w:pPr>
              <w:tabs>
                <w:tab w:val="left" w:pos="14"/>
              </w:tabs>
              <w:spacing w:before="60" w:after="60"/>
              <w:ind w:right="102"/>
              <w:rPr>
                <w:lang w:val="ru-RU"/>
              </w:rPr>
            </w:pPr>
            <w:r w:rsidRPr="001C59A6">
              <w:rPr>
                <w:lang w:val="ru-RU"/>
              </w:rPr>
              <w:t>Welcome remarks</w:t>
            </w:r>
          </w:p>
        </w:tc>
      </w:tr>
      <w:tr w:rsidR="001E5D5D" w:rsidRPr="001C59A6" w:rsidTr="00BA4DAF">
        <w:trPr>
          <w:trHeight w:val="20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09:30 – 10:30</w:t>
            </w:r>
          </w:p>
        </w:tc>
        <w:tc>
          <w:tcPr>
            <w:tcW w:w="8190" w:type="dxa"/>
            <w:tcBorders>
              <w:top w:val="dotted" w:sz="4" w:space="0" w:color="auto"/>
              <w:left w:val="dotted" w:sz="4" w:space="0" w:color="auto"/>
              <w:bottom w:val="dotted" w:sz="4" w:space="0" w:color="auto"/>
              <w:right w:val="dotted" w:sz="4" w:space="0" w:color="auto"/>
            </w:tcBorders>
            <w:shd w:val="clear" w:color="auto" w:fill="auto"/>
            <w:hideMark/>
          </w:tcPr>
          <w:p w:rsidR="001E5D5D" w:rsidRPr="00753BB2" w:rsidRDefault="001E5D5D" w:rsidP="001C59A6">
            <w:pPr>
              <w:spacing w:before="60" w:after="60"/>
              <w:rPr>
                <w:b/>
                <w:bCs/>
                <w:lang w:val="en-GB"/>
              </w:rPr>
            </w:pPr>
            <w:r w:rsidRPr="00753BB2">
              <w:rPr>
                <w:b/>
                <w:bCs/>
                <w:lang w:val="en-GB"/>
              </w:rPr>
              <w:t>SESSION 1:</w:t>
            </w:r>
            <w:r w:rsidRPr="00753BB2">
              <w:rPr>
                <w:b/>
                <w:bCs/>
                <w:lang w:val="en-GB"/>
              </w:rPr>
              <w:tab/>
              <w:t>Introduction to ITU and ITU-T Study Group 12 initiatives</w:t>
            </w:r>
          </w:p>
          <w:p w:rsidR="001E5D5D" w:rsidRPr="00753BB2" w:rsidRDefault="001E5D5D" w:rsidP="001C59A6">
            <w:pPr>
              <w:spacing w:before="60" w:after="60"/>
              <w:rPr>
                <w:lang w:val="en-GB"/>
              </w:rPr>
            </w:pPr>
            <w:r w:rsidRPr="00753BB2">
              <w:rPr>
                <w:lang w:val="en-GB"/>
              </w:rPr>
              <w:t>Objectives:</w:t>
            </w:r>
            <w:r w:rsidRPr="00753BB2">
              <w:rPr>
                <w:lang w:val="en-GB"/>
              </w:rPr>
              <w:tab/>
              <w:t>This session provides an overview of ITU and ITU-T Study Group 12 activities.</w:t>
            </w:r>
          </w:p>
        </w:tc>
      </w:tr>
      <w:tr w:rsidR="001E5D5D" w:rsidRPr="001C59A6" w:rsidTr="00BA4DAF">
        <w:trPr>
          <w:trHeight w:val="207"/>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10:30 – 11:00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Coffee break</w:t>
            </w:r>
          </w:p>
        </w:tc>
      </w:tr>
      <w:tr w:rsidR="001E5D5D" w:rsidRPr="001C59A6" w:rsidTr="00BA4DAF">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11:00 – 12:30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753BB2" w:rsidRDefault="001E5D5D" w:rsidP="001C59A6">
            <w:pPr>
              <w:spacing w:before="60" w:after="60"/>
              <w:rPr>
                <w:b/>
                <w:bCs/>
                <w:lang w:val="en-GB"/>
              </w:rPr>
            </w:pPr>
            <w:r w:rsidRPr="00753BB2">
              <w:rPr>
                <w:b/>
                <w:bCs/>
                <w:lang w:val="en-GB"/>
              </w:rPr>
              <w:t>SESSION 2:</w:t>
            </w:r>
            <w:r w:rsidRPr="00753BB2">
              <w:rPr>
                <w:b/>
                <w:bCs/>
                <w:lang w:val="en-GB"/>
              </w:rPr>
              <w:tab/>
              <w:t>Revisiting QoS and QoE definitions</w:t>
            </w:r>
          </w:p>
          <w:p w:rsidR="001E5D5D" w:rsidRPr="00753BB2" w:rsidRDefault="001E5D5D" w:rsidP="001C59A6">
            <w:pPr>
              <w:spacing w:before="60" w:after="60"/>
              <w:rPr>
                <w:lang w:val="en-GB"/>
              </w:rPr>
            </w:pPr>
            <w:r w:rsidRPr="00753BB2">
              <w:rPr>
                <w:lang w:val="en-GB"/>
              </w:rPr>
              <w:t>Objectives:</w:t>
            </w:r>
            <w:r w:rsidRPr="00753BB2">
              <w:rPr>
                <w:lang w:val="en-GB"/>
              </w:rPr>
              <w:tab/>
              <w:t>This session discusses concepts, requirements, new theories and trends on QoS and QoE, as well as the alignment between standardized concepts and their understanding by regulators, service providers and network suppliers.</w:t>
            </w:r>
          </w:p>
        </w:tc>
      </w:tr>
      <w:tr w:rsidR="001E5D5D" w:rsidRPr="001C59A6" w:rsidTr="00BA4DAF">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12:30 – 14:00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Lunch break</w:t>
            </w:r>
          </w:p>
        </w:tc>
      </w:tr>
      <w:tr w:rsidR="001E5D5D" w:rsidRPr="001C59A6" w:rsidTr="00BA4DAF">
        <w:trPr>
          <w:trHeight w:val="354"/>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14:00 – 15:30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753BB2" w:rsidRDefault="001E5D5D" w:rsidP="001C59A6">
            <w:pPr>
              <w:spacing w:before="60" w:after="60"/>
              <w:rPr>
                <w:b/>
                <w:bCs/>
                <w:lang w:val="en-GB"/>
              </w:rPr>
            </w:pPr>
            <w:r w:rsidRPr="00753BB2">
              <w:rPr>
                <w:b/>
                <w:bCs/>
                <w:lang w:val="en-GB"/>
              </w:rPr>
              <w:t>SESSION 3:</w:t>
            </w:r>
            <w:r w:rsidR="00196F1C" w:rsidRPr="00753BB2">
              <w:rPr>
                <w:b/>
                <w:bCs/>
                <w:lang w:val="en-GB"/>
              </w:rPr>
              <w:tab/>
            </w:r>
            <w:r w:rsidRPr="00753BB2">
              <w:rPr>
                <w:b/>
                <w:bCs/>
                <w:lang w:val="en-GB"/>
              </w:rPr>
              <w:t>Quality regulatory frameworks – countries experiences</w:t>
            </w:r>
          </w:p>
          <w:p w:rsidR="001E5D5D" w:rsidRPr="00753BB2" w:rsidRDefault="001E5D5D" w:rsidP="001C59A6">
            <w:pPr>
              <w:spacing w:before="60" w:after="60"/>
              <w:rPr>
                <w:lang w:val="en-GB"/>
              </w:rPr>
            </w:pPr>
            <w:r w:rsidRPr="00753BB2">
              <w:rPr>
                <w:lang w:val="en-GB"/>
              </w:rPr>
              <w:t>Objectives:</w:t>
            </w:r>
            <w:r w:rsidRPr="00753BB2">
              <w:rPr>
                <w:lang w:val="en-GB"/>
              </w:rPr>
              <w:tab/>
              <w:t>This session presents countries’ experiences in setting and deploying regulatory strategies to guarantee better quality of telecommunications services to the end users, exploring examples of legal and regulatory frameworks and new trends.</w:t>
            </w:r>
          </w:p>
        </w:tc>
      </w:tr>
      <w:tr w:rsidR="001E5D5D" w:rsidRPr="001C59A6" w:rsidTr="00BA4DAF">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15:30 – 16:00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Coffee break</w:t>
            </w:r>
          </w:p>
        </w:tc>
      </w:tr>
      <w:tr w:rsidR="001E5D5D" w:rsidRPr="001C59A6" w:rsidTr="00BA4DAF">
        <w:trPr>
          <w:trHeight w:val="197"/>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16:00 – 17:30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753BB2" w:rsidRDefault="001E5D5D" w:rsidP="001C59A6">
            <w:pPr>
              <w:spacing w:before="60" w:after="60"/>
              <w:rPr>
                <w:b/>
                <w:bCs/>
                <w:lang w:val="en-GB"/>
              </w:rPr>
            </w:pPr>
            <w:r w:rsidRPr="00753BB2">
              <w:rPr>
                <w:b/>
                <w:bCs/>
                <w:lang w:val="en-GB"/>
              </w:rPr>
              <w:t>SESSION 4:</w:t>
            </w:r>
            <w:r w:rsidR="00196F1C" w:rsidRPr="00753BB2">
              <w:rPr>
                <w:b/>
                <w:bCs/>
                <w:lang w:val="en-GB"/>
              </w:rPr>
              <w:tab/>
            </w:r>
            <w:r w:rsidRPr="00753BB2">
              <w:rPr>
                <w:b/>
                <w:bCs/>
                <w:lang w:val="en-GB"/>
              </w:rPr>
              <w:t>QoS measurement operational strategies</w:t>
            </w:r>
          </w:p>
          <w:p w:rsidR="001E5D5D" w:rsidRPr="00753BB2" w:rsidRDefault="001E5D5D" w:rsidP="001C59A6">
            <w:pPr>
              <w:spacing w:before="60" w:after="60"/>
              <w:rPr>
                <w:lang w:val="en-GB"/>
              </w:rPr>
            </w:pPr>
            <w:r w:rsidRPr="00753BB2">
              <w:rPr>
                <w:lang w:val="en-GB"/>
              </w:rPr>
              <w:t>Objectives:</w:t>
            </w:r>
            <w:r w:rsidRPr="00753BB2">
              <w:rPr>
                <w:lang w:val="en-GB"/>
              </w:rPr>
              <w:tab/>
              <w:t>This session focuses on new software/hardware-based solutions and tools to deploy QoS measurement strategies.</w:t>
            </w:r>
          </w:p>
        </w:tc>
      </w:tr>
    </w:tbl>
    <w:p w:rsidR="001E5D5D" w:rsidRPr="00753BB2" w:rsidRDefault="001E5D5D" w:rsidP="001E5D5D">
      <w:pPr>
        <w:rPr>
          <w:rFonts w:eastAsia="MS Mincho"/>
          <w:lang w:val="en-GB"/>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1E5D5D" w:rsidRPr="001C59A6" w:rsidTr="00BA4DAF">
        <w:trPr>
          <w:trHeight w:val="432"/>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1E5D5D" w:rsidRPr="001C59A6" w:rsidRDefault="001E5D5D" w:rsidP="001C59A6">
            <w:pPr>
              <w:tabs>
                <w:tab w:val="left" w:pos="305"/>
              </w:tabs>
              <w:spacing w:before="60" w:after="60" w:line="240" w:lineRule="atLeast"/>
              <w:rPr>
                <w:b/>
                <w:bCs/>
                <w:lang w:val="ru-RU"/>
              </w:rPr>
            </w:pPr>
            <w:r w:rsidRPr="001C59A6">
              <w:rPr>
                <w:b/>
                <w:bCs/>
                <w:lang w:val="ru-RU"/>
              </w:rPr>
              <w:t>Tuesday, 28 November 2017</w:t>
            </w:r>
          </w:p>
        </w:tc>
      </w:tr>
      <w:tr w:rsidR="001E5D5D" w:rsidRPr="001C59A6" w:rsidTr="00BA4DAF">
        <w:trPr>
          <w:trHeight w:val="199"/>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08:30 – 09:00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rPr>
                <w:lang w:val="ru-RU"/>
              </w:rPr>
            </w:pPr>
            <w:r w:rsidRPr="001C59A6">
              <w:rPr>
                <w:lang w:val="ru-RU"/>
              </w:rPr>
              <w:t>Registration</w:t>
            </w:r>
          </w:p>
        </w:tc>
      </w:tr>
      <w:tr w:rsidR="001E5D5D" w:rsidRPr="001C59A6" w:rsidTr="00BA4DAF">
        <w:trPr>
          <w:trHeight w:val="193"/>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09:00 – 10:30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753BB2" w:rsidRDefault="001E5D5D" w:rsidP="001C59A6">
            <w:pPr>
              <w:spacing w:before="60" w:after="60"/>
              <w:rPr>
                <w:b/>
                <w:bCs/>
                <w:lang w:val="en-GB"/>
              </w:rPr>
            </w:pPr>
            <w:r w:rsidRPr="00753BB2">
              <w:rPr>
                <w:b/>
                <w:bCs/>
                <w:lang w:val="en-GB"/>
              </w:rPr>
              <w:t>SESSION 5:</w:t>
            </w:r>
            <w:r w:rsidRPr="00753BB2">
              <w:rPr>
                <w:b/>
                <w:bCs/>
                <w:lang w:val="en-GB"/>
              </w:rPr>
              <w:tab/>
              <w:t>Customer behaviour and QoE</w:t>
            </w:r>
          </w:p>
          <w:p w:rsidR="001E5D5D" w:rsidRPr="00753BB2" w:rsidRDefault="001E5D5D" w:rsidP="001C59A6">
            <w:pPr>
              <w:spacing w:before="60" w:after="60"/>
              <w:rPr>
                <w:lang w:val="en-GB"/>
              </w:rPr>
            </w:pPr>
            <w:r w:rsidRPr="00753BB2">
              <w:rPr>
                <w:lang w:val="en-GB"/>
              </w:rPr>
              <w:t>Objectives:</w:t>
            </w:r>
            <w:r w:rsidRPr="00753BB2">
              <w:rPr>
                <w:lang w:val="en-GB"/>
              </w:rPr>
              <w:tab/>
              <w:t>This session discusses customer behaviour concepts, research axes, consumption process and culture, new trends and measures to raise QoE based on the customer behaviour.</w:t>
            </w:r>
          </w:p>
        </w:tc>
      </w:tr>
      <w:tr w:rsidR="001E5D5D" w:rsidRPr="001C59A6" w:rsidTr="00BA4DAF">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10:30 – 11:00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Coffee break</w:t>
            </w:r>
          </w:p>
        </w:tc>
      </w:tr>
      <w:tr w:rsidR="001E5D5D" w:rsidRPr="001C59A6" w:rsidTr="00BA4DAF">
        <w:trPr>
          <w:trHeight w:val="19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11:00 – 12:30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753BB2" w:rsidRDefault="001E5D5D" w:rsidP="001C59A6">
            <w:pPr>
              <w:spacing w:before="60" w:after="60"/>
              <w:rPr>
                <w:b/>
                <w:bCs/>
                <w:lang w:val="en-GB"/>
              </w:rPr>
            </w:pPr>
            <w:r w:rsidRPr="00753BB2">
              <w:rPr>
                <w:b/>
                <w:bCs/>
                <w:lang w:val="en-GB"/>
              </w:rPr>
              <w:t>SESSION 6:</w:t>
            </w:r>
            <w:r w:rsidRPr="00753BB2">
              <w:rPr>
                <w:b/>
                <w:bCs/>
                <w:lang w:val="en-GB"/>
              </w:rPr>
              <w:tab/>
              <w:t>Surveying quality perceived and user satisfaction</w:t>
            </w:r>
          </w:p>
          <w:p w:rsidR="001E5D5D" w:rsidRPr="00753BB2" w:rsidRDefault="001E5D5D" w:rsidP="001C59A6">
            <w:pPr>
              <w:spacing w:before="60" w:after="60"/>
              <w:rPr>
                <w:lang w:val="en-GB"/>
              </w:rPr>
            </w:pPr>
            <w:r w:rsidRPr="00753BB2">
              <w:rPr>
                <w:lang w:val="en-GB"/>
              </w:rPr>
              <w:t>Objectives:</w:t>
            </w:r>
            <w:r w:rsidR="00196F1C" w:rsidRPr="00753BB2">
              <w:rPr>
                <w:lang w:val="en-GB"/>
              </w:rPr>
              <w:tab/>
            </w:r>
            <w:r w:rsidRPr="00753BB2">
              <w:rPr>
                <w:lang w:val="en-GB"/>
              </w:rPr>
              <w:t>This session discusses the concepts of user perception and satisfaction, new studies and trends in these subjects, the paradigm of the disconfirmation of satisfaction and how to build valid and reliable surveying instruments for measurement.</w:t>
            </w:r>
          </w:p>
        </w:tc>
      </w:tr>
      <w:tr w:rsidR="001E5D5D" w:rsidRPr="001C59A6" w:rsidTr="00BA4DAF">
        <w:trPr>
          <w:trHeight w:val="56"/>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12:30 – 14:00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Lunch break</w:t>
            </w:r>
          </w:p>
        </w:tc>
      </w:tr>
      <w:tr w:rsidR="001E5D5D" w:rsidRPr="001C59A6" w:rsidTr="00BA4DAF">
        <w:trPr>
          <w:trHeight w:val="189"/>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14:00 – 15:30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753BB2" w:rsidRDefault="001E5D5D" w:rsidP="001C59A6">
            <w:pPr>
              <w:spacing w:before="60" w:after="60"/>
              <w:rPr>
                <w:b/>
                <w:bCs/>
                <w:lang w:val="en-GB"/>
              </w:rPr>
            </w:pPr>
            <w:r w:rsidRPr="00753BB2">
              <w:rPr>
                <w:b/>
                <w:bCs/>
                <w:lang w:val="en-GB"/>
              </w:rPr>
              <w:t>SESSION 7:</w:t>
            </w:r>
            <w:r w:rsidRPr="00753BB2">
              <w:rPr>
                <w:b/>
                <w:bCs/>
                <w:lang w:val="en-GB"/>
              </w:rPr>
              <w:tab/>
              <w:t>Quality assessment of popular OTT applications</w:t>
            </w:r>
          </w:p>
          <w:p w:rsidR="001E5D5D" w:rsidRPr="00753BB2" w:rsidRDefault="001E5D5D" w:rsidP="001C59A6">
            <w:pPr>
              <w:spacing w:before="60" w:after="60"/>
              <w:rPr>
                <w:lang w:val="en-GB"/>
              </w:rPr>
            </w:pPr>
            <w:r w:rsidRPr="00753BB2">
              <w:rPr>
                <w:lang w:val="en-GB"/>
              </w:rPr>
              <w:t>Objectives:</w:t>
            </w:r>
            <w:r w:rsidR="00196F1C" w:rsidRPr="00753BB2">
              <w:rPr>
                <w:lang w:val="en-GB"/>
              </w:rPr>
              <w:tab/>
            </w:r>
            <w:r w:rsidRPr="00753BB2">
              <w:rPr>
                <w:lang w:val="en-GB"/>
              </w:rPr>
              <w:t>This session discusses the quality of popular OTT applications, strategies to measure and improve it, and its impacts on the QoE of the traditional telecommunications services.</w:t>
            </w:r>
          </w:p>
        </w:tc>
      </w:tr>
      <w:tr w:rsidR="001E5D5D" w:rsidRPr="001C59A6" w:rsidTr="00BA4DAF">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15:30 – 16:00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Coffee break</w:t>
            </w:r>
          </w:p>
        </w:tc>
      </w:tr>
      <w:tr w:rsidR="001E5D5D" w:rsidRPr="001C59A6" w:rsidTr="00BA4DAF">
        <w:trPr>
          <w:trHeight w:val="214"/>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lastRenderedPageBreak/>
              <w:t>16:00 – 17:30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96F1C" w:rsidRPr="00753BB2" w:rsidRDefault="001E5D5D" w:rsidP="001C59A6">
            <w:pPr>
              <w:spacing w:before="60" w:after="60"/>
              <w:rPr>
                <w:b/>
                <w:bCs/>
                <w:lang w:val="en-GB"/>
              </w:rPr>
            </w:pPr>
            <w:r w:rsidRPr="00753BB2">
              <w:rPr>
                <w:b/>
                <w:bCs/>
                <w:lang w:val="en-GB"/>
              </w:rPr>
              <w:t>SESSION 8:</w:t>
            </w:r>
            <w:r w:rsidRPr="00753BB2">
              <w:rPr>
                <w:b/>
                <w:bCs/>
                <w:lang w:val="en-GB"/>
              </w:rPr>
              <w:tab/>
              <w:t>Quality in the 5G and IoT ecosystems</w:t>
            </w:r>
          </w:p>
          <w:p w:rsidR="001E5D5D" w:rsidRPr="00753BB2" w:rsidRDefault="001E5D5D" w:rsidP="001C59A6">
            <w:pPr>
              <w:spacing w:before="60" w:after="60"/>
              <w:rPr>
                <w:lang w:val="en-GB"/>
              </w:rPr>
            </w:pPr>
            <w:r w:rsidRPr="00753BB2">
              <w:rPr>
                <w:lang w:val="en-GB"/>
              </w:rPr>
              <w:t>Objectives:</w:t>
            </w:r>
            <w:r w:rsidR="00196F1C" w:rsidRPr="00753BB2">
              <w:rPr>
                <w:lang w:val="en-GB"/>
              </w:rPr>
              <w:tab/>
            </w:r>
            <w:r w:rsidRPr="00753BB2">
              <w:rPr>
                <w:lang w:val="en-GB"/>
              </w:rPr>
              <w:t>This session discusses the evolution of performance, QoS and QoE concepts and requirements to adapt to 5G and IoT ecosystems.</w:t>
            </w:r>
          </w:p>
        </w:tc>
      </w:tr>
    </w:tbl>
    <w:p w:rsidR="001E5D5D" w:rsidRPr="00753BB2" w:rsidRDefault="001E5D5D" w:rsidP="001E5D5D">
      <w:pPr>
        <w:rPr>
          <w:rFonts w:eastAsia="MS Mincho"/>
          <w:lang w:val="en-GB"/>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1E5D5D" w:rsidRPr="001C59A6" w:rsidTr="00BA4DAF">
        <w:trPr>
          <w:trHeight w:val="432"/>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1E5D5D" w:rsidRPr="001C59A6" w:rsidRDefault="001E5D5D" w:rsidP="001C59A6">
            <w:pPr>
              <w:tabs>
                <w:tab w:val="left" w:pos="305"/>
              </w:tabs>
              <w:spacing w:before="60" w:after="60" w:line="240" w:lineRule="atLeast"/>
              <w:rPr>
                <w:b/>
                <w:bCs/>
                <w:lang w:val="ru-RU"/>
              </w:rPr>
            </w:pPr>
            <w:r w:rsidRPr="001C59A6">
              <w:rPr>
                <w:b/>
                <w:bCs/>
                <w:lang w:val="ru-RU"/>
              </w:rPr>
              <w:t>Wednesday, 29 November 2017</w:t>
            </w:r>
          </w:p>
        </w:tc>
      </w:tr>
      <w:tr w:rsidR="001E5D5D" w:rsidRPr="001C59A6" w:rsidTr="00BA4DAF">
        <w:trPr>
          <w:trHeight w:val="30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08:30 – 09:00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rPr>
                <w:lang w:val="ru-RU"/>
              </w:rPr>
            </w:pPr>
            <w:r w:rsidRPr="001C59A6">
              <w:rPr>
                <w:lang w:val="ru-RU"/>
              </w:rPr>
              <w:t>Registration</w:t>
            </w:r>
          </w:p>
        </w:tc>
      </w:tr>
      <w:tr w:rsidR="001E5D5D" w:rsidRPr="001C59A6" w:rsidTr="00BA4DAF">
        <w:trPr>
          <w:trHeight w:val="84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09:00 – 10:30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96F1C" w:rsidRPr="00753BB2" w:rsidRDefault="001E5D5D" w:rsidP="001C59A6">
            <w:pPr>
              <w:spacing w:before="60" w:after="60"/>
              <w:rPr>
                <w:b/>
                <w:bCs/>
                <w:lang w:val="en-GB"/>
              </w:rPr>
            </w:pPr>
            <w:r w:rsidRPr="00753BB2">
              <w:rPr>
                <w:b/>
                <w:bCs/>
                <w:lang w:val="en-GB"/>
              </w:rPr>
              <w:t>SESSION 9:</w:t>
            </w:r>
            <w:r w:rsidR="00196F1C" w:rsidRPr="00753BB2">
              <w:rPr>
                <w:b/>
                <w:bCs/>
                <w:lang w:val="en-GB"/>
              </w:rPr>
              <w:tab/>
            </w:r>
            <w:r w:rsidRPr="00753BB2">
              <w:rPr>
                <w:b/>
                <w:bCs/>
                <w:lang w:val="en-GB"/>
              </w:rPr>
              <w:t>Using big data and analytics to improve customers’ experience</w:t>
            </w:r>
          </w:p>
          <w:p w:rsidR="001E5D5D" w:rsidRPr="00753BB2" w:rsidRDefault="00196F1C" w:rsidP="001C59A6">
            <w:pPr>
              <w:spacing w:before="60" w:after="60"/>
              <w:rPr>
                <w:lang w:val="en-GB"/>
              </w:rPr>
            </w:pPr>
            <w:r w:rsidRPr="00753BB2">
              <w:rPr>
                <w:lang w:val="en-GB"/>
              </w:rPr>
              <w:t>Objectives:</w:t>
            </w:r>
            <w:r w:rsidRPr="00753BB2">
              <w:rPr>
                <w:lang w:val="en-GB"/>
              </w:rPr>
              <w:tab/>
            </w:r>
            <w:r w:rsidR="001E5D5D" w:rsidRPr="00753BB2">
              <w:rPr>
                <w:lang w:val="en-GB"/>
              </w:rPr>
              <w:t>This session focuses on new approaches and solutions to improve customer experience based on big data and analytic models. It explores how to use information from the network, the customers’ behaviour and the operators’ contacting centres to improve quality.</w:t>
            </w:r>
          </w:p>
        </w:tc>
      </w:tr>
      <w:tr w:rsidR="001E5D5D" w:rsidRPr="001C59A6" w:rsidTr="00BA4DAF">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10:30 – 11:00</w:t>
            </w:r>
          </w:p>
        </w:tc>
        <w:tc>
          <w:tcPr>
            <w:tcW w:w="8190"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rPr>
                <w:lang w:val="ru-RU"/>
              </w:rPr>
            </w:pPr>
            <w:r w:rsidRPr="001C59A6">
              <w:rPr>
                <w:lang w:val="ru-RU"/>
              </w:rPr>
              <w:t>Coffee break</w:t>
            </w:r>
          </w:p>
        </w:tc>
      </w:tr>
      <w:tr w:rsidR="001E5D5D" w:rsidRPr="001C59A6" w:rsidTr="00BA4DAF">
        <w:trPr>
          <w:trHeight w:val="410"/>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11:00 – 12:30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96F1C" w:rsidRPr="00753BB2" w:rsidRDefault="001E5D5D" w:rsidP="001C59A6">
            <w:pPr>
              <w:spacing w:before="60" w:after="60"/>
              <w:rPr>
                <w:b/>
                <w:bCs/>
                <w:lang w:val="en-GB"/>
              </w:rPr>
            </w:pPr>
            <w:r w:rsidRPr="00753BB2">
              <w:rPr>
                <w:b/>
                <w:bCs/>
                <w:lang w:val="en-GB"/>
              </w:rPr>
              <w:t>SESSION 10:</w:t>
            </w:r>
            <w:r w:rsidR="00196F1C" w:rsidRPr="00753BB2">
              <w:rPr>
                <w:b/>
                <w:bCs/>
                <w:lang w:val="en-GB"/>
              </w:rPr>
              <w:tab/>
            </w:r>
            <w:r w:rsidRPr="00753BB2">
              <w:rPr>
                <w:b/>
                <w:bCs/>
                <w:lang w:val="en-GB"/>
              </w:rPr>
              <w:t>Improving quality: study cases</w:t>
            </w:r>
          </w:p>
          <w:p w:rsidR="001E5D5D" w:rsidRPr="00753BB2" w:rsidRDefault="001E5D5D" w:rsidP="001C59A6">
            <w:pPr>
              <w:spacing w:before="60" w:after="60"/>
              <w:rPr>
                <w:lang w:val="en-GB"/>
              </w:rPr>
            </w:pPr>
            <w:r w:rsidRPr="00753BB2">
              <w:rPr>
                <w:lang w:val="en-GB"/>
              </w:rPr>
              <w:t>Objectives:</w:t>
            </w:r>
            <w:r w:rsidR="00196F1C" w:rsidRPr="00753BB2">
              <w:rPr>
                <w:lang w:val="en-GB"/>
              </w:rPr>
              <w:tab/>
            </w:r>
            <w:r w:rsidRPr="00753BB2">
              <w:rPr>
                <w:lang w:val="en-GB"/>
              </w:rPr>
              <w:t>This session presents study cases of strategies already deployed to improve performance, QoS and QoE.</w:t>
            </w:r>
          </w:p>
        </w:tc>
      </w:tr>
      <w:tr w:rsidR="001E5D5D" w:rsidRPr="001C59A6" w:rsidTr="00BA4DAF">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12:30 – 14:00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rsidR="001E5D5D" w:rsidRPr="001C59A6" w:rsidRDefault="001E5D5D" w:rsidP="001C59A6">
            <w:pPr>
              <w:spacing w:before="60" w:after="60"/>
              <w:rPr>
                <w:lang w:val="ru-RU"/>
              </w:rPr>
            </w:pPr>
            <w:r w:rsidRPr="001C59A6">
              <w:rPr>
                <w:lang w:val="ru-RU"/>
              </w:rPr>
              <w:t>Lunch break</w:t>
            </w:r>
          </w:p>
        </w:tc>
      </w:tr>
      <w:tr w:rsidR="001E5D5D" w:rsidRPr="001C59A6" w:rsidTr="00BA4DAF">
        <w:trPr>
          <w:trHeight w:val="573"/>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14:00 – 15:30</w:t>
            </w:r>
          </w:p>
        </w:tc>
        <w:tc>
          <w:tcPr>
            <w:tcW w:w="8190" w:type="dxa"/>
            <w:tcBorders>
              <w:top w:val="dotted" w:sz="4" w:space="0" w:color="auto"/>
              <w:left w:val="dotted" w:sz="4" w:space="0" w:color="auto"/>
              <w:bottom w:val="dotted" w:sz="4" w:space="0" w:color="auto"/>
              <w:right w:val="dotted" w:sz="4" w:space="0" w:color="auto"/>
            </w:tcBorders>
            <w:shd w:val="clear" w:color="auto" w:fill="auto"/>
            <w:vAlign w:val="center"/>
          </w:tcPr>
          <w:p w:rsidR="00196F1C" w:rsidRPr="00753BB2" w:rsidRDefault="001E5D5D" w:rsidP="001C59A6">
            <w:pPr>
              <w:spacing w:before="60" w:after="60"/>
              <w:rPr>
                <w:b/>
                <w:bCs/>
                <w:lang w:val="en-GB"/>
              </w:rPr>
            </w:pPr>
            <w:r w:rsidRPr="00753BB2">
              <w:rPr>
                <w:b/>
                <w:bCs/>
                <w:lang w:val="en-GB"/>
              </w:rPr>
              <w:t>SESSION 11:</w:t>
            </w:r>
            <w:r w:rsidR="00196F1C" w:rsidRPr="00753BB2">
              <w:rPr>
                <w:b/>
                <w:bCs/>
                <w:lang w:val="en-GB"/>
              </w:rPr>
              <w:tab/>
            </w:r>
            <w:r w:rsidRPr="00753BB2">
              <w:rPr>
                <w:b/>
                <w:bCs/>
                <w:lang w:val="en-GB"/>
              </w:rPr>
              <w:t>Round table on strategies to improve quality (Part 1)</w:t>
            </w:r>
          </w:p>
          <w:p w:rsidR="001E5D5D" w:rsidRPr="00753BB2" w:rsidRDefault="001E5D5D" w:rsidP="001C59A6">
            <w:pPr>
              <w:spacing w:before="60" w:after="60"/>
              <w:rPr>
                <w:lang w:val="en-GB"/>
              </w:rPr>
            </w:pPr>
            <w:r w:rsidRPr="00753BB2">
              <w:rPr>
                <w:lang w:val="en-GB"/>
              </w:rPr>
              <w:t>Objectives:</w:t>
            </w:r>
            <w:r w:rsidR="00196F1C" w:rsidRPr="00753BB2">
              <w:rPr>
                <w:lang w:val="en-GB"/>
              </w:rPr>
              <w:tab/>
            </w:r>
            <w:r w:rsidRPr="00753BB2">
              <w:rPr>
                <w:lang w:val="en-GB"/>
              </w:rPr>
              <w:t>Based on all the relevant discussions in previous sessions, this session is a round table among regulators, service providers and network suppliers to set recommendations and main actions to be taken forward by all stakeholders in order to raise quality delivered to and perceived by the end users.</w:t>
            </w:r>
          </w:p>
        </w:tc>
      </w:tr>
      <w:tr w:rsidR="001E5D5D" w:rsidRPr="001C59A6" w:rsidTr="00BA4DAF">
        <w:trPr>
          <w:trHeight w:val="368"/>
          <w:jc w:val="center"/>
        </w:trPr>
        <w:tc>
          <w:tcPr>
            <w:tcW w:w="1666" w:type="dxa"/>
            <w:tcBorders>
              <w:top w:val="dotted" w:sz="4" w:space="0" w:color="auto"/>
              <w:left w:val="dotted" w:sz="4" w:space="0" w:color="auto"/>
              <w:bottom w:val="dotted" w:sz="4" w:space="0" w:color="auto"/>
              <w:right w:val="dotted" w:sz="4" w:space="0" w:color="auto"/>
            </w:tcBorders>
            <w:shd w:val="clear" w:color="auto" w:fill="D9D9D9"/>
          </w:tcPr>
          <w:p w:rsidR="001E5D5D" w:rsidRPr="001C59A6" w:rsidRDefault="001E5D5D" w:rsidP="001C59A6">
            <w:pPr>
              <w:spacing w:before="60" w:after="60"/>
              <w:jc w:val="center"/>
              <w:rPr>
                <w:lang w:val="ru-RU"/>
              </w:rPr>
            </w:pPr>
            <w:r w:rsidRPr="001C59A6">
              <w:rPr>
                <w:lang w:val="ru-RU"/>
              </w:rPr>
              <w:t>15:30 – 16:00</w:t>
            </w:r>
          </w:p>
        </w:tc>
        <w:tc>
          <w:tcPr>
            <w:tcW w:w="8190" w:type="dxa"/>
            <w:tcBorders>
              <w:top w:val="dotted" w:sz="4" w:space="0" w:color="auto"/>
              <w:left w:val="dotted" w:sz="4" w:space="0" w:color="auto"/>
              <w:bottom w:val="dotted" w:sz="4" w:space="0" w:color="auto"/>
              <w:right w:val="dotted" w:sz="4" w:space="0" w:color="auto"/>
            </w:tcBorders>
            <w:shd w:val="clear" w:color="auto" w:fill="D9D9D9"/>
            <w:vAlign w:val="center"/>
          </w:tcPr>
          <w:p w:rsidR="001E5D5D" w:rsidRPr="001C59A6" w:rsidRDefault="001E5D5D" w:rsidP="001C59A6">
            <w:pPr>
              <w:spacing w:before="60" w:after="60"/>
              <w:rPr>
                <w:lang w:val="ru-RU"/>
              </w:rPr>
            </w:pPr>
            <w:r w:rsidRPr="001C59A6">
              <w:rPr>
                <w:lang w:val="ru-RU"/>
              </w:rPr>
              <w:t>Coffee break</w:t>
            </w:r>
          </w:p>
        </w:tc>
      </w:tr>
      <w:tr w:rsidR="001E5D5D" w:rsidRPr="001C59A6" w:rsidTr="00BA4DAF">
        <w:trPr>
          <w:trHeight w:val="34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16:00 – 17:30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96F1C" w:rsidRPr="00753BB2" w:rsidRDefault="001E5D5D" w:rsidP="001C59A6">
            <w:pPr>
              <w:spacing w:before="60" w:after="60"/>
              <w:rPr>
                <w:b/>
                <w:bCs/>
                <w:lang w:val="en-GB"/>
              </w:rPr>
            </w:pPr>
            <w:r w:rsidRPr="00753BB2">
              <w:rPr>
                <w:b/>
                <w:bCs/>
                <w:lang w:val="en-GB"/>
              </w:rPr>
              <w:t>SESSION 12:</w:t>
            </w:r>
            <w:r w:rsidR="00196F1C" w:rsidRPr="00753BB2">
              <w:rPr>
                <w:lang w:val="en-GB"/>
              </w:rPr>
              <w:tab/>
            </w:r>
            <w:r w:rsidRPr="00753BB2">
              <w:rPr>
                <w:b/>
                <w:bCs/>
                <w:lang w:val="en-GB"/>
              </w:rPr>
              <w:t xml:space="preserve">Round table on strategies to improve quality (Part 2) </w:t>
            </w:r>
          </w:p>
          <w:p w:rsidR="001E5D5D" w:rsidRPr="001C59A6" w:rsidRDefault="001E5D5D" w:rsidP="001C59A6">
            <w:pPr>
              <w:spacing w:before="60" w:after="60"/>
              <w:rPr>
                <w:lang w:val="ru-RU"/>
              </w:rPr>
            </w:pPr>
            <w:r w:rsidRPr="001C59A6">
              <w:rPr>
                <w:lang w:val="ru-RU"/>
              </w:rPr>
              <w:t>Continuation of Session 11.</w:t>
            </w:r>
          </w:p>
        </w:tc>
      </w:tr>
      <w:tr w:rsidR="001E5D5D" w:rsidRPr="001C59A6" w:rsidTr="00BA4DAF">
        <w:trPr>
          <w:trHeight w:val="182"/>
          <w:jc w:val="center"/>
        </w:trPr>
        <w:tc>
          <w:tcPr>
            <w:tcW w:w="1666"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jc w:val="center"/>
              <w:rPr>
                <w:lang w:val="ru-RU"/>
              </w:rPr>
            </w:pPr>
            <w:r w:rsidRPr="001C59A6">
              <w:rPr>
                <w:lang w:val="ru-RU"/>
              </w:rPr>
              <w:t>17:30 – 18:00</w:t>
            </w:r>
          </w:p>
        </w:tc>
        <w:tc>
          <w:tcPr>
            <w:tcW w:w="8190" w:type="dxa"/>
            <w:tcBorders>
              <w:top w:val="dotted" w:sz="4" w:space="0" w:color="auto"/>
              <w:left w:val="dotted" w:sz="4" w:space="0" w:color="auto"/>
              <w:bottom w:val="dotted" w:sz="4" w:space="0" w:color="auto"/>
              <w:right w:val="dotted" w:sz="4" w:space="0" w:color="auto"/>
            </w:tcBorders>
            <w:shd w:val="clear" w:color="auto" w:fill="auto"/>
          </w:tcPr>
          <w:p w:rsidR="001E5D5D" w:rsidRPr="001C59A6" w:rsidRDefault="001E5D5D" w:rsidP="001C59A6">
            <w:pPr>
              <w:spacing w:before="60" w:after="60"/>
              <w:rPr>
                <w:b/>
                <w:bCs/>
                <w:lang w:val="ru-RU"/>
              </w:rPr>
            </w:pPr>
            <w:r w:rsidRPr="001C59A6">
              <w:rPr>
                <w:b/>
                <w:bCs/>
                <w:lang w:val="ru-RU"/>
              </w:rPr>
              <w:t>Closing session</w:t>
            </w:r>
          </w:p>
        </w:tc>
      </w:tr>
    </w:tbl>
    <w:p w:rsidR="001E5D5D" w:rsidRPr="001C59A6" w:rsidRDefault="001E5D5D" w:rsidP="001E5D5D">
      <w:pPr>
        <w:rPr>
          <w:rFonts w:eastAsia="MS Mincho"/>
          <w:lang w:val="ru-RU"/>
        </w:rPr>
      </w:pPr>
    </w:p>
    <w:p w:rsidR="001E5D5D" w:rsidRPr="001C59A6" w:rsidRDefault="001E5D5D" w:rsidP="001E5D5D">
      <w:pPr>
        <w:spacing w:before="0"/>
        <w:rPr>
          <w:rFonts w:eastAsia="MS Mincho"/>
          <w:lang w:val="ru-RU"/>
        </w:rPr>
      </w:pPr>
      <w:r w:rsidRPr="001C59A6">
        <w:rPr>
          <w:rFonts w:eastAsia="MS Mincho"/>
          <w:lang w:val="ru-RU"/>
        </w:rPr>
        <w:br w:type="page"/>
      </w:r>
    </w:p>
    <w:p w:rsidR="001E5D5D" w:rsidRPr="000C67CA" w:rsidRDefault="001E5D5D" w:rsidP="00196F1C">
      <w:pPr>
        <w:pStyle w:val="AnnexNo"/>
        <w:rPr>
          <w:b/>
          <w:bCs/>
          <w:sz w:val="24"/>
          <w:szCs w:val="18"/>
          <w:lang w:val="ru-RU"/>
        </w:rPr>
      </w:pPr>
      <w:r w:rsidRPr="000C67CA">
        <w:rPr>
          <w:b/>
          <w:bCs/>
          <w:sz w:val="24"/>
          <w:szCs w:val="18"/>
          <w:lang w:val="ru-RU"/>
        </w:rPr>
        <w:lastRenderedPageBreak/>
        <w:t>Annex</w:t>
      </w:r>
      <w:r w:rsidRPr="000C67CA">
        <w:rPr>
          <w:b/>
          <w:bCs/>
          <w:sz w:val="24"/>
          <w:szCs w:val="22"/>
          <w:lang w:val="ru-RU"/>
        </w:rPr>
        <w:t xml:space="preserve"> </w:t>
      </w:r>
      <w:r w:rsidR="00196F1C" w:rsidRPr="000C67CA">
        <w:rPr>
          <w:b/>
          <w:bCs/>
          <w:sz w:val="24"/>
          <w:szCs w:val="22"/>
          <w:lang w:val="ru-RU"/>
        </w:rPr>
        <w:t>2</w:t>
      </w:r>
    </w:p>
    <w:p w:rsidR="001E5D5D" w:rsidRPr="001C59A6" w:rsidRDefault="001C59A6" w:rsidP="001E5D5D">
      <w:pPr>
        <w:pStyle w:val="Annextitle0"/>
        <w:rPr>
          <w:b w:val="0"/>
          <w:lang w:val="ru-RU"/>
        </w:rPr>
      </w:pPr>
      <w:r w:rsidRPr="001C59A6">
        <w:rPr>
          <w:lang w:val="ru-RU"/>
        </w:rPr>
        <w:t>Practical Information</w:t>
      </w:r>
    </w:p>
    <w:p w:rsidR="001E5D5D" w:rsidRPr="001C59A6" w:rsidRDefault="001E5D5D" w:rsidP="000A520F">
      <w:pPr>
        <w:pStyle w:val="Heading1"/>
        <w:rPr>
          <w:bCs/>
        </w:rPr>
      </w:pPr>
      <w:r w:rsidRPr="001C59A6">
        <w:rPr>
          <w:bCs/>
        </w:rPr>
        <w:t>1</w:t>
      </w:r>
      <w:r w:rsidRPr="001C59A6">
        <w:rPr>
          <w:bCs/>
        </w:rPr>
        <w:tab/>
        <w:t>Meeting venue</w:t>
      </w:r>
    </w:p>
    <w:p w:rsidR="001E5D5D" w:rsidRPr="00753BB2" w:rsidRDefault="001E5D5D" w:rsidP="001E5D5D">
      <w:pPr>
        <w:rPr>
          <w:lang w:val="es-ES_tradnl"/>
        </w:rPr>
      </w:pPr>
      <w:r w:rsidRPr="00753BB2">
        <w:rPr>
          <w:b/>
          <w:bCs/>
          <w:lang w:val="es-ES_tradnl"/>
        </w:rPr>
        <w:t>Hotel Pestana Rio Atlântica</w:t>
      </w:r>
      <w:r w:rsidRPr="00753BB2">
        <w:rPr>
          <w:b/>
          <w:bCs/>
          <w:lang w:val="es-ES_tradnl"/>
        </w:rPr>
        <w:br/>
      </w:r>
      <w:r w:rsidRPr="00753BB2">
        <w:rPr>
          <w:lang w:val="es-ES_tradnl"/>
        </w:rPr>
        <w:t>Room São Pedro da Aldeia</w:t>
      </w:r>
    </w:p>
    <w:p w:rsidR="001E5D5D" w:rsidRPr="00753BB2" w:rsidRDefault="001E5D5D" w:rsidP="001C59A6">
      <w:pPr>
        <w:tabs>
          <w:tab w:val="clear" w:pos="794"/>
          <w:tab w:val="clear" w:pos="1191"/>
          <w:tab w:val="left" w:pos="1134"/>
        </w:tabs>
        <w:rPr>
          <w:lang w:val="es-ES_tradnl"/>
        </w:rPr>
      </w:pPr>
      <w:proofErr w:type="spellStart"/>
      <w:r w:rsidRPr="00753BB2">
        <w:rPr>
          <w:lang w:val="es-ES_tradnl"/>
        </w:rPr>
        <w:t>Address</w:t>
      </w:r>
      <w:proofErr w:type="spellEnd"/>
      <w:r w:rsidRPr="00753BB2">
        <w:rPr>
          <w:lang w:val="es-ES_tradnl"/>
        </w:rPr>
        <w:t xml:space="preserve">: </w:t>
      </w:r>
      <w:r w:rsidRPr="00753BB2">
        <w:rPr>
          <w:lang w:val="es-ES_tradnl"/>
        </w:rPr>
        <w:tab/>
        <w:t xml:space="preserve">Avenida </w:t>
      </w:r>
      <w:proofErr w:type="spellStart"/>
      <w:r w:rsidRPr="00753BB2">
        <w:rPr>
          <w:lang w:val="es-ES_tradnl"/>
        </w:rPr>
        <w:t>Atlântica</w:t>
      </w:r>
      <w:proofErr w:type="spellEnd"/>
      <w:r w:rsidRPr="00753BB2">
        <w:rPr>
          <w:lang w:val="es-ES_tradnl"/>
        </w:rPr>
        <w:t xml:space="preserve">, 2964, Copacabana, Rio de Janeiro 22070-000, </w:t>
      </w:r>
      <w:proofErr w:type="spellStart"/>
      <w:r w:rsidRPr="00753BB2">
        <w:rPr>
          <w:lang w:val="es-ES_tradnl"/>
        </w:rPr>
        <w:t>Brazil</w:t>
      </w:r>
      <w:proofErr w:type="spellEnd"/>
      <w:r w:rsidRPr="00753BB2">
        <w:rPr>
          <w:lang w:val="es-ES_tradnl"/>
        </w:rPr>
        <w:br/>
        <w:t>Tel:</w:t>
      </w:r>
      <w:r w:rsidRPr="00753BB2">
        <w:rPr>
          <w:lang w:val="es-ES_tradnl"/>
        </w:rPr>
        <w:tab/>
        <w:t>+55 21 3816-8500</w:t>
      </w:r>
      <w:r w:rsidRPr="00753BB2">
        <w:rPr>
          <w:lang w:val="es-ES_tradnl"/>
        </w:rPr>
        <w:br/>
        <w:t>Web:</w:t>
      </w:r>
      <w:r w:rsidRPr="00753BB2">
        <w:rPr>
          <w:lang w:val="es-ES_tradnl"/>
        </w:rPr>
        <w:tab/>
      </w:r>
      <w:hyperlink r:id="rId12" w:history="1">
        <w:r w:rsidRPr="00753BB2">
          <w:rPr>
            <w:rStyle w:val="Hyperlink"/>
            <w:lang w:val="es-ES_tradnl"/>
          </w:rPr>
          <w:t>https://www.pestana.com/br/hotel/pestana-rio</w:t>
        </w:r>
      </w:hyperlink>
    </w:p>
    <w:p w:rsidR="001E5D5D" w:rsidRPr="00753BB2" w:rsidRDefault="001E5D5D" w:rsidP="000A520F">
      <w:pPr>
        <w:pStyle w:val="Heading1"/>
        <w:rPr>
          <w:lang w:val="en-GB"/>
        </w:rPr>
      </w:pPr>
      <w:r w:rsidRPr="00753BB2">
        <w:rPr>
          <w:lang w:val="en-GB"/>
        </w:rPr>
        <w:t>2</w:t>
      </w:r>
      <w:r w:rsidRPr="00753BB2">
        <w:rPr>
          <w:lang w:val="en-GB"/>
        </w:rPr>
        <w:tab/>
        <w:t>Accommodation</w:t>
      </w:r>
    </w:p>
    <w:p w:rsidR="001E5D5D" w:rsidRPr="00753BB2" w:rsidRDefault="001E5D5D" w:rsidP="001E5D5D">
      <w:pPr>
        <w:rPr>
          <w:lang w:val="en-GB"/>
        </w:rPr>
      </w:pPr>
      <w:r w:rsidRPr="00753BB2">
        <w:rPr>
          <w:lang w:val="en-GB"/>
        </w:rPr>
        <w:t xml:space="preserve">The Copacabana neighbourhood and especially the Atlântica Avenue count with most of the best hotels in Rio. Delegates are recommended to stay as near as possible to the meeting venue in order to avoid delays in the peak hours. The list below includes the hotel venue and some other nearby hotels. </w:t>
      </w:r>
    </w:p>
    <w:p w:rsidR="001E5D5D" w:rsidRPr="00753BB2" w:rsidRDefault="001E5D5D" w:rsidP="00ED63B0">
      <w:pPr>
        <w:rPr>
          <w:lang w:val="es-ES_tradnl"/>
        </w:rPr>
      </w:pPr>
      <w:r w:rsidRPr="00753BB2">
        <w:rPr>
          <w:u w:val="single"/>
          <w:lang w:val="es-ES_tradnl"/>
        </w:rPr>
        <w:t xml:space="preserve">Hotel Pestana Rio Atlântica (5 </w:t>
      </w:r>
      <w:proofErr w:type="spellStart"/>
      <w:r w:rsidRPr="00753BB2">
        <w:rPr>
          <w:u w:val="single"/>
          <w:lang w:val="es-ES_tradnl"/>
        </w:rPr>
        <w:t>star</w:t>
      </w:r>
      <w:proofErr w:type="spellEnd"/>
      <w:r w:rsidRPr="00753BB2">
        <w:rPr>
          <w:u w:val="single"/>
          <w:lang w:val="es-ES_tradnl"/>
        </w:rPr>
        <w:t>)</w:t>
      </w:r>
      <w:r w:rsidRPr="00753BB2">
        <w:rPr>
          <w:lang w:val="es-ES_tradnl"/>
        </w:rPr>
        <w:t xml:space="preserve"> — </w:t>
      </w:r>
      <w:hyperlink r:id="rId13" w:history="1">
        <w:r w:rsidRPr="00753BB2">
          <w:rPr>
            <w:rStyle w:val="Hyperlink"/>
            <w:lang w:val="es-ES_tradnl"/>
          </w:rPr>
          <w:t>https://www.pestana.com/br/hotel/pestana-rio</w:t>
        </w:r>
      </w:hyperlink>
    </w:p>
    <w:p w:rsidR="001E5D5D" w:rsidRPr="00753BB2" w:rsidRDefault="001E5D5D" w:rsidP="001E5D5D">
      <w:pPr>
        <w:rPr>
          <w:highlight w:val="yellow"/>
          <w:lang w:val="en-GB"/>
        </w:rPr>
      </w:pPr>
      <w:r w:rsidRPr="00753BB2">
        <w:rPr>
          <w:u w:val="single"/>
          <w:lang w:val="en-GB"/>
        </w:rPr>
        <w:t>Hotel Othon Palace (5 star)</w:t>
      </w:r>
      <w:r w:rsidRPr="00753BB2">
        <w:rPr>
          <w:lang w:val="en-GB"/>
        </w:rPr>
        <w:t xml:space="preserve"> — </w:t>
      </w:r>
      <w:hyperlink r:id="rId14" w:history="1">
        <w:r w:rsidRPr="00753BB2">
          <w:rPr>
            <w:rStyle w:val="Hyperlink"/>
            <w:lang w:val="en-GB"/>
          </w:rPr>
          <w:t>http://www.othon.com.br/hotel-copacabana/rio-othon-palace/</w:t>
        </w:r>
      </w:hyperlink>
      <w:r w:rsidRPr="00753BB2">
        <w:rPr>
          <w:lang w:val="en-GB"/>
        </w:rPr>
        <w:t xml:space="preserve"> </w:t>
      </w:r>
    </w:p>
    <w:p w:rsidR="001E5D5D" w:rsidRPr="00753BB2" w:rsidRDefault="001E5D5D" w:rsidP="001E5D5D">
      <w:pPr>
        <w:rPr>
          <w:rStyle w:val="Hyperlink"/>
          <w:lang w:val="en-GB"/>
        </w:rPr>
      </w:pPr>
      <w:r w:rsidRPr="00753BB2">
        <w:rPr>
          <w:u w:val="single"/>
          <w:lang w:val="en-GB"/>
        </w:rPr>
        <w:t>Hotel Windsor Palace (4 star)</w:t>
      </w:r>
      <w:r w:rsidRPr="00753BB2">
        <w:rPr>
          <w:lang w:val="en-GB"/>
        </w:rPr>
        <w:t xml:space="preserve"> — </w:t>
      </w:r>
      <w:hyperlink r:id="rId15" w:history="1">
        <w:r w:rsidRPr="00753BB2">
          <w:rPr>
            <w:rStyle w:val="Hyperlink"/>
            <w:lang w:val="en-GB"/>
          </w:rPr>
          <w:t>http://www.windsorhoteis.com/hotel/windsor-palace/</w:t>
        </w:r>
      </w:hyperlink>
      <w:r w:rsidRPr="00753BB2">
        <w:rPr>
          <w:lang w:val="en-GB"/>
        </w:rPr>
        <w:t xml:space="preserve"> </w:t>
      </w:r>
    </w:p>
    <w:p w:rsidR="001E5D5D" w:rsidRPr="00753BB2" w:rsidRDefault="001E5D5D" w:rsidP="001E5D5D">
      <w:pPr>
        <w:rPr>
          <w:lang w:val="en-GB"/>
        </w:rPr>
      </w:pPr>
      <w:r w:rsidRPr="00753BB2">
        <w:rPr>
          <w:u w:val="single"/>
          <w:lang w:val="en-GB"/>
        </w:rPr>
        <w:t>Hotel Golden Tulip Rio Copacabana (4 star)</w:t>
      </w:r>
      <w:r w:rsidRPr="00753BB2">
        <w:rPr>
          <w:lang w:val="en-GB"/>
        </w:rPr>
        <w:t xml:space="preserve"> — </w:t>
      </w:r>
      <w:hyperlink r:id="rId16" w:history="1">
        <w:r w:rsidRPr="00753BB2">
          <w:rPr>
            <w:rStyle w:val="Hyperlink"/>
            <w:lang w:val="en-GB"/>
          </w:rPr>
          <w:t>http://www.goldentulipriocopacabana.com/pt-br</w:t>
        </w:r>
      </w:hyperlink>
    </w:p>
    <w:p w:rsidR="001E5D5D" w:rsidRPr="00753BB2" w:rsidRDefault="001E5D5D" w:rsidP="000A520F">
      <w:pPr>
        <w:pStyle w:val="Heading1"/>
        <w:rPr>
          <w:lang w:val="en-GB"/>
        </w:rPr>
      </w:pPr>
      <w:r w:rsidRPr="00753BB2">
        <w:rPr>
          <w:lang w:val="en-GB"/>
        </w:rPr>
        <w:t>3</w:t>
      </w:r>
      <w:r w:rsidRPr="00753BB2">
        <w:rPr>
          <w:lang w:val="en-GB"/>
        </w:rPr>
        <w:tab/>
        <w:t>Transportation and Directions</w:t>
      </w:r>
    </w:p>
    <w:p w:rsidR="001E5D5D" w:rsidRPr="00753BB2" w:rsidRDefault="001E5D5D" w:rsidP="00196F1C">
      <w:pPr>
        <w:rPr>
          <w:lang w:val="en-GB"/>
        </w:rPr>
      </w:pPr>
      <w:r w:rsidRPr="00753BB2">
        <w:rPr>
          <w:lang w:val="en-GB"/>
        </w:rPr>
        <w:t>Rio de Janeiro</w:t>
      </w:r>
      <w:r w:rsidRPr="00753BB2">
        <w:rPr>
          <w:b/>
          <w:lang w:val="en-GB"/>
        </w:rPr>
        <w:t xml:space="preserve"> Galeão </w:t>
      </w:r>
      <w:r w:rsidR="00196F1C" w:rsidRPr="00753BB2">
        <w:rPr>
          <w:b/>
          <w:lang w:val="en-GB"/>
        </w:rPr>
        <w:t>−</w:t>
      </w:r>
      <w:r w:rsidRPr="00753BB2">
        <w:rPr>
          <w:b/>
          <w:lang w:val="en-GB"/>
        </w:rPr>
        <w:t xml:space="preserve"> Antônio Carlos Jobim International Airport </w:t>
      </w:r>
      <w:r w:rsidRPr="00753BB2">
        <w:rPr>
          <w:b/>
          <w:bCs/>
          <w:lang w:val="en-GB"/>
        </w:rPr>
        <w:t>(GIG)</w:t>
      </w:r>
      <w:r w:rsidRPr="00753BB2">
        <w:rPr>
          <w:lang w:val="en-GB"/>
        </w:rPr>
        <w:t xml:space="preserve"> is served by major international airlines and is 24 km from the meeting venue.</w:t>
      </w:r>
    </w:p>
    <w:p w:rsidR="001E5D5D" w:rsidRPr="00753BB2" w:rsidRDefault="001E5D5D" w:rsidP="001E5D5D">
      <w:pPr>
        <w:rPr>
          <w:u w:val="single"/>
          <w:lang w:val="en-GB"/>
        </w:rPr>
      </w:pPr>
      <w:r w:rsidRPr="00753BB2">
        <w:rPr>
          <w:u w:val="single"/>
          <w:lang w:val="en-GB"/>
        </w:rPr>
        <w:t>GPS Coordinates</w:t>
      </w:r>
    </w:p>
    <w:p w:rsidR="001E5D5D" w:rsidRPr="00753BB2" w:rsidRDefault="001E5D5D" w:rsidP="001E5D5D">
      <w:pPr>
        <w:spacing w:before="0"/>
        <w:rPr>
          <w:lang w:val="en-GB"/>
        </w:rPr>
      </w:pPr>
      <w:r w:rsidRPr="00753BB2">
        <w:rPr>
          <w:lang w:val="en-GB"/>
        </w:rPr>
        <w:t xml:space="preserve">Lat: </w:t>
      </w:r>
      <w:r w:rsidRPr="00753BB2">
        <w:rPr>
          <w:lang w:val="en-GB"/>
        </w:rPr>
        <w:tab/>
        <w:t>S 22 58 29</w:t>
      </w:r>
    </w:p>
    <w:p w:rsidR="001E5D5D" w:rsidRPr="00753BB2" w:rsidRDefault="001E5D5D" w:rsidP="001E5D5D">
      <w:pPr>
        <w:spacing w:before="0"/>
        <w:rPr>
          <w:lang w:val="en-GB"/>
        </w:rPr>
      </w:pPr>
      <w:r w:rsidRPr="00753BB2">
        <w:rPr>
          <w:lang w:val="en-GB"/>
        </w:rPr>
        <w:t xml:space="preserve">Long: </w:t>
      </w:r>
      <w:r w:rsidRPr="00753BB2">
        <w:rPr>
          <w:lang w:val="en-GB"/>
        </w:rPr>
        <w:tab/>
        <w:t>W 43 11 15</w:t>
      </w:r>
    </w:p>
    <w:p w:rsidR="001E5D5D" w:rsidRPr="00753BB2" w:rsidRDefault="001E5D5D" w:rsidP="001E5D5D">
      <w:pPr>
        <w:rPr>
          <w:u w:val="single"/>
          <w:lang w:val="en-GB"/>
        </w:rPr>
      </w:pPr>
      <w:r w:rsidRPr="00753BB2">
        <w:rPr>
          <w:u w:val="single"/>
          <w:lang w:val="en-GB"/>
        </w:rPr>
        <w:t>By Taxi</w:t>
      </w:r>
    </w:p>
    <w:p w:rsidR="001E5D5D" w:rsidRPr="00753BB2" w:rsidRDefault="001E5D5D" w:rsidP="001E5D5D">
      <w:pPr>
        <w:rPr>
          <w:highlight w:val="yellow"/>
          <w:lang w:val="en-GB"/>
        </w:rPr>
      </w:pPr>
      <w:r w:rsidRPr="00753BB2">
        <w:rPr>
          <w:lang w:val="en-GB"/>
        </w:rPr>
        <w:t>Taxis are available from Galeão Airport. The price is around BRL 100, 00. The approximate travel time is 40-60 min. When booking your accommodation you can request an airport pick up from the hotel and they will charge it to your room. Uber is available throughout Rio.</w:t>
      </w:r>
    </w:p>
    <w:p w:rsidR="001E5D5D" w:rsidRPr="00753BB2" w:rsidRDefault="001E5D5D" w:rsidP="000A520F">
      <w:pPr>
        <w:rPr>
          <w:lang w:val="en-GB"/>
        </w:rPr>
      </w:pPr>
      <w:r w:rsidRPr="00753BB2">
        <w:rPr>
          <w:lang w:val="en-GB"/>
        </w:rPr>
        <w:t xml:space="preserve">Also see </w:t>
      </w:r>
      <w:hyperlink r:id="rId17" w:history="1">
        <w:r w:rsidRPr="00753BB2">
          <w:rPr>
            <w:rStyle w:val="Hyperlink"/>
            <w:lang w:val="en-GB"/>
          </w:rPr>
          <w:t>https://www.pestana.com/br/hotel/pestana-rio/maplocation?ctxurl=https%3a%2f%2fwww.pestana.com%2fbr%2fhotel%2fpestana-rio</w:t>
        </w:r>
      </w:hyperlink>
      <w:r w:rsidR="000A520F" w:rsidRPr="00753BB2">
        <w:rPr>
          <w:lang w:val="en-GB"/>
        </w:rPr>
        <w:t>.</w:t>
      </w:r>
    </w:p>
    <w:p w:rsidR="001E5D5D" w:rsidRPr="00753BB2" w:rsidRDefault="001E5D5D" w:rsidP="000A520F">
      <w:pPr>
        <w:pStyle w:val="Heading1"/>
        <w:rPr>
          <w:lang w:val="en-GB"/>
        </w:rPr>
      </w:pPr>
      <w:r w:rsidRPr="00753BB2">
        <w:rPr>
          <w:lang w:val="en-GB"/>
        </w:rPr>
        <w:t>4</w:t>
      </w:r>
      <w:r w:rsidRPr="00753BB2">
        <w:rPr>
          <w:lang w:val="en-GB"/>
        </w:rPr>
        <w:tab/>
        <w:t>Entry Requirements and Visa Information</w:t>
      </w:r>
    </w:p>
    <w:p w:rsidR="001E5D5D" w:rsidRPr="00753BB2" w:rsidRDefault="001E5D5D" w:rsidP="001E5D5D">
      <w:pPr>
        <w:rPr>
          <w:lang w:val="en-GB"/>
        </w:rPr>
      </w:pPr>
      <w:r w:rsidRPr="00753BB2">
        <w:rPr>
          <w:lang w:val="en-GB"/>
        </w:rPr>
        <w:t xml:space="preserve">Depending on a visitor’s nationality, an entry visa may be required by national authorities. Participants concerned are strongly advised to seek information on requirements applicable in their case from Brazilian embassies or consular missions in their home countries. Where a visa is required, applicants are strongly advised to apply as early as possible. For more information please visit: </w:t>
      </w:r>
      <w:hyperlink r:id="rId18" w:history="1">
        <w:r w:rsidRPr="00753BB2">
          <w:rPr>
            <w:rStyle w:val="Hyperlink"/>
            <w:lang w:val="en-GB"/>
          </w:rPr>
          <w:t>http://www.portalconsular.itamaraty.gov.br/vistos</w:t>
        </w:r>
      </w:hyperlink>
      <w:r w:rsidRPr="00753BB2">
        <w:rPr>
          <w:lang w:val="en-GB"/>
        </w:rPr>
        <w:t xml:space="preserve">. Please find at the link below the list of Brazilian Embassies and Consular missions: </w:t>
      </w:r>
      <w:hyperlink r:id="rId19" w:history="1">
        <w:r w:rsidRPr="00753BB2">
          <w:rPr>
            <w:rStyle w:val="Hyperlink"/>
            <w:lang w:val="en-GB"/>
          </w:rPr>
          <w:t>http://www.portalconsular.itamaraty.gov.br/representacoes-do-brasil-no-mundo</w:t>
        </w:r>
      </w:hyperlink>
      <w:r w:rsidRPr="00753BB2">
        <w:rPr>
          <w:lang w:val="en-GB"/>
        </w:rPr>
        <w:t>.</w:t>
      </w:r>
    </w:p>
    <w:p w:rsidR="001E5D5D" w:rsidRPr="00753BB2" w:rsidRDefault="001E5D5D" w:rsidP="00196F1C">
      <w:pPr>
        <w:rPr>
          <w:lang w:val="en-GB"/>
        </w:rPr>
      </w:pPr>
      <w:r w:rsidRPr="00753BB2">
        <w:rPr>
          <w:lang w:val="en-GB"/>
        </w:rPr>
        <w:t xml:space="preserve">A letter of invitation can be issued to registered participants. Requests should be addressed by </w:t>
      </w:r>
      <w:r w:rsidRPr="00753BB2">
        <w:rPr>
          <w:lang w:val="en-GB"/>
        </w:rPr>
        <w:br/>
        <w:t xml:space="preserve">e-mail to Mr Jeferson Fued Nacif, Chief of International Department, ANATEL, at </w:t>
      </w:r>
      <w:hyperlink r:id="rId20" w:history="1">
        <w:r w:rsidRPr="00753BB2">
          <w:rPr>
            <w:rStyle w:val="Hyperlink"/>
            <w:lang w:val="en-GB"/>
          </w:rPr>
          <w:t>ain@anatel.gov.br</w:t>
        </w:r>
      </w:hyperlink>
      <w:r w:rsidRPr="00753BB2">
        <w:rPr>
          <w:lang w:val="en-GB"/>
        </w:rPr>
        <w:t>. The e-</w:t>
      </w:r>
      <w:r w:rsidRPr="00753BB2">
        <w:rPr>
          <w:lang w:val="en-GB"/>
        </w:rPr>
        <w:lastRenderedPageBreak/>
        <w:t xml:space="preserve">mail subject should be </w:t>
      </w:r>
      <w:r w:rsidR="00196F1C" w:rsidRPr="00753BB2">
        <w:rPr>
          <w:lang w:val="en-GB"/>
        </w:rPr>
        <w:t>"</w:t>
      </w:r>
      <w:r w:rsidRPr="00753BB2">
        <w:rPr>
          <w:b/>
          <w:bCs/>
          <w:lang w:val="en-GB"/>
        </w:rPr>
        <w:t>LOI for QSDG event in Rio</w:t>
      </w:r>
      <w:r w:rsidR="00196F1C" w:rsidRPr="00753BB2">
        <w:rPr>
          <w:lang w:val="en-GB"/>
        </w:rPr>
        <w:t>"</w:t>
      </w:r>
      <w:r w:rsidRPr="00753BB2">
        <w:rPr>
          <w:lang w:val="en-GB"/>
        </w:rPr>
        <w:t xml:space="preserve">, and the e-mail should state the </w:t>
      </w:r>
      <w:r w:rsidRPr="00753BB2">
        <w:rPr>
          <w:b/>
          <w:bCs/>
          <w:lang w:val="en-GB"/>
        </w:rPr>
        <w:t>registration number, address of the Brazilian embassy in the applicant’s country</w:t>
      </w:r>
      <w:r w:rsidRPr="00753BB2">
        <w:rPr>
          <w:lang w:val="en-GB"/>
        </w:rPr>
        <w:t xml:space="preserve"> and include a </w:t>
      </w:r>
      <w:r w:rsidRPr="00753BB2">
        <w:rPr>
          <w:b/>
          <w:bCs/>
          <w:lang w:val="en-GB"/>
        </w:rPr>
        <w:t>scan of the applicant’s passport data page</w:t>
      </w:r>
      <w:r w:rsidRPr="00753BB2">
        <w:rPr>
          <w:lang w:val="en-GB"/>
        </w:rPr>
        <w:t>.</w:t>
      </w:r>
    </w:p>
    <w:p w:rsidR="001E5D5D" w:rsidRPr="00753BB2" w:rsidRDefault="001E5D5D" w:rsidP="000A520F">
      <w:pPr>
        <w:pStyle w:val="Heading1"/>
        <w:rPr>
          <w:lang w:val="en-GB"/>
        </w:rPr>
      </w:pPr>
      <w:r w:rsidRPr="00753BB2">
        <w:rPr>
          <w:lang w:val="en-GB"/>
        </w:rPr>
        <w:t>5</w:t>
      </w:r>
      <w:r w:rsidRPr="00753BB2">
        <w:rPr>
          <w:lang w:val="en-GB"/>
        </w:rPr>
        <w:tab/>
        <w:t>General Information</w:t>
      </w:r>
    </w:p>
    <w:p w:rsidR="001E5D5D" w:rsidRPr="00753BB2" w:rsidRDefault="001E5D5D" w:rsidP="001E5D5D">
      <w:pPr>
        <w:rPr>
          <w:u w:val="single"/>
          <w:lang w:val="en-GB"/>
        </w:rPr>
      </w:pPr>
      <w:r w:rsidRPr="00753BB2">
        <w:rPr>
          <w:u w:val="single"/>
          <w:lang w:val="en-GB"/>
        </w:rPr>
        <w:t>Time zone</w:t>
      </w:r>
    </w:p>
    <w:p w:rsidR="001E5D5D" w:rsidRPr="00753BB2" w:rsidRDefault="001E5D5D" w:rsidP="001E5D5D">
      <w:pPr>
        <w:rPr>
          <w:lang w:val="en-GB"/>
        </w:rPr>
      </w:pPr>
      <w:r w:rsidRPr="00753BB2">
        <w:rPr>
          <w:lang w:val="en-GB"/>
        </w:rPr>
        <w:t>UTC-03:00 + Summer time</w:t>
      </w:r>
    </w:p>
    <w:p w:rsidR="001E5D5D" w:rsidRPr="00753BB2" w:rsidRDefault="001E5D5D" w:rsidP="001E5D5D">
      <w:pPr>
        <w:rPr>
          <w:u w:val="single"/>
          <w:lang w:val="en-GB"/>
        </w:rPr>
      </w:pPr>
      <w:r w:rsidRPr="00753BB2">
        <w:rPr>
          <w:u w:val="single"/>
          <w:lang w:val="en-GB"/>
        </w:rPr>
        <w:t>Climate</w:t>
      </w:r>
    </w:p>
    <w:p w:rsidR="001E5D5D" w:rsidRPr="00753BB2" w:rsidRDefault="001E5D5D" w:rsidP="001E5D5D">
      <w:pPr>
        <w:rPr>
          <w:highlight w:val="yellow"/>
          <w:lang w:val="en-GB"/>
        </w:rPr>
      </w:pPr>
      <w:r w:rsidRPr="00753BB2">
        <w:rPr>
          <w:lang w:val="en-GB"/>
        </w:rPr>
        <w:t xml:space="preserve">The month of November is characterized as the end of spring in Rio de Janeiro, Brazil, when the weather is warm and fairly wet. During this month, the average temperature is 24°C, with average highs of 27°C recorded in the hottest part of the day and average lows of 21°C recorded during the coolest part of the night. For more information, see </w:t>
      </w:r>
      <w:hyperlink r:id="rId21" w:anchor="summary-section" w:history="1">
        <w:r w:rsidRPr="00753BB2">
          <w:rPr>
            <w:rStyle w:val="Hyperlink"/>
            <w:lang w:val="en-GB"/>
          </w:rPr>
          <w:t>http://www.holiday-weather.com/rio_de_janeiro/averages/november/#summary-section</w:t>
        </w:r>
      </w:hyperlink>
      <w:r w:rsidRPr="00753BB2">
        <w:rPr>
          <w:lang w:val="en-GB"/>
        </w:rPr>
        <w:t xml:space="preserve">. </w:t>
      </w:r>
    </w:p>
    <w:p w:rsidR="001E5D5D" w:rsidRPr="00753BB2" w:rsidRDefault="001E5D5D" w:rsidP="001E5D5D">
      <w:pPr>
        <w:keepNext/>
        <w:rPr>
          <w:u w:val="single"/>
          <w:lang w:val="en-GB"/>
        </w:rPr>
      </w:pPr>
      <w:r w:rsidRPr="00753BB2">
        <w:rPr>
          <w:u w:val="single"/>
          <w:lang w:val="en-GB"/>
        </w:rPr>
        <w:t>Currency</w:t>
      </w:r>
    </w:p>
    <w:p w:rsidR="001E5D5D" w:rsidRPr="00753BB2" w:rsidRDefault="001E5D5D" w:rsidP="001E5D5D">
      <w:pPr>
        <w:keepNext/>
        <w:rPr>
          <w:lang w:val="en-GB"/>
        </w:rPr>
      </w:pPr>
      <w:r w:rsidRPr="00753BB2">
        <w:rPr>
          <w:lang w:val="en-GB"/>
        </w:rPr>
        <w:t>The Brazilian Real (sign: R$; code: BRL) is the currency of Brazil. The Real is subdivided into 100 cents. In most major shops and outlets credit cards and debit cards are widely accepted.</w:t>
      </w:r>
    </w:p>
    <w:p w:rsidR="001E5D5D" w:rsidRPr="00753BB2" w:rsidRDefault="001E5D5D" w:rsidP="001E5D5D">
      <w:pPr>
        <w:rPr>
          <w:u w:val="single"/>
          <w:lang w:val="en-GB"/>
        </w:rPr>
      </w:pPr>
      <w:r w:rsidRPr="00753BB2">
        <w:rPr>
          <w:u w:val="single"/>
          <w:lang w:val="en-GB"/>
        </w:rPr>
        <w:t>Electricity</w:t>
      </w:r>
    </w:p>
    <w:p w:rsidR="001E5D5D" w:rsidRPr="00753BB2" w:rsidRDefault="001E5D5D" w:rsidP="001E5D5D">
      <w:pPr>
        <w:rPr>
          <w:highlight w:val="yellow"/>
          <w:lang w:val="en-GB"/>
        </w:rPr>
      </w:pPr>
      <w:r w:rsidRPr="00753BB2">
        <w:rPr>
          <w:lang w:val="en-GB"/>
        </w:rPr>
        <w:t xml:space="preserve">The power voltage in Rio de Janeiro is 110 Volts and the power sockets, in general, are of type C or N. If you are coming from a country with different power outlets, ensure to bring over plug adaptors to avoid any trouble (or simply buy one upon your arrival). For more information, please see </w:t>
      </w:r>
      <w:hyperlink r:id="rId22" w:history="1">
        <w:r w:rsidRPr="00753BB2">
          <w:rPr>
            <w:rStyle w:val="Hyperlink"/>
            <w:lang w:val="en-GB"/>
          </w:rPr>
          <w:t>https://www.power-plugs-sockets.com/br/brazil/</w:t>
        </w:r>
      </w:hyperlink>
      <w:r w:rsidRPr="00753BB2">
        <w:rPr>
          <w:lang w:val="en-GB"/>
        </w:rPr>
        <w:t>.</w:t>
      </w:r>
    </w:p>
    <w:p w:rsidR="001E5D5D" w:rsidRPr="00753BB2" w:rsidRDefault="001E5D5D" w:rsidP="000A520F">
      <w:pPr>
        <w:pStyle w:val="Heading1"/>
        <w:rPr>
          <w:lang w:val="en-GB"/>
        </w:rPr>
      </w:pPr>
      <w:r w:rsidRPr="00753BB2">
        <w:rPr>
          <w:lang w:val="en-GB"/>
        </w:rPr>
        <w:t>6</w:t>
      </w:r>
      <w:r w:rsidRPr="00753BB2">
        <w:rPr>
          <w:lang w:val="en-GB"/>
        </w:rPr>
        <w:tab/>
        <w:t>Contact Person</w:t>
      </w:r>
    </w:p>
    <w:p w:rsidR="001E5D5D" w:rsidRPr="00753BB2" w:rsidRDefault="001E5D5D" w:rsidP="001E5D5D">
      <w:pPr>
        <w:rPr>
          <w:lang w:val="en-GB"/>
        </w:rPr>
      </w:pPr>
      <w:r w:rsidRPr="00753BB2">
        <w:rPr>
          <w:lang w:val="en-GB"/>
        </w:rPr>
        <w:t>For any further information, please contact:</w:t>
      </w:r>
    </w:p>
    <w:p w:rsidR="001E5D5D" w:rsidRPr="00753BB2" w:rsidRDefault="001E5D5D" w:rsidP="001E5D5D">
      <w:pPr>
        <w:rPr>
          <w:lang w:val="en-GB"/>
        </w:rPr>
      </w:pPr>
      <w:r w:rsidRPr="00753BB2">
        <w:rPr>
          <w:b/>
          <w:bCs/>
          <w:lang w:val="en-GB"/>
        </w:rPr>
        <w:t>Mr Tiago Sousa Prado</w:t>
      </w:r>
      <w:r w:rsidRPr="00753BB2">
        <w:rPr>
          <w:b/>
          <w:bCs/>
          <w:lang w:val="en-GB"/>
        </w:rPr>
        <w:br/>
      </w:r>
      <w:r w:rsidRPr="00753BB2">
        <w:rPr>
          <w:lang w:val="en-GB"/>
        </w:rPr>
        <w:t>ITU-T SG12 Vice-chairman</w:t>
      </w:r>
      <w:r w:rsidRPr="00753BB2">
        <w:rPr>
          <w:lang w:val="en-GB"/>
        </w:rPr>
        <w:br/>
        <w:t>ANATEL – National Telecommunications Agency</w:t>
      </w:r>
    </w:p>
    <w:p w:rsidR="001E5D5D" w:rsidRPr="00753BB2" w:rsidRDefault="001E5D5D" w:rsidP="001E5D5D">
      <w:pPr>
        <w:rPr>
          <w:lang w:val="de-CH"/>
        </w:rPr>
      </w:pPr>
      <w:r w:rsidRPr="00753BB2">
        <w:rPr>
          <w:lang w:val="de-CH"/>
        </w:rPr>
        <w:t>Tel:</w:t>
      </w:r>
      <w:r w:rsidRPr="00753BB2">
        <w:rPr>
          <w:lang w:val="de-CH"/>
        </w:rPr>
        <w:tab/>
        <w:t>+55 61 2312 2617</w:t>
      </w:r>
      <w:r w:rsidRPr="00753BB2">
        <w:rPr>
          <w:lang w:val="de-CH"/>
        </w:rPr>
        <w:br/>
        <w:t>E-mail:</w:t>
      </w:r>
      <w:r w:rsidRPr="00753BB2">
        <w:rPr>
          <w:lang w:val="de-CH"/>
        </w:rPr>
        <w:tab/>
      </w:r>
      <w:r w:rsidRPr="00753BB2">
        <w:rPr>
          <w:rStyle w:val="Hyperlink"/>
          <w:lang w:val="de-CH"/>
        </w:rPr>
        <w:t>tiago.prado@anatel.gov.br</w:t>
      </w:r>
    </w:p>
    <w:p w:rsidR="001E5D5D" w:rsidRPr="00753BB2" w:rsidRDefault="001E5D5D" w:rsidP="001E5D5D">
      <w:pPr>
        <w:rPr>
          <w:rFonts w:eastAsia="SimSun"/>
          <w:lang w:val="de-CH"/>
        </w:rPr>
      </w:pPr>
    </w:p>
    <w:p w:rsidR="009A004D" w:rsidRPr="00753BB2" w:rsidRDefault="009A004D" w:rsidP="007B25FD">
      <w:pPr>
        <w:pStyle w:val="Normalaftertitle"/>
        <w:jc w:val="both"/>
      </w:pPr>
      <w:r w:rsidRPr="00753BB2">
        <w:t>Funding for participants from least developed and low income countries</w:t>
      </w:r>
      <w:r w:rsidRPr="00753BB2">
        <w:rPr>
          <w:b/>
          <w:bCs/>
        </w:rPr>
        <w:t xml:space="preserve"> </w:t>
      </w:r>
      <w:r w:rsidRPr="00753BB2">
        <w:t>may be provided through ITU. Please note that the decision criteria to grant this funding include but are not limited to the following:</w:t>
      </w:r>
    </w:p>
    <w:p w:rsidR="009A004D" w:rsidRPr="00753BB2" w:rsidRDefault="007B25FD" w:rsidP="007B25FD">
      <w:pPr>
        <w:pStyle w:val="enumlev1"/>
        <w:jc w:val="both"/>
      </w:pPr>
      <w:r w:rsidRPr="00753BB2">
        <w:t>a)</w:t>
      </w:r>
      <w:r w:rsidRPr="00753BB2">
        <w:tab/>
      </w:r>
      <w:r w:rsidR="009A004D" w:rsidRPr="00753BB2">
        <w:t xml:space="preserve">Available budget; </w:t>
      </w:r>
    </w:p>
    <w:p w:rsidR="009A004D" w:rsidRPr="00753BB2" w:rsidRDefault="007B25FD" w:rsidP="007B25FD">
      <w:pPr>
        <w:pStyle w:val="enumlev1"/>
        <w:jc w:val="both"/>
        <w:rPr>
          <w:rFonts w:cs="Calibri"/>
        </w:rPr>
      </w:pPr>
      <w:r w:rsidRPr="00753BB2">
        <w:rPr>
          <w:rFonts w:cs="Calibri"/>
        </w:rPr>
        <w:t>b)</w:t>
      </w:r>
      <w:r w:rsidRPr="00753BB2">
        <w:rPr>
          <w:rFonts w:cs="Calibri"/>
        </w:rPr>
        <w:tab/>
      </w:r>
      <w:r w:rsidR="009A004D" w:rsidRPr="00753BB2">
        <w:rPr>
          <w:rFonts w:cs="Calibri"/>
        </w:rPr>
        <w:t xml:space="preserve">Participation of speakers from Least Developed </w:t>
      </w:r>
      <w:r w:rsidR="009A004D" w:rsidRPr="00753BB2">
        <w:t>Countries</w:t>
      </w:r>
      <w:r w:rsidR="009A004D" w:rsidRPr="00753BB2">
        <w:rPr>
          <w:rFonts w:cs="Calibri"/>
        </w:rPr>
        <w:t xml:space="preserve"> or low Income Developing Countries (</w:t>
      </w:r>
      <w:hyperlink r:id="rId23" w:history="1">
        <w:r w:rsidR="009A004D" w:rsidRPr="00753BB2">
          <w:rPr>
            <w:rStyle w:val="Hyperlink"/>
            <w:rFonts w:cs="Calibri"/>
          </w:rPr>
          <w:t>http://itu.int/en/ITU-T/info/Pages/resources.aspx</w:t>
        </w:r>
      </w:hyperlink>
      <w:r w:rsidRPr="00753BB2">
        <w:rPr>
          <w:rFonts w:cs="Calibri"/>
        </w:rPr>
        <w:t>);</w:t>
      </w:r>
    </w:p>
    <w:p w:rsidR="009A004D" w:rsidRPr="00753BB2" w:rsidRDefault="007B25FD" w:rsidP="007B25FD">
      <w:pPr>
        <w:pStyle w:val="enumlev1"/>
        <w:jc w:val="both"/>
        <w:rPr>
          <w:rFonts w:cs="Calibri"/>
        </w:rPr>
      </w:pPr>
      <w:r w:rsidRPr="00753BB2">
        <w:rPr>
          <w:rFonts w:cs="Calibri"/>
        </w:rPr>
        <w:t>c)</w:t>
      </w:r>
      <w:r w:rsidRPr="00753BB2">
        <w:rPr>
          <w:rFonts w:cs="Calibri"/>
        </w:rPr>
        <w:tab/>
      </w:r>
      <w:r w:rsidR="009A004D" w:rsidRPr="00753BB2">
        <w:rPr>
          <w:rFonts w:cs="Calibri"/>
        </w:rPr>
        <w:t xml:space="preserve">Equitable distribution among countries and </w:t>
      </w:r>
      <w:r w:rsidR="009A004D" w:rsidRPr="00753BB2">
        <w:t>regions</w:t>
      </w:r>
      <w:r w:rsidR="009A004D" w:rsidRPr="00753BB2">
        <w:rPr>
          <w:rFonts w:cs="Calibri"/>
        </w:rPr>
        <w:t xml:space="preserve">; </w:t>
      </w:r>
    </w:p>
    <w:p w:rsidR="009A004D" w:rsidRPr="00753BB2" w:rsidRDefault="007B25FD" w:rsidP="007B25FD">
      <w:pPr>
        <w:pStyle w:val="enumlev1"/>
        <w:jc w:val="both"/>
        <w:rPr>
          <w:rFonts w:cs="Calibri"/>
        </w:rPr>
      </w:pPr>
      <w:r w:rsidRPr="00753BB2">
        <w:rPr>
          <w:rFonts w:cs="Calibri"/>
        </w:rPr>
        <w:t>d)</w:t>
      </w:r>
      <w:r w:rsidRPr="00753BB2">
        <w:rPr>
          <w:rFonts w:cs="Calibri"/>
        </w:rPr>
        <w:tab/>
      </w:r>
      <w:r w:rsidR="009A004D" w:rsidRPr="00753BB2">
        <w:rPr>
          <w:rFonts w:cs="Calibri"/>
        </w:rPr>
        <w:t xml:space="preserve">Gender </w:t>
      </w:r>
      <w:r w:rsidR="009A004D" w:rsidRPr="00753BB2">
        <w:t>balance</w:t>
      </w:r>
      <w:r w:rsidR="009A004D" w:rsidRPr="00753BB2">
        <w:rPr>
          <w:rFonts w:cs="Calibri"/>
        </w:rPr>
        <w:t xml:space="preserve">. </w:t>
      </w:r>
    </w:p>
    <w:p w:rsidR="009A004D" w:rsidRPr="00753BB2" w:rsidRDefault="009A004D" w:rsidP="007B25FD">
      <w:pPr>
        <w:jc w:val="both"/>
        <w:rPr>
          <w:lang w:val="en-GB"/>
        </w:rPr>
      </w:pPr>
      <w:r w:rsidRPr="00753BB2">
        <w:rPr>
          <w:lang w:val="en-GB"/>
        </w:rPr>
        <w:t xml:space="preserve">Preference will be given to national regulators and public officials. Funding requests (please use enclosed form in Annex 2) must be returned to ITU no later than </w:t>
      </w:r>
      <w:r w:rsidRPr="00753BB2">
        <w:rPr>
          <w:b/>
          <w:bCs/>
          <w:lang w:val="en-GB"/>
        </w:rPr>
        <w:t>10 September 2017</w:t>
      </w:r>
      <w:r w:rsidR="007B25FD" w:rsidRPr="00753BB2">
        <w:rPr>
          <w:lang w:val="en-GB"/>
        </w:rPr>
        <w:t>.</w:t>
      </w:r>
    </w:p>
    <w:p w:rsidR="00565002" w:rsidRPr="001C59A6" w:rsidRDefault="00565002" w:rsidP="00507BAD">
      <w:pPr>
        <w:spacing w:before="480"/>
        <w:jc w:val="center"/>
        <w:rPr>
          <w:lang w:val="ru-RU"/>
        </w:rPr>
      </w:pPr>
      <w:r w:rsidRPr="001C59A6">
        <w:rPr>
          <w:lang w:val="ru-RU"/>
        </w:rPr>
        <w:t>______________</w:t>
      </w:r>
    </w:p>
    <w:sectPr w:rsidR="00565002" w:rsidRPr="001C59A6" w:rsidSect="00AC7192">
      <w:headerReference w:type="default" r:id="rId24"/>
      <w:footerReference w:type="default" r:id="rId25"/>
      <w:footerReference w:type="first" r:id="rId26"/>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9AD" w:rsidRDefault="00B019AD">
      <w:r>
        <w:separator/>
      </w:r>
    </w:p>
  </w:endnote>
  <w:endnote w:type="continuationSeparator" w:id="0">
    <w:p w:rsidR="00B019AD" w:rsidRDefault="00B0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EE" w:rsidRPr="00565002" w:rsidRDefault="002B21EE" w:rsidP="00753BB2">
    <w:pPr>
      <w:pStyle w:val="Footer"/>
      <w:tabs>
        <w:tab w:val="clear" w:pos="4703"/>
        <w:tab w:val="clear" w:pos="9406"/>
        <w:tab w:val="center" w:pos="5670"/>
        <w:tab w:val="right" w:pos="9639"/>
      </w:tabs>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2" w:rsidRPr="00B30817" w:rsidRDefault="00AC7192" w:rsidP="00AC7192">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r w:rsidRPr="00B30817">
      <w:rPr>
        <w:sz w:val="18"/>
        <w:szCs w:val="18"/>
        <w:lang w:val="ru-RU"/>
      </w:rPr>
      <w:t>Тел.</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9AD" w:rsidRDefault="00B019AD">
      <w:r>
        <w:separator/>
      </w:r>
    </w:p>
  </w:footnote>
  <w:footnote w:type="continuationSeparator" w:id="0">
    <w:p w:rsidR="00B019AD" w:rsidRDefault="00B01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04D" w:rsidRPr="0086614A" w:rsidRDefault="00565002" w:rsidP="0086614A">
    <w:pPr>
      <w:pStyle w:val="Header"/>
      <w:rPr>
        <w:lang w:val="ru-RU"/>
      </w:rPr>
    </w:pPr>
    <w:r>
      <w:rPr>
        <w:rStyle w:val="PageNumber"/>
        <w:szCs w:val="18"/>
        <w:lang w:val="ru-RU"/>
      </w:rPr>
      <w:t xml:space="preserve">- </w:t>
    </w:r>
    <w:r w:rsidR="002B21EE" w:rsidRPr="00447A7D">
      <w:rPr>
        <w:rStyle w:val="PageNumber"/>
        <w:szCs w:val="18"/>
      </w:rPr>
      <w:fldChar w:fldCharType="begin"/>
    </w:r>
    <w:r w:rsidR="002B21EE" w:rsidRPr="00447A7D">
      <w:rPr>
        <w:rStyle w:val="PageNumber"/>
        <w:szCs w:val="18"/>
      </w:rPr>
      <w:instrText xml:space="preserve"> PAGE </w:instrText>
    </w:r>
    <w:r w:rsidR="002B21EE" w:rsidRPr="00447A7D">
      <w:rPr>
        <w:rStyle w:val="PageNumber"/>
        <w:szCs w:val="18"/>
      </w:rPr>
      <w:fldChar w:fldCharType="separate"/>
    </w:r>
    <w:r w:rsidR="00731DF7">
      <w:rPr>
        <w:rStyle w:val="PageNumber"/>
        <w:noProof/>
        <w:szCs w:val="18"/>
      </w:rPr>
      <w:t>6</w:t>
    </w:r>
    <w:r w:rsidR="002B21EE" w:rsidRPr="00447A7D">
      <w:rPr>
        <w:rStyle w:val="PageNumber"/>
        <w:szCs w:val="18"/>
      </w:rPr>
      <w:fldChar w:fldCharType="end"/>
    </w:r>
    <w:r>
      <w:rPr>
        <w:rStyle w:val="PageNumber"/>
        <w:lang w:val="ru-RU"/>
      </w:rPr>
      <w:t xml:space="preserve"> -</w:t>
    </w:r>
    <w:r w:rsidR="00ED63B0">
      <w:rPr>
        <w:rStyle w:val="PageNumber"/>
        <w:lang w:val="ru-RU"/>
      </w:rPr>
      <w:br/>
      <w:t>Циркуляр 47</w:t>
    </w:r>
    <w:r w:rsidR="0086614A">
      <w:rPr>
        <w:rStyle w:val="PageNumber"/>
        <w:lang w:val="ru-RU"/>
      </w:rPr>
      <w:t xml:space="preserve">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C8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0C4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006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A1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EA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4E7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5E4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09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E42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E1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2F4153"/>
    <w:multiLevelType w:val="hybridMultilevel"/>
    <w:tmpl w:val="AB648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2EB2B5C"/>
    <w:multiLevelType w:val="hybridMultilevel"/>
    <w:tmpl w:val="6056494C"/>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643F1B"/>
    <w:multiLevelType w:val="hybridMultilevel"/>
    <w:tmpl w:val="D0B89B62"/>
    <w:lvl w:ilvl="0" w:tplc="18E6B41E">
      <w:numFmt w:val="bullet"/>
      <w:lvlText w:val="•"/>
      <w:lvlJc w:val="left"/>
      <w:pPr>
        <w:ind w:left="1140" w:hanging="114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FB277D"/>
    <w:multiLevelType w:val="hybridMultilevel"/>
    <w:tmpl w:val="468CBF2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7"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39"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3"/>
  </w:num>
  <w:num w:numId="4">
    <w:abstractNumId w:val="15"/>
  </w:num>
  <w:num w:numId="5">
    <w:abstractNumId w:val="34"/>
  </w:num>
  <w:num w:numId="6">
    <w:abstractNumId w:val="12"/>
  </w:num>
  <w:num w:numId="7">
    <w:abstractNumId w:val="37"/>
  </w:num>
  <w:num w:numId="8">
    <w:abstractNumId w:val="30"/>
  </w:num>
  <w:num w:numId="9">
    <w:abstractNumId w:val="31"/>
  </w:num>
  <w:num w:numId="10">
    <w:abstractNumId w:val="19"/>
  </w:num>
  <w:num w:numId="11">
    <w:abstractNumId w:val="3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8"/>
  </w:num>
  <w:num w:numId="16">
    <w:abstractNumId w:val="41"/>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6"/>
  </w:num>
  <w:num w:numId="29">
    <w:abstractNumId w:val="44"/>
  </w:num>
  <w:num w:numId="30">
    <w:abstractNumId w:val="16"/>
  </w:num>
  <w:num w:numId="31">
    <w:abstractNumId w:val="28"/>
  </w:num>
  <w:num w:numId="32">
    <w:abstractNumId w:val="42"/>
  </w:num>
  <w:num w:numId="33">
    <w:abstractNumId w:val="3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9"/>
  </w:num>
  <w:num w:numId="38">
    <w:abstractNumId w:val="25"/>
  </w:num>
  <w:num w:numId="39">
    <w:abstractNumId w:val="22"/>
  </w:num>
  <w:num w:numId="40">
    <w:abstractNumId w:val="20"/>
  </w:num>
  <w:num w:numId="41">
    <w:abstractNumId w:val="35"/>
  </w:num>
  <w:num w:numId="42">
    <w:abstractNumId w:val="27"/>
  </w:num>
  <w:num w:numId="43">
    <w:abstractNumId w:val="14"/>
  </w:num>
  <w:num w:numId="44">
    <w:abstractNumId w:val="32"/>
  </w:num>
  <w:num w:numId="45">
    <w:abstractNumId w:val="29"/>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05BE2"/>
    <w:rsid w:val="00022027"/>
    <w:rsid w:val="00024565"/>
    <w:rsid w:val="00030E6A"/>
    <w:rsid w:val="0003235D"/>
    <w:rsid w:val="00036DFF"/>
    <w:rsid w:val="0005743C"/>
    <w:rsid w:val="00062E38"/>
    <w:rsid w:val="000720FA"/>
    <w:rsid w:val="00082B7B"/>
    <w:rsid w:val="000922CA"/>
    <w:rsid w:val="0009343E"/>
    <w:rsid w:val="000943AD"/>
    <w:rsid w:val="00095EA0"/>
    <w:rsid w:val="000A520F"/>
    <w:rsid w:val="000C2147"/>
    <w:rsid w:val="000C67CA"/>
    <w:rsid w:val="000C7D98"/>
    <w:rsid w:val="000E3347"/>
    <w:rsid w:val="00103310"/>
    <w:rsid w:val="00112CD6"/>
    <w:rsid w:val="00115B49"/>
    <w:rsid w:val="0013142F"/>
    <w:rsid w:val="00137401"/>
    <w:rsid w:val="001456C1"/>
    <w:rsid w:val="00151616"/>
    <w:rsid w:val="001629DC"/>
    <w:rsid w:val="00196F1C"/>
    <w:rsid w:val="001B4A74"/>
    <w:rsid w:val="001C59A6"/>
    <w:rsid w:val="001C5ECE"/>
    <w:rsid w:val="001D1D80"/>
    <w:rsid w:val="001D261C"/>
    <w:rsid w:val="001E5D5D"/>
    <w:rsid w:val="001F345C"/>
    <w:rsid w:val="001F72DF"/>
    <w:rsid w:val="00205108"/>
    <w:rsid w:val="00207341"/>
    <w:rsid w:val="002414DD"/>
    <w:rsid w:val="0025701E"/>
    <w:rsid w:val="0026232A"/>
    <w:rsid w:val="002736E9"/>
    <w:rsid w:val="002773B1"/>
    <w:rsid w:val="00284005"/>
    <w:rsid w:val="00291B02"/>
    <w:rsid w:val="00297434"/>
    <w:rsid w:val="002A5E04"/>
    <w:rsid w:val="002B21EE"/>
    <w:rsid w:val="002B37F9"/>
    <w:rsid w:val="002C262A"/>
    <w:rsid w:val="002C552E"/>
    <w:rsid w:val="002D06B7"/>
    <w:rsid w:val="002D26FD"/>
    <w:rsid w:val="002E4C41"/>
    <w:rsid w:val="002E4CE4"/>
    <w:rsid w:val="002F4006"/>
    <w:rsid w:val="003006B9"/>
    <w:rsid w:val="00314B2D"/>
    <w:rsid w:val="00321EB6"/>
    <w:rsid w:val="0032307C"/>
    <w:rsid w:val="00323296"/>
    <w:rsid w:val="0033434F"/>
    <w:rsid w:val="00337770"/>
    <w:rsid w:val="00337F1C"/>
    <w:rsid w:val="00340304"/>
    <w:rsid w:val="00360D8C"/>
    <w:rsid w:val="00362E12"/>
    <w:rsid w:val="00372A8C"/>
    <w:rsid w:val="003759D0"/>
    <w:rsid w:val="00383619"/>
    <w:rsid w:val="003906BF"/>
    <w:rsid w:val="003B1ECD"/>
    <w:rsid w:val="003C5975"/>
    <w:rsid w:val="003D723E"/>
    <w:rsid w:val="003F5B77"/>
    <w:rsid w:val="00400CEF"/>
    <w:rsid w:val="00403C87"/>
    <w:rsid w:val="004049BA"/>
    <w:rsid w:val="004167E6"/>
    <w:rsid w:val="0041688E"/>
    <w:rsid w:val="00432797"/>
    <w:rsid w:val="00444B73"/>
    <w:rsid w:val="00453DC7"/>
    <w:rsid w:val="00455EFA"/>
    <w:rsid w:val="00461685"/>
    <w:rsid w:val="00461969"/>
    <w:rsid w:val="004650C7"/>
    <w:rsid w:val="004720C2"/>
    <w:rsid w:val="00473570"/>
    <w:rsid w:val="00475A27"/>
    <w:rsid w:val="00495B60"/>
    <w:rsid w:val="00495F13"/>
    <w:rsid w:val="004A0D07"/>
    <w:rsid w:val="004B00AE"/>
    <w:rsid w:val="004B6737"/>
    <w:rsid w:val="004C5268"/>
    <w:rsid w:val="004E01AE"/>
    <w:rsid w:val="004E1869"/>
    <w:rsid w:val="004E46B0"/>
    <w:rsid w:val="004F48F0"/>
    <w:rsid w:val="004F5849"/>
    <w:rsid w:val="004F5E93"/>
    <w:rsid w:val="004F603E"/>
    <w:rsid w:val="004F7B49"/>
    <w:rsid w:val="00514426"/>
    <w:rsid w:val="005228CE"/>
    <w:rsid w:val="00526762"/>
    <w:rsid w:val="00537D99"/>
    <w:rsid w:val="00547C89"/>
    <w:rsid w:val="00565002"/>
    <w:rsid w:val="00591B5B"/>
    <w:rsid w:val="005928AA"/>
    <w:rsid w:val="005A3201"/>
    <w:rsid w:val="005A4E06"/>
    <w:rsid w:val="005A6D7E"/>
    <w:rsid w:val="005C54C9"/>
    <w:rsid w:val="005D044D"/>
    <w:rsid w:val="005D0F33"/>
    <w:rsid w:val="005E616E"/>
    <w:rsid w:val="005F27E9"/>
    <w:rsid w:val="005F2867"/>
    <w:rsid w:val="005F761F"/>
    <w:rsid w:val="006139B2"/>
    <w:rsid w:val="00623804"/>
    <w:rsid w:val="00624739"/>
    <w:rsid w:val="00625BAF"/>
    <w:rsid w:val="00636A4B"/>
    <w:rsid w:val="00636D90"/>
    <w:rsid w:val="00637932"/>
    <w:rsid w:val="006439F6"/>
    <w:rsid w:val="006577DB"/>
    <w:rsid w:val="0067041D"/>
    <w:rsid w:val="006777D5"/>
    <w:rsid w:val="00682BCD"/>
    <w:rsid w:val="00690DB4"/>
    <w:rsid w:val="006A3504"/>
    <w:rsid w:val="006B0C75"/>
    <w:rsid w:val="006B0FB6"/>
    <w:rsid w:val="006B1E6B"/>
    <w:rsid w:val="006C444C"/>
    <w:rsid w:val="006F1305"/>
    <w:rsid w:val="006F1984"/>
    <w:rsid w:val="00701561"/>
    <w:rsid w:val="0071361F"/>
    <w:rsid w:val="00716911"/>
    <w:rsid w:val="00717255"/>
    <w:rsid w:val="00723A3D"/>
    <w:rsid w:val="0072564E"/>
    <w:rsid w:val="00726FFA"/>
    <w:rsid w:val="00731DF7"/>
    <w:rsid w:val="0073537C"/>
    <w:rsid w:val="00741C5B"/>
    <w:rsid w:val="00742749"/>
    <w:rsid w:val="0074299E"/>
    <w:rsid w:val="00744B3C"/>
    <w:rsid w:val="0074689D"/>
    <w:rsid w:val="00751BDC"/>
    <w:rsid w:val="00753BB2"/>
    <w:rsid w:val="00753F18"/>
    <w:rsid w:val="00763FF3"/>
    <w:rsid w:val="007749F3"/>
    <w:rsid w:val="007752C4"/>
    <w:rsid w:val="0079397B"/>
    <w:rsid w:val="00793AF4"/>
    <w:rsid w:val="00795C6F"/>
    <w:rsid w:val="0079616C"/>
    <w:rsid w:val="00797FE8"/>
    <w:rsid w:val="007A0ECE"/>
    <w:rsid w:val="007B25FD"/>
    <w:rsid w:val="007D0BFA"/>
    <w:rsid w:val="007D3949"/>
    <w:rsid w:val="007D4432"/>
    <w:rsid w:val="007D4F1A"/>
    <w:rsid w:val="007F6346"/>
    <w:rsid w:val="008014CF"/>
    <w:rsid w:val="00801C8D"/>
    <w:rsid w:val="00803BC4"/>
    <w:rsid w:val="008128AB"/>
    <w:rsid w:val="00825FC0"/>
    <w:rsid w:val="00826CB4"/>
    <w:rsid w:val="00831FDC"/>
    <w:rsid w:val="00832A5A"/>
    <w:rsid w:val="00834455"/>
    <w:rsid w:val="008357B8"/>
    <w:rsid w:val="00852337"/>
    <w:rsid w:val="0086381F"/>
    <w:rsid w:val="0086614A"/>
    <w:rsid w:val="00867192"/>
    <w:rsid w:val="00871131"/>
    <w:rsid w:val="0087674B"/>
    <w:rsid w:val="00893327"/>
    <w:rsid w:val="00894719"/>
    <w:rsid w:val="008B0BD9"/>
    <w:rsid w:val="008C129D"/>
    <w:rsid w:val="008C5C0E"/>
    <w:rsid w:val="008C630B"/>
    <w:rsid w:val="008C7044"/>
    <w:rsid w:val="008C798D"/>
    <w:rsid w:val="008E0925"/>
    <w:rsid w:val="008E267C"/>
    <w:rsid w:val="008E2AB6"/>
    <w:rsid w:val="008F1DEA"/>
    <w:rsid w:val="008F5FAF"/>
    <w:rsid w:val="009145BE"/>
    <w:rsid w:val="009166E1"/>
    <w:rsid w:val="00920CF0"/>
    <w:rsid w:val="009344BF"/>
    <w:rsid w:val="009469D2"/>
    <w:rsid w:val="00954B9E"/>
    <w:rsid w:val="00956A8D"/>
    <w:rsid w:val="009908A0"/>
    <w:rsid w:val="00991AB1"/>
    <w:rsid w:val="009927FE"/>
    <w:rsid w:val="009946C5"/>
    <w:rsid w:val="009950AA"/>
    <w:rsid w:val="009979B5"/>
    <w:rsid w:val="009A004D"/>
    <w:rsid w:val="009A2C9B"/>
    <w:rsid w:val="009A4485"/>
    <w:rsid w:val="009B6144"/>
    <w:rsid w:val="009E5B49"/>
    <w:rsid w:val="009E79C5"/>
    <w:rsid w:val="00A13A70"/>
    <w:rsid w:val="00A16F08"/>
    <w:rsid w:val="00A21DD2"/>
    <w:rsid w:val="00A32FD5"/>
    <w:rsid w:val="00A33589"/>
    <w:rsid w:val="00A358C6"/>
    <w:rsid w:val="00A532FC"/>
    <w:rsid w:val="00A563C7"/>
    <w:rsid w:val="00A57977"/>
    <w:rsid w:val="00A654CA"/>
    <w:rsid w:val="00A66C90"/>
    <w:rsid w:val="00A80878"/>
    <w:rsid w:val="00A8170F"/>
    <w:rsid w:val="00A87822"/>
    <w:rsid w:val="00A91EB5"/>
    <w:rsid w:val="00AC7192"/>
    <w:rsid w:val="00AD177A"/>
    <w:rsid w:val="00AD3D11"/>
    <w:rsid w:val="00AD62EA"/>
    <w:rsid w:val="00AF2B53"/>
    <w:rsid w:val="00AF4E59"/>
    <w:rsid w:val="00B019AD"/>
    <w:rsid w:val="00B01F8C"/>
    <w:rsid w:val="00B21B61"/>
    <w:rsid w:val="00B22A4A"/>
    <w:rsid w:val="00B23058"/>
    <w:rsid w:val="00B24730"/>
    <w:rsid w:val="00B27160"/>
    <w:rsid w:val="00B30817"/>
    <w:rsid w:val="00B34D84"/>
    <w:rsid w:val="00B467F0"/>
    <w:rsid w:val="00B54B88"/>
    <w:rsid w:val="00B61708"/>
    <w:rsid w:val="00B62BF8"/>
    <w:rsid w:val="00B63F27"/>
    <w:rsid w:val="00B71BB8"/>
    <w:rsid w:val="00B73381"/>
    <w:rsid w:val="00B96E33"/>
    <w:rsid w:val="00BC31CD"/>
    <w:rsid w:val="00BC33B4"/>
    <w:rsid w:val="00BE36BC"/>
    <w:rsid w:val="00BF68F5"/>
    <w:rsid w:val="00C13A79"/>
    <w:rsid w:val="00C20FE5"/>
    <w:rsid w:val="00C22D6C"/>
    <w:rsid w:val="00C44514"/>
    <w:rsid w:val="00C45145"/>
    <w:rsid w:val="00C564D0"/>
    <w:rsid w:val="00C5792C"/>
    <w:rsid w:val="00C60E38"/>
    <w:rsid w:val="00C623F1"/>
    <w:rsid w:val="00C73DFC"/>
    <w:rsid w:val="00CA38CF"/>
    <w:rsid w:val="00CE0A47"/>
    <w:rsid w:val="00CE6BD1"/>
    <w:rsid w:val="00CF0F2B"/>
    <w:rsid w:val="00CF3792"/>
    <w:rsid w:val="00D05D96"/>
    <w:rsid w:val="00D16B3A"/>
    <w:rsid w:val="00D209A2"/>
    <w:rsid w:val="00D22C75"/>
    <w:rsid w:val="00D30698"/>
    <w:rsid w:val="00D407BA"/>
    <w:rsid w:val="00D47122"/>
    <w:rsid w:val="00D577B0"/>
    <w:rsid w:val="00D607DF"/>
    <w:rsid w:val="00D64809"/>
    <w:rsid w:val="00D814D8"/>
    <w:rsid w:val="00D83022"/>
    <w:rsid w:val="00D911F5"/>
    <w:rsid w:val="00DA1127"/>
    <w:rsid w:val="00DB332C"/>
    <w:rsid w:val="00DC6716"/>
    <w:rsid w:val="00DD2CE8"/>
    <w:rsid w:val="00DE024B"/>
    <w:rsid w:val="00DE0985"/>
    <w:rsid w:val="00DE5455"/>
    <w:rsid w:val="00DF012B"/>
    <w:rsid w:val="00DF109B"/>
    <w:rsid w:val="00E07386"/>
    <w:rsid w:val="00E11D2C"/>
    <w:rsid w:val="00E14A1A"/>
    <w:rsid w:val="00E17F1A"/>
    <w:rsid w:val="00E45C46"/>
    <w:rsid w:val="00E473CE"/>
    <w:rsid w:val="00E645B4"/>
    <w:rsid w:val="00EB24FD"/>
    <w:rsid w:val="00EC5E44"/>
    <w:rsid w:val="00ED63B0"/>
    <w:rsid w:val="00ED6BF2"/>
    <w:rsid w:val="00EE4334"/>
    <w:rsid w:val="00EF273F"/>
    <w:rsid w:val="00EF6644"/>
    <w:rsid w:val="00F12ADA"/>
    <w:rsid w:val="00F15118"/>
    <w:rsid w:val="00F205F5"/>
    <w:rsid w:val="00F27D21"/>
    <w:rsid w:val="00F30825"/>
    <w:rsid w:val="00F32966"/>
    <w:rsid w:val="00F333E0"/>
    <w:rsid w:val="00F377AC"/>
    <w:rsid w:val="00F4122E"/>
    <w:rsid w:val="00F4470B"/>
    <w:rsid w:val="00F45FFF"/>
    <w:rsid w:val="00F62566"/>
    <w:rsid w:val="00F830DA"/>
    <w:rsid w:val="00F83892"/>
    <w:rsid w:val="00F8473D"/>
    <w:rsid w:val="00F86513"/>
    <w:rsid w:val="00F87345"/>
    <w:rsid w:val="00F8789D"/>
    <w:rsid w:val="00F93AEE"/>
    <w:rsid w:val="00F94AC9"/>
    <w:rsid w:val="00FC019B"/>
    <w:rsid w:val="00FD353E"/>
    <w:rsid w:val="00FD79A1"/>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0A520F"/>
    <w:pPr>
      <w:keepNext/>
      <w:keepLines/>
      <w:overflowPunct w:val="0"/>
      <w:autoSpaceDE w:val="0"/>
      <w:autoSpaceDN w:val="0"/>
      <w:adjustRightInd w:val="0"/>
      <w:spacing w:before="480"/>
      <w:ind w:left="794" w:hanging="794"/>
      <w:textAlignment w:val="baseline"/>
      <w:outlineLvl w:val="0"/>
    </w:pPr>
    <w:rPr>
      <w:b/>
      <w:sz w:val="26"/>
      <w:szCs w:val="20"/>
      <w:lang w:val="ru-RU"/>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51BDC"/>
    <w:pPr>
      <w:ind w:left="284" w:hanging="284"/>
    </w:pPr>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qFormat/>
    <w:rsid w:val="008357B8"/>
    <w:rPr>
      <w:b/>
      <w:bCs/>
    </w:rPr>
  </w:style>
  <w:style w:type="paragraph" w:customStyle="1" w:styleId="CharCharCharCharCharChar">
    <w:name w:val="Char Char Char Char Char Char"/>
    <w:basedOn w:val="Normal"/>
    <w:rsid w:val="00AD177A"/>
    <w:pPr>
      <w:widowControl w:val="0"/>
      <w:tabs>
        <w:tab w:val="clear" w:pos="794"/>
        <w:tab w:val="clear" w:pos="1191"/>
        <w:tab w:val="clear" w:pos="1588"/>
        <w:tab w:val="clear" w:pos="1985"/>
      </w:tabs>
      <w:spacing w:before="0"/>
      <w:jc w:val="both"/>
    </w:pPr>
    <w:rPr>
      <w:rFonts w:ascii="Tahoma" w:eastAsia="SimSun" w:hAnsi="Tahoma" w:cs="Tahoma"/>
      <w:kern w:val="2"/>
      <w:lang w:eastAsia="zh-CN"/>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numbering" w:customStyle="1" w:styleId="NoList1">
    <w:name w:val="No List1"/>
    <w:next w:val="NoList"/>
    <w:uiPriority w:val="99"/>
    <w:semiHidden/>
    <w:unhideWhenUsed/>
    <w:rsid w:val="00F45FFF"/>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semiHidden/>
    <w:rsid w:val="00F45FFF"/>
    <w:rPr>
      <w:vertAlign w:val="superscript"/>
    </w:rPr>
  </w:style>
  <w:style w:type="paragraph" w:customStyle="1" w:styleId="enumlev2">
    <w:name w:val="enumlev2"/>
    <w:basedOn w:val="enumlev1"/>
    <w:uiPriority w:val="99"/>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uiPriority w:val="99"/>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F45FFF"/>
    <w:pPr>
      <w:keepNext/>
      <w:spacing w:before="80" w:after="80"/>
      <w:jc w:val="center"/>
    </w:pPr>
    <w:rPr>
      <w:b/>
    </w:rPr>
  </w:style>
  <w:style w:type="paragraph" w:customStyle="1" w:styleId="Tablelegend">
    <w:name w:val="Table_legend"/>
    <w:basedOn w:val="Tabletext0"/>
    <w:rsid w:val="00F45FFF"/>
    <w:pPr>
      <w:tabs>
        <w:tab w:val="clear" w:pos="284"/>
      </w:tabs>
      <w:spacing w:before="120"/>
    </w:p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semiHidden/>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45FFF"/>
    <w:rPr>
      <w:rFonts w:asciiTheme="minorHAnsi" w:hAnsiTheme="minorHAnsi"/>
      <w:sz w:val="24"/>
      <w:szCs w:val="24"/>
      <w:lang w:eastAsia="en-US"/>
    </w:rPr>
  </w:style>
  <w:style w:type="paragraph" w:styleId="BodyText3">
    <w:name w:val="Body Text 3"/>
    <w:basedOn w:val="Normal"/>
    <w:link w:val="BodyText3Char"/>
    <w:rsid w:val="00F45FFF"/>
    <w:pPr>
      <w:spacing w:before="1701"/>
      <w:ind w:right="91"/>
    </w:pPr>
    <w:rPr>
      <w:sz w:val="24"/>
      <w:szCs w:val="20"/>
      <w:lang w:val="en-GB"/>
    </w:rPr>
  </w:style>
  <w:style w:type="character" w:customStyle="1" w:styleId="BodyText3Char">
    <w:name w:val="Body Text 3 Char"/>
    <w:basedOn w:val="DefaultParagraphFont"/>
    <w:link w:val="BodyText3"/>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
    <w:name w:val="Annex_#"/>
    <w:basedOn w:val="Normal"/>
    <w:next w:val="AnnexRef0"/>
    <w:rsid w:val="00F45FFF"/>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F45FFF"/>
    <w:rPr>
      <w:b/>
      <w:bCs/>
      <w:szCs w:val="20"/>
    </w:rPr>
  </w:style>
  <w:style w:type="character" w:customStyle="1" w:styleId="CommentSubjectChar">
    <w:name w:val="Comment Subject Char"/>
    <w:basedOn w:val="CommentTextChar"/>
    <w:link w:val="CommentSubject"/>
    <w:rsid w:val="00F45FFF"/>
    <w:rPr>
      <w:rFonts w:ascii="Calibri" w:hAnsi="Calibri" w:cs="Calibri"/>
      <w:b/>
      <w:bCs/>
      <w:szCs w:val="22"/>
      <w:lang w:eastAsia="en-US"/>
    </w:rPr>
  </w:style>
  <w:style w:type="paragraph" w:styleId="Revision">
    <w:name w:val="Revision"/>
    <w:hidden/>
    <w:uiPriority w:val="71"/>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table" w:styleId="TableGrid">
    <w:name w:val="Table Grid"/>
    <w:basedOn w:val="TableNormal"/>
    <w:uiPriority w:val="39"/>
    <w:rsid w:val="009A004D"/>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572348370">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3671784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stana.com/br/hotel/pestana-rio" TargetMode="External"/><Relationship Id="rId18" Type="http://schemas.openxmlformats.org/officeDocument/2006/relationships/hyperlink" Target="http://www.portalconsular.itamaraty.gov.br/visto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oliday-weather.com/rio_de_janeiro/averages/november/" TargetMode="External"/><Relationship Id="rId7" Type="http://schemas.openxmlformats.org/officeDocument/2006/relationships/endnotes" Target="endnotes.xml"/><Relationship Id="rId12" Type="http://schemas.openxmlformats.org/officeDocument/2006/relationships/hyperlink" Target="https://www.pestana.com/br/hotel/pestana-rio" TargetMode="External"/><Relationship Id="rId17" Type="http://schemas.openxmlformats.org/officeDocument/2006/relationships/hyperlink" Target="https://www.pestana.com/br/hotel/pestana-rio/maplocation?ctxurl=https%3a%2f%2fwww.pestana.com%2fbr%2fhotel%2fpestana-ri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ldentulipriocopacabana.com/pt-br" TargetMode="External"/><Relationship Id="rId20" Type="http://schemas.openxmlformats.org/officeDocument/2006/relationships/hyperlink" Target="mailto:ain@anatel.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indsorhoteis.com/hotel/windsor-palace/" TargetMode="External"/><Relationship Id="rId23" Type="http://schemas.openxmlformats.org/officeDocument/2006/relationships/hyperlink" Target="http://itu.int/en/ITU-T/info/Pages/resources.aspx" TargetMode="External"/><Relationship Id="rId28" Type="http://schemas.openxmlformats.org/officeDocument/2006/relationships/theme" Target="theme/theme1.xml"/><Relationship Id="rId10" Type="http://schemas.openxmlformats.org/officeDocument/2006/relationships/hyperlink" Target="http://itu.int/reg/tmisc/3001018" TargetMode="External"/><Relationship Id="rId19" Type="http://schemas.openxmlformats.org/officeDocument/2006/relationships/hyperlink" Target="http://www.portalconsular.itamaraty.gov.br/representacoes-do-brasil-no-mundo"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www.othon.com.br/hotel-copacabana/rio-othon-palace/" TargetMode="External"/><Relationship Id="rId22" Type="http://schemas.openxmlformats.org/officeDocument/2006/relationships/hyperlink" Target="https://www.power-plugs-sockets.com/br/brazi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56B5-A181-4F4B-9862-737C0376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41</TotalTime>
  <Pages>6</Pages>
  <Words>1604</Words>
  <Characters>11398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12977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Osvath, Alexandra</cp:lastModifiedBy>
  <cp:revision>8</cp:revision>
  <cp:lastPrinted>2017-10-18T10:07:00Z</cp:lastPrinted>
  <dcterms:created xsi:type="dcterms:W3CDTF">2017-10-09T12:01:00Z</dcterms:created>
  <dcterms:modified xsi:type="dcterms:W3CDTF">2017-10-18T10:07:00Z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