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3A064251" w14:textId="77777777">
        <w:trPr>
          <w:trHeight w:val="1282"/>
        </w:trPr>
        <w:tc>
          <w:tcPr>
            <w:tcW w:w="1276" w:type="dxa"/>
            <w:gridSpan w:val="2"/>
            <w:shd w:val="clear" w:color="auto" w:fill="auto"/>
            <w:tcMar>
              <w:left w:w="0" w:type="dxa"/>
              <w:right w:w="0" w:type="dxa"/>
            </w:tcMar>
            <w:vAlign w:val="center"/>
          </w:tcPr>
          <w:p w14:paraId="5169DB3D" w14:textId="77777777" w:rsidR="00FA46A0" w:rsidRDefault="00FC1C19">
            <w:pPr>
              <w:pStyle w:val="Tabletext"/>
              <w:jc w:val="center"/>
            </w:pPr>
            <w:r w:rsidRPr="00FA46A0">
              <w:rPr>
                <w:noProof/>
                <w:lang w:val="en-US" w:eastAsia="zh-CN"/>
              </w:rPr>
              <w:drawing>
                <wp:inline distT="0" distB="0" distL="0" distR="0" wp14:anchorId="0AED0290" wp14:editId="41880E27">
                  <wp:extent cx="715645" cy="825500"/>
                  <wp:effectExtent l="0" t="0" r="8255" b="0"/>
                  <wp:docPr id="7" name="Picture 7" descr="itu-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650C9AEF"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2FA0B29E"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42F1318A" w14:textId="77777777" w:rsidR="00FA46A0" w:rsidRDefault="00FA46A0">
            <w:pPr>
              <w:spacing w:before="0"/>
              <w:jc w:val="right"/>
              <w:rPr>
                <w:rFonts w:ascii="Verdana" w:hAnsi="Verdana"/>
                <w:color w:val="FFFFFF"/>
                <w:sz w:val="26"/>
                <w:szCs w:val="26"/>
              </w:rPr>
            </w:pPr>
          </w:p>
        </w:tc>
      </w:tr>
      <w:tr w:rsidR="00FA46A0" w14:paraId="6AB069F9" w14:textId="77777777">
        <w:trPr>
          <w:cantSplit/>
          <w:trHeight w:val="80"/>
        </w:trPr>
        <w:tc>
          <w:tcPr>
            <w:tcW w:w="4678" w:type="dxa"/>
            <w:gridSpan w:val="3"/>
            <w:vAlign w:val="center"/>
          </w:tcPr>
          <w:p w14:paraId="1D2AE655" w14:textId="77777777" w:rsidR="00FA46A0" w:rsidRDefault="00FA46A0">
            <w:pPr>
              <w:pStyle w:val="Tabletext"/>
              <w:jc w:val="right"/>
            </w:pPr>
          </w:p>
        </w:tc>
        <w:tc>
          <w:tcPr>
            <w:tcW w:w="5103" w:type="dxa"/>
            <w:gridSpan w:val="2"/>
            <w:vAlign w:val="center"/>
          </w:tcPr>
          <w:p w14:paraId="11D31A9B" w14:textId="3AFBA331" w:rsidR="00FA46A0" w:rsidRDefault="00B34F8D" w:rsidP="00B34F8D">
            <w:pPr>
              <w:pStyle w:val="Tabletext"/>
              <w:spacing w:before="480" w:after="120"/>
              <w:ind w:left="-108"/>
            </w:pPr>
            <w:r>
              <w:t>Geneva, 18 December 2017</w:t>
            </w:r>
          </w:p>
        </w:tc>
      </w:tr>
      <w:tr w:rsidR="00FA46A0" w14:paraId="4990821F" w14:textId="77777777">
        <w:trPr>
          <w:cantSplit/>
          <w:trHeight w:val="746"/>
        </w:trPr>
        <w:tc>
          <w:tcPr>
            <w:tcW w:w="1134" w:type="dxa"/>
          </w:tcPr>
          <w:p w14:paraId="0CDE621B" w14:textId="77777777" w:rsidR="00FA46A0" w:rsidRDefault="00B61012">
            <w:pPr>
              <w:pStyle w:val="Tabletext"/>
            </w:pPr>
            <w:r>
              <w:rPr>
                <w:b/>
              </w:rPr>
              <w:t>Ref:</w:t>
            </w:r>
          </w:p>
        </w:tc>
        <w:tc>
          <w:tcPr>
            <w:tcW w:w="3544" w:type="dxa"/>
            <w:gridSpan w:val="2"/>
          </w:tcPr>
          <w:p w14:paraId="4A6667D2" w14:textId="77777777" w:rsidR="00FA46A0" w:rsidRPr="006A21B1" w:rsidRDefault="00B61012" w:rsidP="006A21B1">
            <w:pPr>
              <w:pStyle w:val="Tabletext"/>
            </w:pPr>
            <w:r>
              <w:rPr>
                <w:b/>
                <w:bCs/>
              </w:rPr>
              <w:t xml:space="preserve">TSB Circular </w:t>
            </w:r>
            <w:r w:rsidR="006A21B1">
              <w:rPr>
                <w:b/>
                <w:bCs/>
              </w:rPr>
              <w:t>65</w:t>
            </w:r>
            <w:r w:rsidR="006A21B1">
              <w:rPr>
                <w:b/>
                <w:bCs/>
              </w:rPr>
              <w:br/>
            </w:r>
            <w:r w:rsidR="006A21B1">
              <w:t>SG2/JZ</w:t>
            </w:r>
          </w:p>
        </w:tc>
        <w:tc>
          <w:tcPr>
            <w:tcW w:w="5103" w:type="dxa"/>
            <w:gridSpan w:val="2"/>
            <w:vMerge w:val="restart"/>
          </w:tcPr>
          <w:p w14:paraId="55A9BE1A" w14:textId="77777777"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14:paraId="6BEECAFA" w14:textId="77777777" w:rsidR="00FF5729" w:rsidRPr="00FF5729" w:rsidRDefault="00FF5729" w:rsidP="00FF5729">
            <w:pPr>
              <w:tabs>
                <w:tab w:val="clear" w:pos="794"/>
                <w:tab w:val="clear" w:pos="1191"/>
                <w:tab w:val="clear" w:pos="1588"/>
                <w:tab w:val="clear" w:pos="1985"/>
              </w:tabs>
              <w:spacing w:before="0"/>
              <w:ind w:left="283" w:hanging="391"/>
              <w:rPr>
                <w:szCs w:val="24"/>
              </w:rPr>
            </w:pPr>
            <w:r w:rsidRPr="00FF5729">
              <w:rPr>
                <w:szCs w:val="24"/>
              </w:rPr>
              <w:t>-</w:t>
            </w:r>
            <w:r w:rsidRPr="00FF5729">
              <w:rPr>
                <w:szCs w:val="24"/>
              </w:rPr>
              <w:tab/>
              <w:t>Administrations of Member States of the Union</w:t>
            </w:r>
            <w:r w:rsidR="00A72C30">
              <w:rPr>
                <w:szCs w:val="24"/>
              </w:rPr>
              <w:t>;</w:t>
            </w:r>
          </w:p>
          <w:p w14:paraId="42EDC95D" w14:textId="77777777" w:rsidR="00FF5729" w:rsidRPr="00F873C6" w:rsidRDefault="00FF5729" w:rsidP="00FF5729">
            <w:pPr>
              <w:tabs>
                <w:tab w:val="clear" w:pos="794"/>
                <w:tab w:val="clear" w:pos="1191"/>
                <w:tab w:val="clear" w:pos="1588"/>
                <w:tab w:val="clear" w:pos="1985"/>
              </w:tabs>
              <w:spacing w:before="0"/>
              <w:ind w:left="283" w:hanging="391"/>
              <w:rPr>
                <w:szCs w:val="24"/>
                <w:lang w:val="fr-CH"/>
              </w:rPr>
            </w:pPr>
            <w:r w:rsidRPr="00F873C6">
              <w:rPr>
                <w:szCs w:val="24"/>
                <w:lang w:val="fr-CH"/>
              </w:rPr>
              <w:t>-</w:t>
            </w:r>
            <w:r w:rsidRPr="00F873C6">
              <w:rPr>
                <w:szCs w:val="24"/>
                <w:lang w:val="fr-CH"/>
              </w:rPr>
              <w:tab/>
              <w:t xml:space="preserve">ITU-T </w:t>
            </w:r>
            <w:proofErr w:type="spellStart"/>
            <w:r w:rsidRPr="00F873C6">
              <w:rPr>
                <w:szCs w:val="24"/>
                <w:lang w:val="fr-CH"/>
              </w:rPr>
              <w:t>Sector</w:t>
            </w:r>
            <w:proofErr w:type="spellEnd"/>
            <w:r w:rsidRPr="00F873C6">
              <w:rPr>
                <w:szCs w:val="24"/>
                <w:lang w:val="fr-CH"/>
              </w:rPr>
              <w:t xml:space="preserve"> </w:t>
            </w:r>
            <w:proofErr w:type="spellStart"/>
            <w:r w:rsidRPr="00F873C6">
              <w:rPr>
                <w:szCs w:val="24"/>
                <w:lang w:val="fr-CH"/>
              </w:rPr>
              <w:t>Members</w:t>
            </w:r>
            <w:proofErr w:type="spellEnd"/>
            <w:r w:rsidR="00A72C30" w:rsidRPr="00F873C6">
              <w:rPr>
                <w:szCs w:val="24"/>
                <w:lang w:val="fr-CH"/>
              </w:rPr>
              <w:t>;</w:t>
            </w:r>
          </w:p>
          <w:p w14:paraId="3752C808" w14:textId="77777777" w:rsidR="00FF5729" w:rsidRPr="00F873C6" w:rsidRDefault="00FF5729" w:rsidP="00FF5729">
            <w:pPr>
              <w:tabs>
                <w:tab w:val="clear" w:pos="794"/>
                <w:tab w:val="clear" w:pos="1191"/>
                <w:tab w:val="clear" w:pos="1588"/>
                <w:tab w:val="clear" w:pos="1985"/>
              </w:tabs>
              <w:spacing w:before="0"/>
              <w:ind w:left="283" w:hanging="391"/>
              <w:rPr>
                <w:szCs w:val="24"/>
                <w:lang w:val="fr-CH"/>
              </w:rPr>
            </w:pPr>
            <w:r w:rsidRPr="00F873C6">
              <w:rPr>
                <w:szCs w:val="24"/>
                <w:lang w:val="fr-CH"/>
              </w:rPr>
              <w:t>-</w:t>
            </w:r>
            <w:r w:rsidRPr="00F873C6">
              <w:rPr>
                <w:szCs w:val="24"/>
                <w:lang w:val="fr-CH"/>
              </w:rPr>
              <w:tab/>
              <w:t>ITU-T Associates</w:t>
            </w:r>
            <w:r w:rsidR="00A72C30" w:rsidRPr="00F873C6">
              <w:rPr>
                <w:szCs w:val="24"/>
                <w:lang w:val="fr-CH"/>
              </w:rPr>
              <w:t>;</w:t>
            </w:r>
          </w:p>
          <w:p w14:paraId="7DD0AD2D" w14:textId="77777777" w:rsidR="00FA46A0" w:rsidRPr="00FF5729" w:rsidRDefault="00FF5729" w:rsidP="00FF572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r w:rsidR="00D0365D">
              <w:rPr>
                <w:szCs w:val="24"/>
              </w:rPr>
              <w:t xml:space="preserve"> from the Africa Region</w:t>
            </w:r>
          </w:p>
        </w:tc>
      </w:tr>
      <w:tr w:rsidR="00FA46A0" w14:paraId="6815788E" w14:textId="77777777">
        <w:trPr>
          <w:cantSplit/>
          <w:trHeight w:val="221"/>
        </w:trPr>
        <w:tc>
          <w:tcPr>
            <w:tcW w:w="1134" w:type="dxa"/>
          </w:tcPr>
          <w:p w14:paraId="47DCB2F5" w14:textId="77777777" w:rsidR="00FA46A0" w:rsidRDefault="00B61012">
            <w:pPr>
              <w:pStyle w:val="Tabletext"/>
            </w:pPr>
            <w:r>
              <w:rPr>
                <w:b/>
              </w:rPr>
              <w:t>Tel:</w:t>
            </w:r>
          </w:p>
        </w:tc>
        <w:tc>
          <w:tcPr>
            <w:tcW w:w="3544" w:type="dxa"/>
            <w:gridSpan w:val="2"/>
          </w:tcPr>
          <w:p w14:paraId="78CA36B8" w14:textId="77777777" w:rsidR="00FA46A0" w:rsidRDefault="00C95BF6" w:rsidP="00C95BF6">
            <w:pPr>
              <w:pStyle w:val="Tabletext"/>
              <w:rPr>
                <w:b/>
              </w:rPr>
            </w:pPr>
            <w:r>
              <w:t xml:space="preserve">+41 22 730 </w:t>
            </w:r>
            <w:r w:rsidR="006A21B1">
              <w:t>5855</w:t>
            </w:r>
          </w:p>
        </w:tc>
        <w:tc>
          <w:tcPr>
            <w:tcW w:w="5103" w:type="dxa"/>
            <w:gridSpan w:val="2"/>
            <w:vMerge/>
          </w:tcPr>
          <w:p w14:paraId="00A22942" w14:textId="77777777" w:rsidR="00FA46A0" w:rsidRDefault="00FA46A0" w:rsidP="00FF5729">
            <w:pPr>
              <w:pStyle w:val="Tabletext"/>
              <w:ind w:left="142" w:hanging="391"/>
            </w:pPr>
          </w:p>
        </w:tc>
      </w:tr>
      <w:tr w:rsidR="00FA46A0" w14:paraId="76DB1F7B" w14:textId="77777777">
        <w:trPr>
          <w:cantSplit/>
          <w:trHeight w:val="282"/>
        </w:trPr>
        <w:tc>
          <w:tcPr>
            <w:tcW w:w="1134" w:type="dxa"/>
          </w:tcPr>
          <w:p w14:paraId="1ABEC68B" w14:textId="77777777" w:rsidR="00FA46A0" w:rsidRDefault="00B61012">
            <w:pPr>
              <w:pStyle w:val="Tabletext"/>
            </w:pPr>
            <w:r>
              <w:rPr>
                <w:b/>
              </w:rPr>
              <w:t>Fax:</w:t>
            </w:r>
          </w:p>
        </w:tc>
        <w:tc>
          <w:tcPr>
            <w:tcW w:w="3544" w:type="dxa"/>
            <w:gridSpan w:val="2"/>
          </w:tcPr>
          <w:p w14:paraId="23D3711B" w14:textId="77777777" w:rsidR="00FA46A0" w:rsidRDefault="00B61012">
            <w:pPr>
              <w:pStyle w:val="Tabletext"/>
              <w:rPr>
                <w:b/>
              </w:rPr>
            </w:pPr>
            <w:r>
              <w:t>+41 22 730 5853</w:t>
            </w:r>
          </w:p>
        </w:tc>
        <w:tc>
          <w:tcPr>
            <w:tcW w:w="5103" w:type="dxa"/>
            <w:gridSpan w:val="2"/>
            <w:vMerge/>
          </w:tcPr>
          <w:p w14:paraId="01A6CB8A" w14:textId="77777777" w:rsidR="00FA46A0" w:rsidRDefault="00FA46A0" w:rsidP="00FF5729">
            <w:pPr>
              <w:pStyle w:val="Tabletext"/>
              <w:ind w:left="142" w:hanging="391"/>
            </w:pPr>
          </w:p>
        </w:tc>
      </w:tr>
      <w:tr w:rsidR="00FA46A0" w14:paraId="6403BB47" w14:textId="77777777" w:rsidTr="00037B23">
        <w:trPr>
          <w:cantSplit/>
          <w:trHeight w:val="6098"/>
        </w:trPr>
        <w:tc>
          <w:tcPr>
            <w:tcW w:w="1134" w:type="dxa"/>
          </w:tcPr>
          <w:p w14:paraId="4F53B449" w14:textId="77777777" w:rsidR="00FA46A0" w:rsidRDefault="00B61012">
            <w:pPr>
              <w:pStyle w:val="Tabletext"/>
            </w:pPr>
            <w:r>
              <w:rPr>
                <w:b/>
              </w:rPr>
              <w:t>E-mail:</w:t>
            </w:r>
          </w:p>
        </w:tc>
        <w:tc>
          <w:tcPr>
            <w:tcW w:w="3544" w:type="dxa"/>
            <w:gridSpan w:val="2"/>
          </w:tcPr>
          <w:p w14:paraId="59382A9C" w14:textId="77777777" w:rsidR="00FA46A0" w:rsidRPr="006A21B1" w:rsidRDefault="00BC2465" w:rsidP="006A21B1">
            <w:pPr>
              <w:pStyle w:val="Tabletext"/>
              <w:rPr>
                <w:lang w:val="en-US"/>
              </w:rPr>
            </w:pPr>
            <w:hyperlink r:id="rId9" w:history="1">
              <w:r w:rsidR="006A21B1" w:rsidRPr="006A21B1">
                <w:rPr>
                  <w:rStyle w:val="Hyperlink"/>
                </w:rPr>
                <w:t>tsbsg2@itu.int</w:t>
              </w:r>
            </w:hyperlink>
          </w:p>
        </w:tc>
        <w:tc>
          <w:tcPr>
            <w:tcW w:w="5103" w:type="dxa"/>
            <w:gridSpan w:val="2"/>
          </w:tcPr>
          <w:p w14:paraId="5AC7978F" w14:textId="77777777" w:rsidR="00FC1C19" w:rsidRPr="00960EB2" w:rsidRDefault="00B61012" w:rsidP="00FF5729">
            <w:pPr>
              <w:pStyle w:val="Tabletext"/>
              <w:ind w:left="283" w:hanging="391"/>
            </w:pPr>
            <w:r w:rsidRPr="00960EB2">
              <w:rPr>
                <w:b/>
              </w:rPr>
              <w:t>Copy to:</w:t>
            </w:r>
          </w:p>
          <w:p w14:paraId="1F753289" w14:textId="77777777" w:rsidR="00F924E6" w:rsidRDefault="00F924E6" w:rsidP="00F924E6">
            <w:pPr>
              <w:pStyle w:val="Tabletext"/>
              <w:ind w:left="283" w:hanging="283"/>
            </w:pPr>
            <w:r>
              <w:t>-</w:t>
            </w:r>
            <w:r>
              <w:tab/>
              <w:t>African Telecommunication Union (ATU);</w:t>
            </w:r>
          </w:p>
          <w:p w14:paraId="6E2077AD" w14:textId="77777777" w:rsidR="00F924E6" w:rsidRDefault="00F924E6" w:rsidP="00F924E6">
            <w:pPr>
              <w:pStyle w:val="Tabletext"/>
              <w:ind w:left="283" w:hanging="283"/>
            </w:pPr>
            <w:r>
              <w:t>-</w:t>
            </w:r>
            <w:r>
              <w:tab/>
              <w:t xml:space="preserve">African ICT Consumers Network (AICN); </w:t>
            </w:r>
          </w:p>
          <w:p w14:paraId="6E9C13BE" w14:textId="77777777" w:rsidR="00F924E6" w:rsidRDefault="00F924E6" w:rsidP="00F924E6">
            <w:pPr>
              <w:pStyle w:val="Tabletext"/>
              <w:ind w:left="283" w:hanging="283"/>
            </w:pPr>
            <w:r>
              <w:t>-</w:t>
            </w:r>
            <w:r>
              <w:tab/>
              <w:t>Economic Community of West African States (ECOWAS);</w:t>
            </w:r>
          </w:p>
          <w:p w14:paraId="74AE4F70" w14:textId="77777777" w:rsidR="00F924E6" w:rsidRDefault="00F924E6" w:rsidP="00F924E6">
            <w:pPr>
              <w:pStyle w:val="Tabletext"/>
              <w:ind w:left="283" w:hanging="283"/>
            </w:pPr>
            <w:r>
              <w:t>-</w:t>
            </w:r>
            <w:r>
              <w:tab/>
              <w:t>East African Communication Organisation (EACO);</w:t>
            </w:r>
          </w:p>
          <w:p w14:paraId="5E2A7FC9" w14:textId="77777777" w:rsidR="00F924E6" w:rsidRDefault="00F924E6" w:rsidP="00F924E6">
            <w:pPr>
              <w:pStyle w:val="Tabletext"/>
              <w:ind w:left="283" w:hanging="283"/>
            </w:pPr>
            <w:r>
              <w:t>-</w:t>
            </w:r>
            <w:r>
              <w:tab/>
              <w:t>The League of Arab States;</w:t>
            </w:r>
          </w:p>
          <w:p w14:paraId="1F7524DA" w14:textId="77777777" w:rsidR="00F924E6" w:rsidRDefault="00F924E6" w:rsidP="00F924E6">
            <w:pPr>
              <w:pStyle w:val="Tabletext"/>
              <w:ind w:left="283" w:hanging="283"/>
            </w:pPr>
            <w:r>
              <w:t>-</w:t>
            </w:r>
            <w:r>
              <w:tab/>
              <w:t>The ITU Regional Office for Africa Region;</w:t>
            </w:r>
          </w:p>
          <w:p w14:paraId="6C138912" w14:textId="77777777" w:rsidR="00F924E6" w:rsidRDefault="00F924E6" w:rsidP="00F924E6">
            <w:pPr>
              <w:pStyle w:val="Tabletext"/>
              <w:ind w:left="283" w:hanging="283"/>
            </w:pPr>
            <w:r>
              <w:t>-</w:t>
            </w:r>
            <w:r>
              <w:tab/>
              <w:t>The ITU Area offices for Africa;</w:t>
            </w:r>
          </w:p>
          <w:p w14:paraId="447E7B7D" w14:textId="77777777" w:rsidR="00F924E6" w:rsidRDefault="00F924E6" w:rsidP="00F924E6">
            <w:pPr>
              <w:pStyle w:val="Tabletext"/>
              <w:ind w:left="283" w:hanging="283"/>
            </w:pPr>
            <w:r>
              <w:t>-</w:t>
            </w:r>
            <w:r>
              <w:tab/>
              <w:t>The Chairmen and Vice-Chairmen of Study Group 2;</w:t>
            </w:r>
          </w:p>
          <w:p w14:paraId="43543F4E" w14:textId="77777777" w:rsidR="00F924E6" w:rsidRDefault="00F924E6" w:rsidP="00F924E6">
            <w:pPr>
              <w:pStyle w:val="Tabletext"/>
              <w:ind w:left="283" w:hanging="283"/>
            </w:pPr>
            <w:r>
              <w:t>-</w:t>
            </w:r>
            <w:r>
              <w:tab/>
              <w:t>The Chairmen and Vice-Chairmen of Study Group 2 Regional Group for East Africa;</w:t>
            </w:r>
          </w:p>
          <w:p w14:paraId="120D6576" w14:textId="77777777" w:rsidR="00F924E6" w:rsidRDefault="00F924E6" w:rsidP="00F924E6">
            <w:pPr>
              <w:pStyle w:val="Tabletext"/>
              <w:ind w:left="283" w:hanging="283"/>
            </w:pPr>
            <w:r>
              <w:t>-</w:t>
            </w:r>
            <w:r>
              <w:tab/>
              <w:t>The Director of the Telecommunication Development Bureau;</w:t>
            </w:r>
          </w:p>
          <w:p w14:paraId="64F9F39D" w14:textId="26FA1658" w:rsidR="00FA46A0" w:rsidRPr="00F873C6" w:rsidRDefault="00F924E6" w:rsidP="00F924E6">
            <w:pPr>
              <w:pStyle w:val="Tabletext"/>
              <w:tabs>
                <w:tab w:val="clear" w:pos="284"/>
              </w:tabs>
              <w:ind w:left="283" w:hanging="391"/>
              <w:rPr>
                <w:highlight w:val="yellow"/>
              </w:rPr>
            </w:pPr>
            <w:r>
              <w:t>-</w:t>
            </w:r>
            <w:r>
              <w:tab/>
              <w:t xml:space="preserve">The Director of the </w:t>
            </w:r>
            <w:proofErr w:type="spellStart"/>
            <w:r>
              <w:t>Radiocommunication</w:t>
            </w:r>
            <w:proofErr w:type="spellEnd"/>
            <w:r>
              <w:t xml:space="preserve"> Bureau</w:t>
            </w:r>
          </w:p>
        </w:tc>
      </w:tr>
      <w:tr w:rsidR="00FA46A0" w14:paraId="593BA77E" w14:textId="77777777">
        <w:trPr>
          <w:cantSplit/>
          <w:trHeight w:val="618"/>
        </w:trPr>
        <w:tc>
          <w:tcPr>
            <w:tcW w:w="1134" w:type="dxa"/>
          </w:tcPr>
          <w:p w14:paraId="7E348C8C" w14:textId="77777777" w:rsidR="00FA46A0" w:rsidRDefault="00B61012">
            <w:pPr>
              <w:pStyle w:val="Tabletext"/>
            </w:pPr>
            <w:r>
              <w:rPr>
                <w:b/>
              </w:rPr>
              <w:t>Subject:</w:t>
            </w:r>
          </w:p>
        </w:tc>
        <w:tc>
          <w:tcPr>
            <w:tcW w:w="8647" w:type="dxa"/>
            <w:gridSpan w:val="4"/>
          </w:tcPr>
          <w:p w14:paraId="4100DD6E" w14:textId="77777777" w:rsidR="00FA46A0" w:rsidRDefault="00D0365D">
            <w:pPr>
              <w:pStyle w:val="Tabletext"/>
            </w:pPr>
            <w:r>
              <w:rPr>
                <w:b/>
                <w:bCs/>
              </w:rPr>
              <w:t>Creation of ITU-T Study Group 2 Regional Group for Africa (SG2RG-AFR)</w:t>
            </w:r>
          </w:p>
        </w:tc>
      </w:tr>
    </w:tbl>
    <w:p w14:paraId="5DBC9025" w14:textId="77777777" w:rsidR="0007141E" w:rsidRDefault="0007141E"/>
    <w:p w14:paraId="25F2D520" w14:textId="77777777" w:rsidR="00FA46A0" w:rsidRDefault="00B61012">
      <w:r>
        <w:t>Dear Sir/Madam,</w:t>
      </w:r>
    </w:p>
    <w:p w14:paraId="6FE705DD" w14:textId="66DEF1BB" w:rsidR="00D0365D" w:rsidRDefault="00D0365D" w:rsidP="00A07067">
      <w:r>
        <w:t xml:space="preserve">It is my pleasure to inform you that ITU-T Study Group 2, </w:t>
      </w:r>
      <w:r>
        <w:rPr>
          <w:i/>
          <w:iCs/>
        </w:rPr>
        <w:t xml:space="preserve">Operational aspects </w:t>
      </w:r>
      <w:r w:rsidRPr="00D0365D">
        <w:rPr>
          <w:i/>
          <w:iCs/>
        </w:rPr>
        <w:t>of service provision and telecommunications management</w:t>
      </w:r>
      <w:r>
        <w:t xml:space="preserve">, at its 1 December 2017 closing plenary meeting decided to create ITU-T Study Group 2 Regional Group for Africa (SG2RG-AFR) </w:t>
      </w:r>
      <w:r w:rsidR="00796792">
        <w:rPr>
          <w:rFonts w:cstheme="majorBidi"/>
          <w:szCs w:val="24"/>
        </w:rPr>
        <w:t>as defined in WTSA-16</w:t>
      </w:r>
      <w:r>
        <w:rPr>
          <w:rFonts w:cstheme="majorBidi"/>
          <w:szCs w:val="24"/>
        </w:rPr>
        <w:t xml:space="preserve"> Resolution 54</w:t>
      </w:r>
      <w:r>
        <w:t>.</w:t>
      </w:r>
    </w:p>
    <w:p w14:paraId="0CD8D5F1" w14:textId="77777777" w:rsidR="0007141E" w:rsidRDefault="0007141E" w:rsidP="0007141E">
      <w:r w:rsidRPr="00194B67">
        <w:t>Participating in SG2 meeting</w:t>
      </w:r>
      <w:r>
        <w:t>s</w:t>
      </w:r>
      <w:r w:rsidRPr="00194B67">
        <w:t>, which are mainly held in Geneva, pose constraints to some African stakeh</w:t>
      </w:r>
      <w:r>
        <w:t>olders with limited resources. The creation of a</w:t>
      </w:r>
      <w:r w:rsidRPr="00194B67">
        <w:t xml:space="preserve"> regional group of SG2 in Africa w</w:t>
      </w:r>
      <w:r>
        <w:t>ill</w:t>
      </w:r>
      <w:r w:rsidRPr="00194B67">
        <w:t xml:space="preserve"> be instrumental in discussing, tuning and fostering African contributions to SG2 to bring</w:t>
      </w:r>
      <w:r>
        <w:t xml:space="preserve"> the</w:t>
      </w:r>
      <w:r w:rsidRPr="00194B67">
        <w:t xml:space="preserve"> African point of view to the attention of SG2 membership.</w:t>
      </w:r>
      <w:r>
        <w:t xml:space="preserve"> </w:t>
      </w:r>
    </w:p>
    <w:p w14:paraId="75942C54" w14:textId="77777777" w:rsidR="00D0365D" w:rsidRDefault="00036893" w:rsidP="0007141E">
      <w:r>
        <w:t xml:space="preserve">Study Group 2, at its 1 December 2017 closing plenary meeting asked Mr </w:t>
      </w:r>
      <w:r w:rsidRPr="004265B8">
        <w:t>Anthony</w:t>
      </w:r>
      <w:r>
        <w:t xml:space="preserve"> </w:t>
      </w:r>
      <w:proofErr w:type="spellStart"/>
      <w:r>
        <w:t>Ikemefuna</w:t>
      </w:r>
      <w:proofErr w:type="spellEnd"/>
      <w:r w:rsidRPr="004265B8">
        <w:t xml:space="preserve"> </w:t>
      </w:r>
      <w:r>
        <w:t xml:space="preserve">from Nigeria and Ms Susan </w:t>
      </w:r>
      <w:proofErr w:type="spellStart"/>
      <w:r>
        <w:t>Nakanwagi</w:t>
      </w:r>
      <w:proofErr w:type="spellEnd"/>
      <w:r>
        <w:t xml:space="preserve"> from Uganda to convene the first meeting for the SG2 Regional </w:t>
      </w:r>
      <w:r>
        <w:lastRenderedPageBreak/>
        <w:t xml:space="preserve">Group for Africa. The meeting further noted that SG2RG-EA </w:t>
      </w:r>
      <w:r w:rsidR="00F873C6">
        <w:t xml:space="preserve">(SG2 Regional Group for East Africa) </w:t>
      </w:r>
      <w:r>
        <w:t>will be ceased after the establishment of the leadership and management team for the new SG2 Regional Group for Africa</w:t>
      </w:r>
      <w:r w:rsidR="00D0365D">
        <w:t>.</w:t>
      </w:r>
    </w:p>
    <w:p w14:paraId="5075920B" w14:textId="77777777" w:rsidR="0007141E" w:rsidRPr="00BA7B17" w:rsidRDefault="0007141E" w:rsidP="0007141E">
      <w:r w:rsidRPr="00BA7B17">
        <w:t xml:space="preserve">The main objective of the Regional Group will be to encourage National Regulatory Authorities and Operators from countries in Africa to work together </w:t>
      </w:r>
      <w:r>
        <w:t>for better implementation of ITU-T Recommendations relevant to SG2, and to facilitate better participation and involvement of these entities, as well as experts from the Africa region in general, in the activities of SG2, and to contribute effectively to its work.</w:t>
      </w:r>
    </w:p>
    <w:p w14:paraId="49708FD4" w14:textId="77777777" w:rsidR="00D0365D" w:rsidRDefault="00D0365D" w:rsidP="00036893">
      <w:r>
        <w:t xml:space="preserve">The terms of reference </w:t>
      </w:r>
      <w:r w:rsidR="000430A6">
        <w:t>and working method</w:t>
      </w:r>
      <w:r w:rsidR="00E03CC7">
        <w:t>s</w:t>
      </w:r>
      <w:r w:rsidR="000430A6">
        <w:t xml:space="preserve"> </w:t>
      </w:r>
      <w:r>
        <w:t xml:space="preserve">for the </w:t>
      </w:r>
      <w:r>
        <w:rPr>
          <w:rFonts w:cstheme="majorBidi"/>
          <w:szCs w:val="24"/>
        </w:rPr>
        <w:t xml:space="preserve">ITU-T Study Group </w:t>
      </w:r>
      <w:r w:rsidR="00036893">
        <w:rPr>
          <w:rFonts w:cstheme="majorBidi"/>
          <w:szCs w:val="24"/>
        </w:rPr>
        <w:t>2</w:t>
      </w:r>
      <w:r>
        <w:rPr>
          <w:rFonts w:cstheme="majorBidi"/>
          <w:szCs w:val="24"/>
        </w:rPr>
        <w:t xml:space="preserve"> </w:t>
      </w:r>
      <w:r w:rsidR="0007141E">
        <w:rPr>
          <w:rFonts w:cstheme="majorBidi"/>
          <w:szCs w:val="24"/>
        </w:rPr>
        <w:t>Regional Group for Africa (SG2</w:t>
      </w:r>
      <w:r>
        <w:rPr>
          <w:rFonts w:cstheme="majorBidi"/>
          <w:szCs w:val="24"/>
        </w:rPr>
        <w:t xml:space="preserve">RG-AFR) </w:t>
      </w:r>
      <w:r w:rsidR="000430A6">
        <w:rPr>
          <w:rFonts w:cstheme="majorBidi"/>
          <w:szCs w:val="24"/>
        </w:rPr>
        <w:t xml:space="preserve">approved by Study Group 2 </w:t>
      </w:r>
      <w:r>
        <w:rPr>
          <w:rFonts w:cstheme="majorBidi"/>
          <w:szCs w:val="24"/>
        </w:rPr>
        <w:t xml:space="preserve">are set out in </w:t>
      </w:r>
      <w:r w:rsidR="00F873C6">
        <w:rPr>
          <w:b/>
        </w:rPr>
        <w:t>Annex 1</w:t>
      </w:r>
      <w:r>
        <w:rPr>
          <w:b/>
        </w:rPr>
        <w:t>.</w:t>
      </w:r>
    </w:p>
    <w:p w14:paraId="0F9EDB27" w14:textId="77777777" w:rsidR="00FC1C19" w:rsidRDefault="00FC1C19"/>
    <w:p w14:paraId="5C4A2D13" w14:textId="77777777" w:rsidR="00FA46A0" w:rsidRDefault="00B61012">
      <w:pPr>
        <w:spacing w:before="360"/>
      </w:pPr>
      <w:r>
        <w:t>Yours faithfully,</w:t>
      </w:r>
    </w:p>
    <w:p w14:paraId="24B01DCD" w14:textId="77777777" w:rsidR="00FA46A0" w:rsidRDefault="00FA46A0" w:rsidP="009B2EB5">
      <w:pPr>
        <w:spacing w:before="0"/>
      </w:pPr>
    </w:p>
    <w:p w14:paraId="68449487" w14:textId="4B89304B" w:rsidR="00BC2465" w:rsidRPr="00BC2465" w:rsidRDefault="00BC2465" w:rsidP="009B2EB5">
      <w:pPr>
        <w:spacing w:before="0"/>
        <w:rPr>
          <w:i/>
          <w:iCs/>
        </w:rPr>
      </w:pPr>
      <w:r w:rsidRPr="00BC2465">
        <w:rPr>
          <w:i/>
          <w:iCs/>
        </w:rPr>
        <w:t>(</w:t>
      </w:r>
      <w:proofErr w:type="gramStart"/>
      <w:r w:rsidRPr="00BC2465">
        <w:rPr>
          <w:i/>
          <w:iCs/>
        </w:rPr>
        <w:t>signed</w:t>
      </w:r>
      <w:proofErr w:type="gramEnd"/>
      <w:r w:rsidRPr="00BC2465">
        <w:rPr>
          <w:i/>
          <w:iCs/>
        </w:rPr>
        <w:t>)</w:t>
      </w:r>
    </w:p>
    <w:p w14:paraId="2A02E147" w14:textId="77777777" w:rsidR="00BC2465" w:rsidRDefault="00BC2465" w:rsidP="009B2EB5">
      <w:pPr>
        <w:spacing w:before="0"/>
      </w:pPr>
    </w:p>
    <w:p w14:paraId="13740A88" w14:textId="77777777" w:rsidR="00D62702" w:rsidRDefault="00B61012" w:rsidP="009B2EB5">
      <w:pPr>
        <w:spacing w:before="0"/>
      </w:pPr>
      <w:proofErr w:type="spellStart"/>
      <w:r>
        <w:t>Chaesub</w:t>
      </w:r>
      <w:proofErr w:type="spellEnd"/>
      <w:r>
        <w:t xml:space="preserve"> Lee</w:t>
      </w:r>
      <w:r>
        <w:br/>
        <w:t>Director of the Telecommun</w:t>
      </w:r>
      <w:bookmarkStart w:id="0" w:name="_GoBack"/>
      <w:bookmarkEnd w:id="0"/>
      <w:r>
        <w:t>ication</w:t>
      </w:r>
      <w:r>
        <w:br/>
        <w:t>Standardization Bureau</w:t>
      </w:r>
    </w:p>
    <w:p w14:paraId="65C4BAB4" w14:textId="77777777" w:rsidR="00036893" w:rsidRDefault="00036893" w:rsidP="009B2EB5">
      <w:pPr>
        <w:spacing w:before="0"/>
      </w:pPr>
    </w:p>
    <w:p w14:paraId="473B672D" w14:textId="77777777" w:rsidR="00036893" w:rsidRDefault="00036893" w:rsidP="009B2EB5">
      <w:pPr>
        <w:spacing w:before="0"/>
      </w:pPr>
    </w:p>
    <w:p w14:paraId="4CF216BE" w14:textId="77777777" w:rsidR="00036893" w:rsidRDefault="00036893" w:rsidP="009B2EB5">
      <w:pPr>
        <w:spacing w:before="0"/>
      </w:pPr>
    </w:p>
    <w:p w14:paraId="26C2909D" w14:textId="77777777" w:rsidR="00036893" w:rsidRDefault="00036893" w:rsidP="009B2EB5">
      <w:pPr>
        <w:spacing w:before="0"/>
      </w:pPr>
      <w:r w:rsidRPr="00036893">
        <w:rPr>
          <w:b/>
          <w:bCs/>
        </w:rPr>
        <w:t>Annex:</w:t>
      </w:r>
      <w:r>
        <w:t xml:space="preserve"> 1</w:t>
      </w:r>
    </w:p>
    <w:p w14:paraId="11328BF0" w14:textId="77777777" w:rsidR="00036893" w:rsidRDefault="00036893">
      <w:pPr>
        <w:tabs>
          <w:tab w:val="clear" w:pos="794"/>
          <w:tab w:val="clear" w:pos="1191"/>
          <w:tab w:val="clear" w:pos="1588"/>
          <w:tab w:val="clear" w:pos="1985"/>
        </w:tabs>
        <w:overflowPunct/>
        <w:autoSpaceDE/>
        <w:autoSpaceDN/>
        <w:adjustRightInd/>
        <w:spacing w:before="0"/>
        <w:textAlignment w:val="auto"/>
      </w:pPr>
      <w:r>
        <w:br w:type="page"/>
      </w:r>
    </w:p>
    <w:p w14:paraId="5B2F32CE" w14:textId="6CFE92B3" w:rsidR="00036893" w:rsidRDefault="00036893" w:rsidP="004A416E">
      <w:pPr>
        <w:ind w:right="-194"/>
        <w:jc w:val="center"/>
        <w:rPr>
          <w:b/>
          <w:bCs/>
          <w:sz w:val="28"/>
          <w:szCs w:val="28"/>
        </w:rPr>
      </w:pPr>
      <w:r w:rsidRPr="00580DD4">
        <w:rPr>
          <w:b/>
          <w:bCs/>
          <w:sz w:val="28"/>
          <w:szCs w:val="28"/>
        </w:rPr>
        <w:lastRenderedPageBreak/>
        <w:t xml:space="preserve">ANNEX </w:t>
      </w:r>
      <w:r w:rsidR="004A416E">
        <w:rPr>
          <w:b/>
          <w:bCs/>
          <w:sz w:val="28"/>
          <w:szCs w:val="28"/>
        </w:rPr>
        <w:t>1</w:t>
      </w:r>
    </w:p>
    <w:p w14:paraId="3CBCE0A7" w14:textId="77777777" w:rsidR="00F873C6" w:rsidRDefault="00F873C6" w:rsidP="00036893">
      <w:pPr>
        <w:ind w:right="-194"/>
        <w:jc w:val="center"/>
        <w:rPr>
          <w:b/>
          <w:bCs/>
          <w:sz w:val="28"/>
          <w:szCs w:val="28"/>
        </w:rPr>
      </w:pPr>
    </w:p>
    <w:p w14:paraId="35033C03" w14:textId="77777777" w:rsidR="00036893" w:rsidRPr="00F873C6" w:rsidRDefault="00036893" w:rsidP="00036893">
      <w:pPr>
        <w:ind w:right="-194"/>
        <w:jc w:val="center"/>
        <w:rPr>
          <w:rFonts w:cstheme="majorBidi"/>
          <w:b/>
          <w:bCs/>
          <w:sz w:val="28"/>
          <w:szCs w:val="28"/>
        </w:rPr>
      </w:pPr>
      <w:r w:rsidRPr="00F873C6">
        <w:rPr>
          <w:rFonts w:cstheme="majorBidi"/>
          <w:b/>
          <w:bCs/>
          <w:sz w:val="28"/>
          <w:szCs w:val="28"/>
        </w:rPr>
        <w:t>Terms of Reference for ITU-T Study Group 2 Regional Group for Africa (SG2RG-AFR)</w:t>
      </w:r>
    </w:p>
    <w:p w14:paraId="582214A8" w14:textId="77777777" w:rsidR="00036893" w:rsidRDefault="00036893" w:rsidP="009B2EB5">
      <w:pPr>
        <w:spacing w:before="0"/>
      </w:pPr>
    </w:p>
    <w:p w14:paraId="2E7F5B81" w14:textId="77777777" w:rsidR="00F873C6" w:rsidRDefault="00F873C6" w:rsidP="009B2EB5">
      <w:pPr>
        <w:spacing w:before="0"/>
      </w:pPr>
    </w:p>
    <w:p w14:paraId="66E641F9" w14:textId="77777777" w:rsidR="0007141E" w:rsidRPr="0007141E" w:rsidRDefault="0007141E" w:rsidP="0007141E">
      <w:pPr>
        <w:pStyle w:val="ListParagraph"/>
        <w:numPr>
          <w:ilvl w:val="0"/>
          <w:numId w:val="11"/>
        </w:numPr>
        <w:tabs>
          <w:tab w:val="clear" w:pos="1134"/>
          <w:tab w:val="clear" w:pos="1871"/>
          <w:tab w:val="clear" w:pos="2268"/>
        </w:tabs>
        <w:overflowPunct/>
        <w:autoSpaceDE/>
        <w:autoSpaceDN/>
        <w:adjustRightInd/>
        <w:spacing w:after="120" w:line="259" w:lineRule="auto"/>
        <w:ind w:left="567" w:hanging="283"/>
        <w:contextualSpacing w:val="0"/>
        <w:jc w:val="both"/>
        <w:textAlignment w:val="auto"/>
        <w:rPr>
          <w:rFonts w:asciiTheme="minorHAnsi" w:hAnsiTheme="minorHAnsi"/>
          <w:szCs w:val="24"/>
        </w:rPr>
      </w:pPr>
      <w:r w:rsidRPr="0007141E">
        <w:rPr>
          <w:rFonts w:asciiTheme="minorHAnsi" w:hAnsiTheme="minorHAnsi"/>
          <w:szCs w:val="24"/>
        </w:rPr>
        <w:t>To encourage active participation of the Africa Region Member States, Sector Members,  National Regulatory Authorities and Operators in the work of ITU-T SG2, its workshops and other relevant events.</w:t>
      </w:r>
    </w:p>
    <w:p w14:paraId="2A7DCCB1" w14:textId="466C27E4" w:rsidR="0007141E" w:rsidRPr="0007141E" w:rsidRDefault="0007141E" w:rsidP="0007141E">
      <w:pPr>
        <w:pStyle w:val="ListParagraph"/>
        <w:numPr>
          <w:ilvl w:val="0"/>
          <w:numId w:val="11"/>
        </w:numPr>
        <w:tabs>
          <w:tab w:val="clear" w:pos="1134"/>
          <w:tab w:val="clear" w:pos="1871"/>
          <w:tab w:val="clear" w:pos="2268"/>
        </w:tabs>
        <w:overflowPunct/>
        <w:autoSpaceDE/>
        <w:autoSpaceDN/>
        <w:adjustRightInd/>
        <w:spacing w:after="120" w:line="259" w:lineRule="auto"/>
        <w:ind w:left="567" w:hanging="283"/>
        <w:contextualSpacing w:val="0"/>
        <w:jc w:val="both"/>
        <w:textAlignment w:val="auto"/>
        <w:rPr>
          <w:rFonts w:asciiTheme="minorHAnsi" w:hAnsiTheme="minorHAnsi"/>
          <w:szCs w:val="24"/>
        </w:rPr>
      </w:pPr>
      <w:r w:rsidRPr="0007141E">
        <w:rPr>
          <w:rFonts w:asciiTheme="minorHAnsi" w:hAnsiTheme="minorHAnsi"/>
          <w:szCs w:val="24"/>
        </w:rPr>
        <w:t>To</w:t>
      </w:r>
      <w:r w:rsidR="00F847DF">
        <w:rPr>
          <w:rFonts w:asciiTheme="minorHAnsi" w:hAnsiTheme="minorHAnsi"/>
          <w:szCs w:val="24"/>
        </w:rPr>
        <w:t xml:space="preserve"> urge and stimulate the African</w:t>
      </w:r>
      <w:r w:rsidRPr="0007141E">
        <w:rPr>
          <w:rFonts w:asciiTheme="minorHAnsi" w:hAnsiTheme="minorHAnsi"/>
          <w:szCs w:val="24"/>
        </w:rPr>
        <w:t xml:space="preserve"> countries to get involved, and to contribute, to the work of ITU-T SG2, and in particular on New/Revised Recommendations developed by ITU-T SG2; this may include submitting consolidated contributions from the region. </w:t>
      </w:r>
    </w:p>
    <w:p w14:paraId="372276F8" w14:textId="58ECE1CF" w:rsidR="0007141E" w:rsidRPr="0007141E" w:rsidRDefault="0007141E" w:rsidP="00661D4D">
      <w:pPr>
        <w:pStyle w:val="ListParagraph"/>
        <w:numPr>
          <w:ilvl w:val="0"/>
          <w:numId w:val="11"/>
        </w:numPr>
        <w:tabs>
          <w:tab w:val="clear" w:pos="1134"/>
          <w:tab w:val="clear" w:pos="1871"/>
          <w:tab w:val="clear" w:pos="2268"/>
        </w:tabs>
        <w:overflowPunct/>
        <w:autoSpaceDE/>
        <w:autoSpaceDN/>
        <w:adjustRightInd/>
        <w:spacing w:after="120" w:line="259" w:lineRule="auto"/>
        <w:ind w:left="567" w:hanging="283"/>
        <w:contextualSpacing w:val="0"/>
        <w:jc w:val="both"/>
        <w:textAlignment w:val="auto"/>
        <w:rPr>
          <w:rFonts w:asciiTheme="minorHAnsi" w:hAnsiTheme="minorHAnsi"/>
          <w:szCs w:val="24"/>
        </w:rPr>
      </w:pPr>
      <w:r w:rsidRPr="0007141E">
        <w:rPr>
          <w:rFonts w:asciiTheme="minorHAnsi" w:hAnsiTheme="minorHAnsi"/>
          <w:szCs w:val="24"/>
        </w:rPr>
        <w:t>To identify and encourage studies on topics relevant to ITU-T SG2, according to the priorities set by the region. This could include, but not limited to: Fixed and Mobile numbers, identifiers and Codes; Global Shared Codes; M2M, Internet of Things; misuse of national and international numbering resources, Calling Party Number Delivery, Alternative Calling Procedures; impact of the Internet and convergence of services and/or infrastructures, such as OTT, on regional telecommunication networks and services; Digital Financial Services and Telecom Finance; etc.</w:t>
      </w:r>
    </w:p>
    <w:p w14:paraId="403AEBAC" w14:textId="77777777" w:rsidR="0007141E" w:rsidRPr="0007141E" w:rsidRDefault="0007141E" w:rsidP="0007141E">
      <w:pPr>
        <w:pStyle w:val="ListParagraph"/>
        <w:numPr>
          <w:ilvl w:val="0"/>
          <w:numId w:val="11"/>
        </w:numPr>
        <w:tabs>
          <w:tab w:val="clear" w:pos="1134"/>
          <w:tab w:val="clear" w:pos="1871"/>
          <w:tab w:val="clear" w:pos="2268"/>
        </w:tabs>
        <w:overflowPunct/>
        <w:autoSpaceDE/>
        <w:autoSpaceDN/>
        <w:adjustRightInd/>
        <w:spacing w:after="120" w:line="259" w:lineRule="auto"/>
        <w:ind w:left="567" w:hanging="283"/>
        <w:contextualSpacing w:val="0"/>
        <w:jc w:val="both"/>
        <w:textAlignment w:val="auto"/>
        <w:rPr>
          <w:rFonts w:asciiTheme="minorHAnsi" w:hAnsiTheme="minorHAnsi"/>
          <w:szCs w:val="24"/>
        </w:rPr>
      </w:pPr>
      <w:r w:rsidRPr="0007141E">
        <w:rPr>
          <w:rFonts w:asciiTheme="minorHAnsi" w:hAnsiTheme="minorHAnsi"/>
          <w:szCs w:val="24"/>
        </w:rPr>
        <w:t>To disseminate and share in the Africa region relevant information among the region provided by ITU-T SG2, its workshops and from other related standardization and technical bodies, on Operational Aspects of Service Provision and Telecommunications Management.</w:t>
      </w:r>
    </w:p>
    <w:p w14:paraId="2F700EAF" w14:textId="77777777" w:rsidR="0007141E" w:rsidRPr="0007141E" w:rsidRDefault="0007141E" w:rsidP="0007141E">
      <w:pPr>
        <w:pStyle w:val="ListParagraph"/>
        <w:numPr>
          <w:ilvl w:val="0"/>
          <w:numId w:val="11"/>
        </w:numPr>
        <w:tabs>
          <w:tab w:val="clear" w:pos="1134"/>
          <w:tab w:val="clear" w:pos="1871"/>
          <w:tab w:val="clear" w:pos="2268"/>
        </w:tabs>
        <w:overflowPunct/>
        <w:autoSpaceDE/>
        <w:autoSpaceDN/>
        <w:adjustRightInd/>
        <w:spacing w:after="120" w:line="259" w:lineRule="auto"/>
        <w:ind w:left="567" w:hanging="283"/>
        <w:contextualSpacing w:val="0"/>
        <w:jc w:val="both"/>
        <w:textAlignment w:val="auto"/>
        <w:rPr>
          <w:rFonts w:asciiTheme="minorHAnsi" w:hAnsiTheme="minorHAnsi"/>
          <w:szCs w:val="24"/>
        </w:rPr>
      </w:pPr>
      <w:r w:rsidRPr="0007141E">
        <w:rPr>
          <w:rFonts w:asciiTheme="minorHAnsi" w:hAnsiTheme="minorHAnsi"/>
          <w:szCs w:val="24"/>
        </w:rPr>
        <w:t>To facilitate the dissemination of information to African experts on important and emerging topics of SG2 available within SG2 or its workshops and tutorials, to be acquainted with these issues and to support their involvement in SG2 through mailing lists and/or physical participation, and to support their capabilities to prepare contributions to SG2.</w:t>
      </w:r>
    </w:p>
    <w:p w14:paraId="78F02A4F" w14:textId="6A063B5E" w:rsidR="0007141E" w:rsidRPr="0007141E" w:rsidRDefault="0007141E" w:rsidP="002764AF">
      <w:pPr>
        <w:pStyle w:val="ListParagraph"/>
        <w:numPr>
          <w:ilvl w:val="0"/>
          <w:numId w:val="11"/>
        </w:numPr>
        <w:tabs>
          <w:tab w:val="clear" w:pos="1134"/>
          <w:tab w:val="clear" w:pos="1871"/>
          <w:tab w:val="clear" w:pos="2268"/>
        </w:tabs>
        <w:overflowPunct/>
        <w:autoSpaceDE/>
        <w:autoSpaceDN/>
        <w:adjustRightInd/>
        <w:spacing w:after="120" w:line="259" w:lineRule="auto"/>
        <w:ind w:left="567" w:hanging="283"/>
        <w:contextualSpacing w:val="0"/>
        <w:jc w:val="both"/>
        <w:textAlignment w:val="auto"/>
        <w:rPr>
          <w:rFonts w:asciiTheme="minorHAnsi" w:hAnsiTheme="minorHAnsi"/>
          <w:szCs w:val="24"/>
        </w:rPr>
      </w:pPr>
      <w:r w:rsidRPr="0007141E">
        <w:rPr>
          <w:rFonts w:asciiTheme="minorHAnsi" w:hAnsiTheme="minorHAnsi"/>
          <w:szCs w:val="24"/>
        </w:rPr>
        <w:t xml:space="preserve">To offer help to African potential experts interested in joining and taking part </w:t>
      </w:r>
      <w:r w:rsidR="002764AF">
        <w:rPr>
          <w:rFonts w:asciiTheme="minorHAnsi" w:hAnsiTheme="minorHAnsi"/>
          <w:szCs w:val="24"/>
        </w:rPr>
        <w:t>in the e-mail list</w:t>
      </w:r>
      <w:r w:rsidRPr="0007141E">
        <w:rPr>
          <w:rFonts w:asciiTheme="minorHAnsi" w:hAnsiTheme="minorHAnsi"/>
          <w:szCs w:val="24"/>
        </w:rPr>
        <w:t xml:space="preserve"> informal discussions, to increase participation of African experts in the work related to the Questions.</w:t>
      </w:r>
    </w:p>
    <w:p w14:paraId="309417A1" w14:textId="77777777" w:rsidR="0007141E" w:rsidRPr="0007141E" w:rsidRDefault="0007141E" w:rsidP="0007141E">
      <w:pPr>
        <w:pStyle w:val="ListParagraph"/>
        <w:numPr>
          <w:ilvl w:val="0"/>
          <w:numId w:val="11"/>
        </w:numPr>
        <w:tabs>
          <w:tab w:val="clear" w:pos="1134"/>
          <w:tab w:val="clear" w:pos="1871"/>
          <w:tab w:val="clear" w:pos="2268"/>
        </w:tabs>
        <w:overflowPunct/>
        <w:autoSpaceDE/>
        <w:autoSpaceDN/>
        <w:adjustRightInd/>
        <w:spacing w:after="120" w:line="259" w:lineRule="auto"/>
        <w:ind w:left="567" w:hanging="283"/>
        <w:contextualSpacing w:val="0"/>
        <w:jc w:val="both"/>
        <w:textAlignment w:val="auto"/>
        <w:rPr>
          <w:rFonts w:asciiTheme="minorHAnsi" w:hAnsiTheme="minorHAnsi"/>
          <w:szCs w:val="24"/>
        </w:rPr>
      </w:pPr>
      <w:r w:rsidRPr="0007141E">
        <w:rPr>
          <w:rFonts w:asciiTheme="minorHAnsi" w:hAnsiTheme="minorHAnsi"/>
          <w:szCs w:val="24"/>
        </w:rPr>
        <w:t>To identify specific training needs for operators and National Regulatory Authorities in Africa relevant to the work of ITU-T SG2; and to coordinate the organization of technical in-depth tutorials in the region on such topics jointly with ITU-T SG2.</w:t>
      </w:r>
    </w:p>
    <w:p w14:paraId="3C5B49F0" w14:textId="52F40A0B" w:rsidR="0007141E" w:rsidRPr="0007141E" w:rsidRDefault="0007141E" w:rsidP="0007141E">
      <w:pPr>
        <w:pStyle w:val="ListParagraph"/>
        <w:numPr>
          <w:ilvl w:val="0"/>
          <w:numId w:val="11"/>
        </w:numPr>
        <w:tabs>
          <w:tab w:val="clear" w:pos="1134"/>
          <w:tab w:val="clear" w:pos="1871"/>
          <w:tab w:val="clear" w:pos="2268"/>
        </w:tabs>
        <w:overflowPunct/>
        <w:autoSpaceDE/>
        <w:autoSpaceDN/>
        <w:adjustRightInd/>
        <w:spacing w:after="120" w:line="259" w:lineRule="auto"/>
        <w:ind w:left="567" w:hanging="283"/>
        <w:contextualSpacing w:val="0"/>
        <w:jc w:val="both"/>
        <w:textAlignment w:val="auto"/>
        <w:rPr>
          <w:rFonts w:asciiTheme="minorHAnsi" w:hAnsiTheme="minorHAnsi"/>
          <w:szCs w:val="24"/>
        </w:rPr>
      </w:pPr>
      <w:r w:rsidRPr="0007141E">
        <w:rPr>
          <w:rFonts w:asciiTheme="minorHAnsi" w:hAnsiTheme="minorHAnsi"/>
          <w:szCs w:val="24"/>
        </w:rPr>
        <w:t xml:space="preserve">To act as </w:t>
      </w:r>
      <w:r w:rsidR="002764AF">
        <w:rPr>
          <w:rFonts w:asciiTheme="minorHAnsi" w:hAnsiTheme="minorHAnsi"/>
          <w:szCs w:val="24"/>
        </w:rPr>
        <w:t xml:space="preserve">a </w:t>
      </w:r>
      <w:r w:rsidRPr="0007141E">
        <w:rPr>
          <w:rFonts w:asciiTheme="minorHAnsi" w:hAnsiTheme="minorHAnsi"/>
          <w:szCs w:val="24"/>
        </w:rPr>
        <w:t>liaison between the telecommunication operators, regulators of Africa, regional standardization bodies and ITU-T SG2, to ensure that ITU-T SG2 take</w:t>
      </w:r>
      <w:r w:rsidR="002764AF">
        <w:rPr>
          <w:rFonts w:asciiTheme="minorHAnsi" w:hAnsiTheme="minorHAnsi"/>
          <w:szCs w:val="24"/>
        </w:rPr>
        <w:t>s</w:t>
      </w:r>
      <w:r w:rsidRPr="0007141E">
        <w:rPr>
          <w:rFonts w:asciiTheme="minorHAnsi" w:hAnsiTheme="minorHAnsi"/>
          <w:szCs w:val="24"/>
        </w:rPr>
        <w:t xml:space="preserve"> advantage of the relevant information on regulations applicable to telecommunication networks and services in Africa, including specific challenges that could be taken into consideration while developing Recommendations.</w:t>
      </w:r>
    </w:p>
    <w:p w14:paraId="15305CD9" w14:textId="77777777" w:rsidR="0007141E" w:rsidRPr="0007141E" w:rsidRDefault="0007141E" w:rsidP="0007141E">
      <w:pPr>
        <w:pStyle w:val="ListParagraph"/>
        <w:numPr>
          <w:ilvl w:val="0"/>
          <w:numId w:val="11"/>
        </w:numPr>
        <w:tabs>
          <w:tab w:val="clear" w:pos="1134"/>
          <w:tab w:val="clear" w:pos="1871"/>
          <w:tab w:val="clear" w:pos="2268"/>
        </w:tabs>
        <w:overflowPunct/>
        <w:autoSpaceDE/>
        <w:autoSpaceDN/>
        <w:adjustRightInd/>
        <w:spacing w:after="120" w:line="259" w:lineRule="auto"/>
        <w:ind w:left="567" w:hanging="283"/>
        <w:contextualSpacing w:val="0"/>
        <w:jc w:val="both"/>
        <w:textAlignment w:val="auto"/>
        <w:rPr>
          <w:rFonts w:asciiTheme="minorHAnsi" w:hAnsiTheme="minorHAnsi"/>
          <w:szCs w:val="24"/>
        </w:rPr>
      </w:pPr>
      <w:r w:rsidRPr="0007141E">
        <w:rPr>
          <w:rFonts w:asciiTheme="minorHAnsi" w:hAnsiTheme="minorHAnsi"/>
          <w:szCs w:val="24"/>
        </w:rPr>
        <w:t>To assist African administrations, National Regulatory Authorities and Operators in the implementation of the ITU-T SG2 Recommendations in the region.</w:t>
      </w:r>
    </w:p>
    <w:p w14:paraId="7B66B071" w14:textId="77777777" w:rsidR="0007141E" w:rsidRPr="0007141E" w:rsidRDefault="0007141E" w:rsidP="0007141E">
      <w:pPr>
        <w:pStyle w:val="ListParagraph"/>
        <w:numPr>
          <w:ilvl w:val="0"/>
          <w:numId w:val="11"/>
        </w:numPr>
        <w:tabs>
          <w:tab w:val="clear" w:pos="1134"/>
          <w:tab w:val="clear" w:pos="1871"/>
          <w:tab w:val="clear" w:pos="2268"/>
        </w:tabs>
        <w:overflowPunct/>
        <w:autoSpaceDE/>
        <w:autoSpaceDN/>
        <w:adjustRightInd/>
        <w:spacing w:after="120" w:line="259" w:lineRule="auto"/>
        <w:ind w:left="567" w:hanging="283"/>
        <w:contextualSpacing w:val="0"/>
        <w:jc w:val="both"/>
        <w:textAlignment w:val="auto"/>
        <w:rPr>
          <w:rFonts w:asciiTheme="minorHAnsi" w:hAnsiTheme="minorHAnsi"/>
          <w:szCs w:val="24"/>
        </w:rPr>
      </w:pPr>
      <w:r w:rsidRPr="0007141E">
        <w:rPr>
          <w:rFonts w:asciiTheme="minorHAnsi" w:hAnsiTheme="minorHAnsi"/>
          <w:szCs w:val="24"/>
        </w:rPr>
        <w:t>To cooperate with the relevant respective regional organizations, standardization bodies and ITU regional offices.</w:t>
      </w:r>
    </w:p>
    <w:p w14:paraId="2D8BE76C" w14:textId="1C66239C" w:rsidR="0007141E" w:rsidRPr="0007141E" w:rsidRDefault="0007141E" w:rsidP="007222C4">
      <w:pPr>
        <w:pStyle w:val="ListParagraph"/>
        <w:numPr>
          <w:ilvl w:val="0"/>
          <w:numId w:val="11"/>
        </w:numPr>
        <w:tabs>
          <w:tab w:val="clear" w:pos="1134"/>
          <w:tab w:val="clear" w:pos="1871"/>
          <w:tab w:val="clear" w:pos="2268"/>
        </w:tabs>
        <w:overflowPunct/>
        <w:autoSpaceDE/>
        <w:autoSpaceDN/>
        <w:adjustRightInd/>
        <w:spacing w:after="120" w:line="259" w:lineRule="auto"/>
        <w:ind w:left="567" w:hanging="283"/>
        <w:contextualSpacing w:val="0"/>
        <w:jc w:val="both"/>
        <w:textAlignment w:val="auto"/>
        <w:rPr>
          <w:rFonts w:asciiTheme="minorHAnsi" w:hAnsiTheme="minorHAnsi"/>
          <w:szCs w:val="24"/>
        </w:rPr>
      </w:pPr>
      <w:r w:rsidRPr="0007141E">
        <w:rPr>
          <w:rFonts w:asciiTheme="minorHAnsi" w:hAnsiTheme="minorHAnsi"/>
          <w:szCs w:val="24"/>
        </w:rPr>
        <w:t>To foster the discussion and study of scenarios on the allocation, usage and management of Telec</w:t>
      </w:r>
      <w:r w:rsidR="007222C4">
        <w:rPr>
          <w:rFonts w:asciiTheme="minorHAnsi" w:hAnsiTheme="minorHAnsi"/>
          <w:szCs w:val="24"/>
        </w:rPr>
        <w:t>om NNAI resources in the region</w:t>
      </w:r>
      <w:r w:rsidR="00902987">
        <w:rPr>
          <w:rFonts w:asciiTheme="minorHAnsi" w:hAnsiTheme="minorHAnsi"/>
          <w:szCs w:val="24"/>
        </w:rPr>
        <w:t>;</w:t>
      </w:r>
      <w:r w:rsidR="007222C4">
        <w:rPr>
          <w:rFonts w:asciiTheme="minorHAnsi" w:hAnsiTheme="minorHAnsi"/>
          <w:szCs w:val="24"/>
        </w:rPr>
        <w:t xml:space="preserve"> as</w:t>
      </w:r>
      <w:r w:rsidRPr="0007141E">
        <w:rPr>
          <w:rFonts w:asciiTheme="minorHAnsi" w:hAnsiTheme="minorHAnsi"/>
          <w:szCs w:val="24"/>
        </w:rPr>
        <w:t xml:space="preserve"> well as to study the challenges experienced in regard to the need of these resources, their assignment, their use and/or misuse, faced by operators </w:t>
      </w:r>
      <w:r w:rsidRPr="0007141E">
        <w:rPr>
          <w:rFonts w:asciiTheme="minorHAnsi" w:hAnsiTheme="minorHAnsi"/>
          <w:szCs w:val="24"/>
        </w:rPr>
        <w:lastRenderedPageBreak/>
        <w:t>and regulators in Africa; and to recommend strategies for the optimal usage of these resources necessary for the effective provision of communications services in the continent.</w:t>
      </w:r>
    </w:p>
    <w:p w14:paraId="6B39E430" w14:textId="77777777" w:rsidR="0007141E" w:rsidRPr="0007141E" w:rsidRDefault="0007141E" w:rsidP="0007141E">
      <w:pPr>
        <w:pStyle w:val="ListParagraph"/>
        <w:numPr>
          <w:ilvl w:val="0"/>
          <w:numId w:val="11"/>
        </w:numPr>
        <w:tabs>
          <w:tab w:val="clear" w:pos="1134"/>
          <w:tab w:val="clear" w:pos="1871"/>
          <w:tab w:val="clear" w:pos="2268"/>
        </w:tabs>
        <w:overflowPunct/>
        <w:autoSpaceDE/>
        <w:autoSpaceDN/>
        <w:adjustRightInd/>
        <w:spacing w:after="120" w:line="259" w:lineRule="auto"/>
        <w:ind w:left="567" w:hanging="283"/>
        <w:contextualSpacing w:val="0"/>
        <w:jc w:val="both"/>
        <w:textAlignment w:val="auto"/>
        <w:rPr>
          <w:rFonts w:asciiTheme="minorHAnsi" w:hAnsiTheme="minorHAnsi"/>
          <w:szCs w:val="24"/>
        </w:rPr>
      </w:pPr>
      <w:r w:rsidRPr="0007141E">
        <w:rPr>
          <w:rFonts w:asciiTheme="minorHAnsi" w:hAnsiTheme="minorHAnsi"/>
          <w:szCs w:val="24"/>
        </w:rPr>
        <w:t>To report on its work to the plenary meeting of its parent SG2.</w:t>
      </w:r>
    </w:p>
    <w:p w14:paraId="26F3E9FE" w14:textId="77777777" w:rsidR="0007141E" w:rsidRPr="0007141E" w:rsidRDefault="003900EF" w:rsidP="0007141E">
      <w:pPr>
        <w:pStyle w:val="Heading1"/>
        <w:rPr>
          <w:rFonts w:asciiTheme="minorHAnsi" w:hAnsiTheme="minorHAnsi"/>
          <w:sz w:val="24"/>
          <w:szCs w:val="24"/>
        </w:rPr>
      </w:pPr>
      <w:r>
        <w:rPr>
          <w:rFonts w:asciiTheme="minorHAnsi" w:hAnsiTheme="minorHAnsi"/>
          <w:sz w:val="24"/>
          <w:szCs w:val="24"/>
        </w:rPr>
        <w:t>Working Methods</w:t>
      </w:r>
    </w:p>
    <w:p w14:paraId="7664861E" w14:textId="77777777" w:rsidR="0007141E" w:rsidRPr="0007141E" w:rsidRDefault="0007141E" w:rsidP="0007141E">
      <w:pPr>
        <w:rPr>
          <w:rFonts w:asciiTheme="minorHAnsi" w:hAnsiTheme="minorHAnsi"/>
          <w:szCs w:val="24"/>
        </w:rPr>
      </w:pPr>
      <w:r w:rsidRPr="0007141E">
        <w:rPr>
          <w:rFonts w:asciiTheme="minorHAnsi" w:hAnsiTheme="minorHAnsi"/>
          <w:szCs w:val="24"/>
        </w:rPr>
        <w:t xml:space="preserve">The </w:t>
      </w:r>
      <w:r w:rsidRPr="0007141E">
        <w:rPr>
          <w:rFonts w:asciiTheme="minorHAnsi" w:eastAsia="Malgun Gothic" w:hAnsiTheme="minorHAnsi"/>
          <w:color w:val="000000"/>
          <w:szCs w:val="24"/>
        </w:rPr>
        <w:t>ITU-T SG2 Regional Group for Africa</w:t>
      </w:r>
      <w:r w:rsidRPr="0007141E">
        <w:rPr>
          <w:rFonts w:asciiTheme="minorHAnsi" w:hAnsiTheme="minorHAnsi"/>
          <w:szCs w:val="24"/>
        </w:rPr>
        <w:t xml:space="preserve"> will mainly work electronically and by correspondence through designated focal points and will consider having face-to-face meetings when possible. </w:t>
      </w:r>
    </w:p>
    <w:p w14:paraId="097A2CBB" w14:textId="77777777" w:rsidR="0007141E" w:rsidRPr="0007141E" w:rsidRDefault="0007141E" w:rsidP="0007141E">
      <w:pPr>
        <w:rPr>
          <w:rFonts w:asciiTheme="minorHAnsi" w:hAnsiTheme="minorHAnsi"/>
          <w:szCs w:val="24"/>
        </w:rPr>
      </w:pPr>
    </w:p>
    <w:p w14:paraId="2F12B0EA" w14:textId="77777777" w:rsidR="0007141E" w:rsidRPr="0007141E" w:rsidRDefault="0007141E" w:rsidP="0007141E">
      <w:pPr>
        <w:rPr>
          <w:rFonts w:asciiTheme="minorHAnsi" w:hAnsiTheme="minorHAnsi"/>
          <w:szCs w:val="24"/>
        </w:rPr>
      </w:pPr>
    </w:p>
    <w:p w14:paraId="7B19D693" w14:textId="77777777" w:rsidR="0007141E" w:rsidRPr="0007141E" w:rsidRDefault="0007141E" w:rsidP="0007141E">
      <w:pPr>
        <w:spacing w:before="0"/>
        <w:jc w:val="center"/>
        <w:rPr>
          <w:rFonts w:asciiTheme="minorHAnsi" w:hAnsiTheme="minorHAnsi"/>
          <w:szCs w:val="24"/>
        </w:rPr>
      </w:pPr>
      <w:r w:rsidRPr="0007141E">
        <w:rPr>
          <w:rFonts w:asciiTheme="minorHAnsi" w:hAnsiTheme="minorHAnsi"/>
          <w:szCs w:val="24"/>
        </w:rPr>
        <w:t>_________________</w:t>
      </w:r>
    </w:p>
    <w:p w14:paraId="2949AFE1" w14:textId="77777777" w:rsidR="00036893" w:rsidRPr="0007141E" w:rsidRDefault="00036893" w:rsidP="009B2EB5">
      <w:pPr>
        <w:spacing w:before="0"/>
        <w:rPr>
          <w:szCs w:val="24"/>
        </w:rPr>
      </w:pPr>
    </w:p>
    <w:sectPr w:rsidR="00036893" w:rsidRPr="0007141E" w:rsidSect="00FA46A0">
      <w:headerReference w:type="default" r:id="rId10"/>
      <w:footerReference w:type="first" r:id="rId11"/>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0711B" w14:textId="77777777" w:rsidR="00B260AB" w:rsidRDefault="00B260AB">
      <w:r>
        <w:separator/>
      </w:r>
    </w:p>
  </w:endnote>
  <w:endnote w:type="continuationSeparator" w:id="0">
    <w:p w14:paraId="112722B4" w14:textId="77777777" w:rsidR="00B260AB" w:rsidRDefault="00B2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1412B"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0DA7F" w14:textId="77777777" w:rsidR="00B260AB" w:rsidRDefault="00B260AB">
      <w:r>
        <w:t>____________________</w:t>
      </w:r>
    </w:p>
  </w:footnote>
  <w:footnote w:type="continuationSeparator" w:id="0">
    <w:p w14:paraId="4DE12E75" w14:textId="77777777" w:rsidR="00B260AB" w:rsidRDefault="00B26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61E0B" w14:textId="77777777" w:rsidR="00FA46A0" w:rsidRDefault="00B61012">
    <w:pPr>
      <w:pStyle w:val="Header"/>
    </w:pPr>
    <w:r>
      <w:t xml:space="preserve">- </w:t>
    </w:r>
    <w:r w:rsidR="00FA46A0">
      <w:fldChar w:fldCharType="begin"/>
    </w:r>
    <w:r>
      <w:instrText xml:space="preserve"> PAGE   \* MERGEFORMAT </w:instrText>
    </w:r>
    <w:r w:rsidR="00FA46A0">
      <w:fldChar w:fldCharType="separate"/>
    </w:r>
    <w:r w:rsidR="00BC2465">
      <w:rPr>
        <w:noProof/>
      </w:rPr>
      <w:t>4</w:t>
    </w:r>
    <w:r w:rsidR="00FA46A0">
      <w:rPr>
        <w:noProof/>
      </w:rPr>
      <w:fldChar w:fldCharType="end"/>
    </w:r>
    <w:r>
      <w:rPr>
        <w:noProof/>
      </w:rPr>
      <w:t xml:space="preserve"> -</w:t>
    </w:r>
    <w:r w:rsidR="00503ADB">
      <w:rPr>
        <w:noProof/>
      </w:rPr>
      <w:br/>
      <w:t xml:space="preserve">TSB Circular </w:t>
    </w:r>
    <w:r w:rsidR="00036893">
      <w:rPr>
        <w:noProof/>
      </w:rPr>
      <w:t>65</w:t>
    </w:r>
  </w:p>
  <w:p w14:paraId="31FB46D1" w14:textId="77777777" w:rsidR="00FA46A0" w:rsidRDefault="00FA4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F1D28"/>
    <w:multiLevelType w:val="hybridMultilevel"/>
    <w:tmpl w:val="7EFE6A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B1"/>
    <w:rsid w:val="00022E6B"/>
    <w:rsid w:val="00036893"/>
    <w:rsid w:val="00037B23"/>
    <w:rsid w:val="000430A6"/>
    <w:rsid w:val="0007141E"/>
    <w:rsid w:val="000B15C8"/>
    <w:rsid w:val="001018E1"/>
    <w:rsid w:val="00112F37"/>
    <w:rsid w:val="001A34EC"/>
    <w:rsid w:val="002764AF"/>
    <w:rsid w:val="003746A5"/>
    <w:rsid w:val="003900EF"/>
    <w:rsid w:val="003D4690"/>
    <w:rsid w:val="00453CEA"/>
    <w:rsid w:val="004A416E"/>
    <w:rsid w:val="00503ADB"/>
    <w:rsid w:val="00661D4D"/>
    <w:rsid w:val="006A21B1"/>
    <w:rsid w:val="007222C4"/>
    <w:rsid w:val="007570FB"/>
    <w:rsid w:val="00796792"/>
    <w:rsid w:val="007A65E8"/>
    <w:rsid w:val="00902987"/>
    <w:rsid w:val="00960EB2"/>
    <w:rsid w:val="00963900"/>
    <w:rsid w:val="00980434"/>
    <w:rsid w:val="009B2EB5"/>
    <w:rsid w:val="009D2980"/>
    <w:rsid w:val="00A07067"/>
    <w:rsid w:val="00A72C30"/>
    <w:rsid w:val="00B2488F"/>
    <w:rsid w:val="00B260AB"/>
    <w:rsid w:val="00B34F8D"/>
    <w:rsid w:val="00B4669D"/>
    <w:rsid w:val="00B61012"/>
    <w:rsid w:val="00BC2465"/>
    <w:rsid w:val="00C2268D"/>
    <w:rsid w:val="00C95BF6"/>
    <w:rsid w:val="00CB679F"/>
    <w:rsid w:val="00D0365D"/>
    <w:rsid w:val="00D15FE7"/>
    <w:rsid w:val="00D62702"/>
    <w:rsid w:val="00DB3C8E"/>
    <w:rsid w:val="00DC2331"/>
    <w:rsid w:val="00E03CC7"/>
    <w:rsid w:val="00EC15F4"/>
    <w:rsid w:val="00F22314"/>
    <w:rsid w:val="00F847DF"/>
    <w:rsid w:val="00F873C6"/>
    <w:rsid w:val="00F924E6"/>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74E66A"/>
  <w15:docId w15:val="{0E60BB16-9F98-4C7B-BA90-4970EBB4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paragraph" w:styleId="ListParagraph">
    <w:name w:val="List Paragraph"/>
    <w:basedOn w:val="Normal"/>
    <w:uiPriority w:val="34"/>
    <w:qFormat/>
    <w:rsid w:val="0007141E"/>
    <w:pPr>
      <w:tabs>
        <w:tab w:val="clear" w:pos="794"/>
        <w:tab w:val="clear" w:pos="1191"/>
        <w:tab w:val="clear" w:pos="1588"/>
        <w:tab w:val="clear" w:pos="1985"/>
        <w:tab w:val="left" w:pos="1134"/>
        <w:tab w:val="left" w:pos="1871"/>
        <w:tab w:val="left" w:pos="2268"/>
      </w:tabs>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06997">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910454534">
      <w:bodyDiv w:val="1"/>
      <w:marLeft w:val="0"/>
      <w:marRight w:val="0"/>
      <w:marTop w:val="0"/>
      <w:marBottom w:val="0"/>
      <w:divBdr>
        <w:top w:val="none" w:sz="0" w:space="0" w:color="auto"/>
        <w:left w:val="none" w:sz="0" w:space="0" w:color="auto"/>
        <w:bottom w:val="none" w:sz="0" w:space="0" w:color="auto"/>
        <w:right w:val="none" w:sz="0" w:space="0" w:color="auto"/>
      </w:divBdr>
    </w:div>
    <w:div w:id="2035418728">
      <w:bodyDiv w:val="1"/>
      <w:marLeft w:val="0"/>
      <w:marRight w:val="0"/>
      <w:marTop w:val="0"/>
      <w:marBottom w:val="0"/>
      <w:divBdr>
        <w:top w:val="none" w:sz="0" w:space="0" w:color="auto"/>
        <w:left w:val="none" w:sz="0" w:space="0" w:color="auto"/>
        <w:bottom w:val="none" w:sz="0" w:space="0" w:color="auto"/>
        <w:right w:val="none" w:sz="0" w:space="0" w:color="auto"/>
      </w:divBdr>
    </w:div>
    <w:div w:id="20789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sbsg2@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CIRCULAR.dotx</Template>
  <TotalTime>23</TotalTime>
  <Pages>4</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Sarah</dc:creator>
  <cp:keywords/>
  <dc:description/>
  <cp:lastModifiedBy>Osvath, Alexandra</cp:lastModifiedBy>
  <cp:revision>15</cp:revision>
  <cp:lastPrinted>2017-12-18T09:19:00Z</cp:lastPrinted>
  <dcterms:created xsi:type="dcterms:W3CDTF">2017-12-15T17:08:00Z</dcterms:created>
  <dcterms:modified xsi:type="dcterms:W3CDTF">2017-12-18T09:19:00Z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