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C77729">
        <w:trPr>
          <w:cantSplit/>
        </w:trPr>
        <w:tc>
          <w:tcPr>
            <w:tcW w:w="1418" w:type="dxa"/>
            <w:vAlign w:val="center"/>
          </w:tcPr>
          <w:p w:rsidR="00624880" w:rsidRPr="006E1157" w:rsidRDefault="00624880" w:rsidP="005863D0">
            <w:pPr>
              <w:tabs>
                <w:tab w:val="right" w:pos="8732"/>
              </w:tabs>
              <w:spacing w:before="0"/>
              <w:rPr>
                <w:rFonts w:ascii="Calibri" w:hAnsi="Calibri"/>
                <w:b/>
                <w:bCs/>
                <w:iCs/>
                <w:color w:val="FFFFFF"/>
                <w:sz w:val="26"/>
                <w:szCs w:val="26"/>
              </w:rPr>
            </w:pPr>
            <w:r w:rsidRPr="006E1157">
              <w:rPr>
                <w:rFonts w:ascii="Calibri" w:hAnsi="Calibri"/>
                <w:noProof/>
                <w:lang w:val="en-US"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5863D0">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5863D0">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624880" w:rsidP="005863D0">
            <w:pPr>
              <w:spacing w:before="0"/>
              <w:jc w:val="right"/>
              <w:rPr>
                <w:rFonts w:ascii="Calibri" w:hAnsi="Calibri"/>
                <w:color w:val="FFFFFF"/>
                <w:sz w:val="26"/>
                <w:szCs w:val="26"/>
                <w:lang w:eastAsia="zh-CN"/>
              </w:rPr>
            </w:pPr>
            <w:bookmarkStart w:id="0" w:name="ditulogo"/>
            <w:bookmarkEnd w:id="0"/>
          </w:p>
        </w:tc>
      </w:tr>
      <w:tr w:rsidR="00624880" w:rsidRPr="006E1157" w:rsidTr="00C77729">
        <w:trPr>
          <w:cantSplit/>
        </w:trPr>
        <w:tc>
          <w:tcPr>
            <w:tcW w:w="6237" w:type="dxa"/>
            <w:gridSpan w:val="2"/>
            <w:vAlign w:val="center"/>
          </w:tcPr>
          <w:p w:rsidR="00624880" w:rsidRPr="006E1157" w:rsidRDefault="00624880" w:rsidP="005863D0">
            <w:pPr>
              <w:tabs>
                <w:tab w:val="right" w:pos="8732"/>
              </w:tabs>
              <w:spacing w:before="0"/>
              <w:rPr>
                <w:rFonts w:ascii="Calibri" w:hAnsi="Calibri"/>
                <w:b/>
                <w:bCs/>
                <w:iCs/>
                <w:sz w:val="18"/>
                <w:szCs w:val="18"/>
                <w:lang w:eastAsia="zh-CN"/>
              </w:rPr>
            </w:pPr>
          </w:p>
        </w:tc>
        <w:tc>
          <w:tcPr>
            <w:tcW w:w="3261" w:type="dxa"/>
            <w:gridSpan w:val="2"/>
            <w:vAlign w:val="center"/>
          </w:tcPr>
          <w:p w:rsidR="00624880" w:rsidRPr="006E1157" w:rsidRDefault="00624880" w:rsidP="005863D0">
            <w:pPr>
              <w:spacing w:before="0"/>
              <w:ind w:left="993" w:hanging="993"/>
              <w:jc w:val="right"/>
              <w:rPr>
                <w:rFonts w:ascii="Calibri" w:hAnsi="Calibri"/>
                <w:sz w:val="18"/>
                <w:szCs w:val="18"/>
                <w:lang w:val="en-US" w:eastAsia="zh-CN"/>
              </w:rPr>
            </w:pPr>
          </w:p>
        </w:tc>
      </w:tr>
    </w:tbl>
    <w:p w:rsidR="00624880" w:rsidRPr="006E1157" w:rsidRDefault="00624880" w:rsidP="005863D0">
      <w:pPr>
        <w:pStyle w:val="Index1"/>
        <w:tabs>
          <w:tab w:val="clear" w:pos="794"/>
          <w:tab w:val="clear" w:pos="1191"/>
          <w:tab w:val="clear" w:pos="1588"/>
          <w:tab w:val="clear" w:pos="1985"/>
          <w:tab w:val="left" w:pos="5387"/>
        </w:tabs>
        <w:rPr>
          <w:rFonts w:ascii="Calibri" w:hAnsi="Calibri"/>
          <w:lang w:eastAsia="zh-CN"/>
        </w:rPr>
      </w:pPr>
    </w:p>
    <w:p w:rsidR="00624880" w:rsidRPr="006E1157" w:rsidRDefault="00624880" w:rsidP="00EC7B15">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w:t>
      </w:r>
      <w:r w:rsidR="00EC7B15">
        <w:rPr>
          <w:rFonts w:ascii="Calibri" w:hAnsi="Calibri" w:hint="eastAsia"/>
          <w:szCs w:val="24"/>
          <w:lang w:eastAsia="zh-CN"/>
        </w:rPr>
        <w:t>8</w:t>
      </w:r>
      <w:r w:rsidRPr="006E1157">
        <w:rPr>
          <w:rFonts w:ascii="Calibri" w:hAnsi="Calibri" w:hint="eastAsia"/>
          <w:szCs w:val="24"/>
          <w:lang w:eastAsia="zh-CN"/>
        </w:rPr>
        <w:t>年</w:t>
      </w:r>
      <w:r w:rsidR="005C1D57">
        <w:t>1</w:t>
      </w:r>
      <w:r w:rsidRPr="006E1157">
        <w:rPr>
          <w:rFonts w:ascii="Calibri" w:hAnsi="Calibri" w:hint="eastAsia"/>
          <w:szCs w:val="24"/>
          <w:lang w:eastAsia="zh-CN"/>
        </w:rPr>
        <w:t>月</w:t>
      </w:r>
      <w:r w:rsidR="005C1D57">
        <w:t>1</w:t>
      </w:r>
      <w:r w:rsidR="00EC7B15">
        <w:rPr>
          <w:rFonts w:hint="eastAsia"/>
          <w:lang w:eastAsia="zh-CN"/>
        </w:rPr>
        <w:t>6</w:t>
      </w:r>
      <w:r w:rsidRPr="006E1157">
        <w:rPr>
          <w:rFonts w:ascii="Calibri" w:hAnsi="Calibri" w:hint="eastAsia"/>
          <w:szCs w:val="24"/>
          <w:lang w:eastAsia="zh-CN"/>
        </w:rPr>
        <w:t>日</w:t>
      </w:r>
      <w:r w:rsidRPr="006E1157">
        <w:rPr>
          <w:rFonts w:ascii="Calibri" w:hAnsi="Calibri" w:hint="eastAsia"/>
          <w:lang w:eastAsia="zh-CN"/>
        </w:rPr>
        <w:t>，日内瓦</w:t>
      </w:r>
    </w:p>
    <w:p w:rsidR="00624880" w:rsidRPr="006E1157" w:rsidRDefault="00624880" w:rsidP="005863D0">
      <w:pPr>
        <w:rPr>
          <w:rFonts w:ascii="Calibri" w:hAnsi="Calibri"/>
        </w:rPr>
      </w:pPr>
    </w:p>
    <w:tbl>
      <w:tblPr>
        <w:tblW w:w="9873" w:type="dxa"/>
        <w:tblLayout w:type="fixed"/>
        <w:tblCellMar>
          <w:left w:w="0" w:type="dxa"/>
          <w:right w:w="0" w:type="dxa"/>
        </w:tblCellMar>
        <w:tblLook w:val="0000" w:firstRow="0" w:lastRow="0" w:firstColumn="0" w:lastColumn="0" w:noHBand="0" w:noVBand="0"/>
      </w:tblPr>
      <w:tblGrid>
        <w:gridCol w:w="8"/>
        <w:gridCol w:w="1272"/>
        <w:gridCol w:w="3679"/>
        <w:gridCol w:w="4290"/>
        <w:gridCol w:w="624"/>
      </w:tblGrid>
      <w:tr w:rsidR="00B25266" w:rsidRPr="006E1157" w:rsidTr="00A221D3">
        <w:trPr>
          <w:gridBefore w:val="1"/>
          <w:wBefore w:w="8" w:type="dxa"/>
          <w:cantSplit/>
          <w:trHeight w:val="1490"/>
        </w:trPr>
        <w:tc>
          <w:tcPr>
            <w:tcW w:w="1273" w:type="dxa"/>
          </w:tcPr>
          <w:p w:rsidR="00B25266" w:rsidRPr="00A221D3" w:rsidRDefault="00B25266" w:rsidP="005863D0">
            <w:pPr>
              <w:tabs>
                <w:tab w:val="left" w:pos="4111"/>
              </w:tabs>
              <w:spacing w:before="0"/>
              <w:rPr>
                <w:rFonts w:ascii="Calibri" w:hAnsi="Calibri"/>
                <w:b/>
                <w:bCs/>
                <w:szCs w:val="24"/>
                <w:lang w:eastAsia="zh-CN"/>
              </w:rPr>
            </w:pPr>
            <w:r w:rsidRPr="00A221D3">
              <w:rPr>
                <w:rFonts w:ascii="Calibri" w:hAnsi="Calibri"/>
                <w:b/>
                <w:bCs/>
                <w:szCs w:val="24"/>
                <w:lang w:eastAsia="zh-CN"/>
              </w:rPr>
              <w:t>文号：</w:t>
            </w:r>
          </w:p>
          <w:p w:rsidR="00B25266" w:rsidRPr="006E1157" w:rsidRDefault="00B25266" w:rsidP="005863D0">
            <w:pPr>
              <w:tabs>
                <w:tab w:val="left" w:pos="4111"/>
              </w:tabs>
              <w:spacing w:before="0"/>
              <w:rPr>
                <w:rFonts w:ascii="Calibri" w:hAnsi="Calibri"/>
                <w:szCs w:val="24"/>
                <w:lang w:eastAsia="zh-CN"/>
              </w:rPr>
            </w:pPr>
          </w:p>
          <w:p w:rsidR="00B25266" w:rsidRPr="00A221D3" w:rsidRDefault="00B25266" w:rsidP="009F607F">
            <w:pPr>
              <w:tabs>
                <w:tab w:val="left" w:pos="4111"/>
              </w:tabs>
              <w:spacing w:before="0"/>
              <w:rPr>
                <w:rFonts w:ascii="Calibri" w:hAnsi="Calibri"/>
                <w:b/>
                <w:bCs/>
                <w:szCs w:val="24"/>
                <w:lang w:eastAsia="zh-CN"/>
              </w:rPr>
            </w:pPr>
            <w:r>
              <w:rPr>
                <w:rFonts w:ascii="Calibri" w:hAnsi="Calibri"/>
                <w:szCs w:val="24"/>
                <w:lang w:eastAsia="zh-CN"/>
              </w:rPr>
              <w:br/>
            </w:r>
            <w:r w:rsidRPr="00A221D3">
              <w:rPr>
                <w:rFonts w:ascii="Calibri" w:hAnsi="Calibri"/>
                <w:b/>
                <w:bCs/>
                <w:szCs w:val="24"/>
                <w:lang w:eastAsia="zh-CN"/>
              </w:rPr>
              <w:t>电话：</w:t>
            </w:r>
          </w:p>
          <w:p w:rsidR="00B25266" w:rsidRPr="00A221D3" w:rsidRDefault="00B25266" w:rsidP="005863D0">
            <w:pPr>
              <w:tabs>
                <w:tab w:val="left" w:pos="4111"/>
              </w:tabs>
              <w:spacing w:before="0"/>
              <w:rPr>
                <w:rFonts w:ascii="Calibri" w:hAnsi="Calibri"/>
                <w:b/>
                <w:bCs/>
                <w:szCs w:val="24"/>
                <w:lang w:eastAsia="zh-CN"/>
              </w:rPr>
            </w:pPr>
            <w:r w:rsidRPr="00A221D3">
              <w:rPr>
                <w:rFonts w:ascii="Calibri" w:hAnsi="Calibri"/>
                <w:b/>
                <w:bCs/>
                <w:szCs w:val="24"/>
                <w:lang w:eastAsia="zh-CN"/>
              </w:rPr>
              <w:t>传真：</w:t>
            </w:r>
          </w:p>
        </w:tc>
        <w:tc>
          <w:tcPr>
            <w:tcW w:w="3681" w:type="dxa"/>
          </w:tcPr>
          <w:p w:rsidR="00B25266" w:rsidRPr="006E1157" w:rsidRDefault="00B25266" w:rsidP="00EC7B15">
            <w:pPr>
              <w:tabs>
                <w:tab w:val="left" w:pos="4111"/>
              </w:tabs>
              <w:spacing w:before="0" w:after="20"/>
              <w:rPr>
                <w:rFonts w:ascii="Calibri" w:hAnsi="Calibri"/>
                <w:b/>
                <w:szCs w:val="24"/>
                <w:lang w:eastAsia="zh-CN"/>
              </w:rPr>
            </w:pPr>
            <w:r w:rsidRPr="006E1157">
              <w:rPr>
                <w:rFonts w:ascii="Calibri" w:hAnsi="Calibri"/>
                <w:b/>
                <w:szCs w:val="24"/>
                <w:lang w:eastAsia="zh-CN"/>
              </w:rPr>
              <w:t>电信标准化局第</w:t>
            </w:r>
            <w:r w:rsidR="005C1D57">
              <w:rPr>
                <w:b/>
                <w:bCs/>
                <w:lang w:eastAsia="zh-CN"/>
              </w:rPr>
              <w:t>6</w:t>
            </w:r>
            <w:r w:rsidR="00EC7B15">
              <w:rPr>
                <w:rFonts w:hint="eastAsia"/>
                <w:b/>
                <w:bCs/>
                <w:lang w:eastAsia="zh-CN"/>
              </w:rPr>
              <w:t>8</w:t>
            </w:r>
            <w:r w:rsidRPr="006E1157">
              <w:rPr>
                <w:rFonts w:ascii="Calibri" w:hAnsi="Calibri"/>
                <w:b/>
                <w:szCs w:val="24"/>
                <w:lang w:eastAsia="zh-CN"/>
              </w:rPr>
              <w:t>号通函</w:t>
            </w:r>
          </w:p>
          <w:p w:rsidR="00B25266" w:rsidRPr="006E1157" w:rsidRDefault="00B25266" w:rsidP="00EC7B15">
            <w:pPr>
              <w:tabs>
                <w:tab w:val="left" w:pos="4111"/>
              </w:tabs>
              <w:spacing w:before="0" w:after="20"/>
              <w:rPr>
                <w:rFonts w:ascii="Calibri" w:hAnsi="Calibri"/>
                <w:szCs w:val="24"/>
                <w:lang w:val="en-US" w:eastAsia="zh-CN"/>
              </w:rPr>
            </w:pPr>
            <w:r>
              <w:rPr>
                <w:lang w:eastAsia="zh-CN"/>
              </w:rPr>
              <w:br/>
            </w:r>
            <w:r w:rsidRPr="006E1157">
              <w:rPr>
                <w:rFonts w:ascii="Calibri" w:hAnsi="Calibri"/>
                <w:szCs w:val="24"/>
                <w:lang w:eastAsia="zh-CN"/>
              </w:rPr>
              <w:br/>
            </w:r>
            <w:r>
              <w:rPr>
                <w:lang w:eastAsia="zh-CN"/>
              </w:rPr>
              <w:t xml:space="preserve">+41 22 730 </w:t>
            </w:r>
            <w:r w:rsidRPr="005121D2">
              <w:rPr>
                <w:lang w:eastAsia="zh-CN"/>
              </w:rPr>
              <w:t>54</w:t>
            </w:r>
            <w:r w:rsidR="00EC7B15">
              <w:rPr>
                <w:rFonts w:hint="eastAsia"/>
                <w:lang w:eastAsia="zh-CN"/>
              </w:rPr>
              <w:t>15</w:t>
            </w:r>
          </w:p>
          <w:p w:rsidR="00B25266" w:rsidRPr="006E1157" w:rsidRDefault="00B25266" w:rsidP="005863D0">
            <w:pPr>
              <w:tabs>
                <w:tab w:val="left" w:pos="4111"/>
              </w:tabs>
              <w:spacing w:before="0" w:after="20"/>
              <w:rPr>
                <w:rFonts w:ascii="Calibri" w:hAnsi="Calibri"/>
                <w:szCs w:val="24"/>
                <w:lang w:eastAsia="zh-CN"/>
              </w:rPr>
            </w:pPr>
            <w:r>
              <w:t>+41 22 730 5853</w:t>
            </w:r>
          </w:p>
        </w:tc>
        <w:tc>
          <w:tcPr>
            <w:tcW w:w="4911" w:type="dxa"/>
            <w:gridSpan w:val="2"/>
            <w:vMerge w:val="restart"/>
            <w:tcBorders>
              <w:left w:val="nil"/>
            </w:tcBorders>
          </w:tcPr>
          <w:p w:rsidR="00B25266" w:rsidRPr="006973E0" w:rsidRDefault="00B25266" w:rsidP="005863D0">
            <w:pPr>
              <w:tabs>
                <w:tab w:val="clear" w:pos="794"/>
                <w:tab w:val="clear" w:pos="1191"/>
                <w:tab w:val="clear" w:pos="1588"/>
                <w:tab w:val="clear" w:pos="1985"/>
                <w:tab w:val="left" w:pos="375"/>
              </w:tabs>
              <w:spacing w:before="40" w:after="40"/>
              <w:ind w:left="284" w:hanging="284"/>
              <w:rPr>
                <w:rFonts w:ascii="Calibri" w:hAnsi="Calibri"/>
                <w:b/>
                <w:lang w:eastAsia="zh-CN"/>
              </w:rPr>
            </w:pPr>
            <w:bookmarkStart w:id="1" w:name="Addressee_E"/>
            <w:bookmarkEnd w:id="1"/>
            <w:r w:rsidRPr="006973E0">
              <w:rPr>
                <w:rFonts w:ascii="Calibri" w:hAnsi="Calibri" w:hint="eastAsia"/>
                <w:b/>
                <w:lang w:eastAsia="zh-CN"/>
              </w:rPr>
              <w:t>致：</w:t>
            </w:r>
          </w:p>
          <w:p w:rsidR="00B25266" w:rsidRPr="006E1157" w:rsidRDefault="00B25266" w:rsidP="005863D0">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B25266" w:rsidRPr="006E1157" w:rsidRDefault="00B25266" w:rsidP="005863D0">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B25266" w:rsidRDefault="00B25266" w:rsidP="009F607F">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B25266" w:rsidRPr="006E1157" w:rsidRDefault="00B25266" w:rsidP="00C71797">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p>
        </w:tc>
      </w:tr>
      <w:tr w:rsidR="00B25266" w:rsidRPr="006E1157" w:rsidTr="003272D2">
        <w:trPr>
          <w:gridBefore w:val="1"/>
          <w:wBefore w:w="8" w:type="dxa"/>
          <w:cantSplit/>
          <w:trHeight w:val="491"/>
        </w:trPr>
        <w:tc>
          <w:tcPr>
            <w:tcW w:w="1273" w:type="dxa"/>
          </w:tcPr>
          <w:p w:rsidR="00B25266" w:rsidRPr="006E1157" w:rsidRDefault="00B25266" w:rsidP="005863D0">
            <w:pPr>
              <w:tabs>
                <w:tab w:val="left" w:pos="4111"/>
              </w:tabs>
              <w:spacing w:before="0"/>
              <w:rPr>
                <w:rFonts w:ascii="Calibri" w:hAnsi="Calibri"/>
                <w:szCs w:val="24"/>
                <w:lang w:eastAsia="zh-CN"/>
              </w:rPr>
            </w:pPr>
          </w:p>
        </w:tc>
        <w:tc>
          <w:tcPr>
            <w:tcW w:w="3681" w:type="dxa"/>
          </w:tcPr>
          <w:p w:rsidR="00B25266" w:rsidRPr="006E1157" w:rsidRDefault="00B25266" w:rsidP="005863D0">
            <w:pPr>
              <w:tabs>
                <w:tab w:val="left" w:pos="4111"/>
              </w:tabs>
              <w:spacing w:before="0" w:after="20"/>
              <w:rPr>
                <w:rFonts w:ascii="Calibri" w:hAnsi="Calibri"/>
                <w:b/>
                <w:szCs w:val="24"/>
                <w:lang w:eastAsia="zh-CN"/>
              </w:rPr>
            </w:pPr>
          </w:p>
        </w:tc>
        <w:tc>
          <w:tcPr>
            <w:tcW w:w="4911" w:type="dxa"/>
            <w:gridSpan w:val="2"/>
            <w:vMerge/>
            <w:tcBorders>
              <w:left w:val="nil"/>
            </w:tcBorders>
          </w:tcPr>
          <w:p w:rsidR="00B25266" w:rsidRPr="006973E0" w:rsidRDefault="00B25266" w:rsidP="005863D0">
            <w:pPr>
              <w:tabs>
                <w:tab w:val="clear" w:pos="794"/>
                <w:tab w:val="clear" w:pos="1191"/>
                <w:tab w:val="clear" w:pos="1588"/>
                <w:tab w:val="clear" w:pos="1985"/>
                <w:tab w:val="left" w:pos="375"/>
              </w:tabs>
              <w:spacing w:before="40" w:after="40"/>
              <w:ind w:left="284" w:hanging="284"/>
              <w:rPr>
                <w:rFonts w:ascii="Calibri" w:hAnsi="Calibri"/>
                <w:b/>
                <w:lang w:eastAsia="zh-CN"/>
              </w:rPr>
            </w:pPr>
          </w:p>
        </w:tc>
      </w:tr>
      <w:tr w:rsidR="00624880" w:rsidRPr="006E1157" w:rsidTr="00C71797">
        <w:trPr>
          <w:gridBefore w:val="1"/>
          <w:wBefore w:w="8" w:type="dxa"/>
          <w:cantSplit/>
          <w:trHeight w:val="1846"/>
        </w:trPr>
        <w:tc>
          <w:tcPr>
            <w:tcW w:w="1273" w:type="dxa"/>
          </w:tcPr>
          <w:p w:rsidR="00624880" w:rsidRPr="00A221D3" w:rsidRDefault="00C84D02" w:rsidP="005863D0">
            <w:pPr>
              <w:spacing w:before="0"/>
              <w:rPr>
                <w:rFonts w:ascii="Calibri" w:hAnsi="Calibri"/>
                <w:b/>
                <w:bCs/>
                <w:szCs w:val="24"/>
                <w:lang w:eastAsia="zh-CN"/>
              </w:rPr>
            </w:pPr>
            <w:r w:rsidRPr="00A221D3">
              <w:rPr>
                <w:rFonts w:ascii="Calibri" w:hAnsi="Calibri"/>
                <w:b/>
                <w:bCs/>
                <w:szCs w:val="24"/>
                <w:lang w:eastAsia="zh-CN"/>
              </w:rPr>
              <w:t>电子邮件：</w:t>
            </w:r>
          </w:p>
        </w:tc>
        <w:tc>
          <w:tcPr>
            <w:tcW w:w="3681" w:type="dxa"/>
          </w:tcPr>
          <w:p w:rsidR="003960C5" w:rsidRDefault="007D5ED1" w:rsidP="00EC7B15">
            <w:pPr>
              <w:tabs>
                <w:tab w:val="left" w:pos="4111"/>
              </w:tabs>
              <w:spacing w:before="0" w:after="20"/>
            </w:pPr>
            <w:hyperlink r:id="rId9" w:history="1"/>
            <w:r w:rsidR="005C1D57">
              <w:rPr>
                <w:rStyle w:val="Hyperlink"/>
                <w:szCs w:val="24"/>
              </w:rPr>
              <w:t xml:space="preserve"> </w:t>
            </w:r>
            <w:hyperlink r:id="rId10" w:history="1">
              <w:bookmarkStart w:id="2" w:name="lt_pId037"/>
              <w:r w:rsidR="00EC7B15" w:rsidRPr="001D5DED">
                <w:rPr>
                  <w:rStyle w:val="Hyperlink"/>
                </w:rPr>
                <w:t>tsbdir@itu.int</w:t>
              </w:r>
              <w:bookmarkEnd w:id="2"/>
            </w:hyperlink>
            <w:r w:rsidR="00C84D02" w:rsidRPr="003B1216">
              <w:rPr>
                <w:rStyle w:val="Hyperlink"/>
                <w:szCs w:val="24"/>
              </w:rPr>
              <w:br/>
            </w:r>
          </w:p>
          <w:p w:rsidR="00624880" w:rsidRPr="006E1157" w:rsidRDefault="00624880" w:rsidP="005863D0">
            <w:pPr>
              <w:tabs>
                <w:tab w:val="left" w:pos="4111"/>
              </w:tabs>
              <w:spacing w:before="0" w:after="20"/>
              <w:rPr>
                <w:rFonts w:ascii="Calibri" w:hAnsi="Calibri"/>
                <w:szCs w:val="24"/>
                <w:lang w:eastAsia="zh-CN"/>
              </w:rPr>
            </w:pPr>
          </w:p>
        </w:tc>
        <w:tc>
          <w:tcPr>
            <w:tcW w:w="4911" w:type="dxa"/>
            <w:gridSpan w:val="2"/>
            <w:tcBorders>
              <w:left w:val="nil"/>
            </w:tcBorders>
          </w:tcPr>
          <w:p w:rsidR="00624880" w:rsidRPr="006E1157" w:rsidRDefault="00624880" w:rsidP="005863D0">
            <w:pPr>
              <w:tabs>
                <w:tab w:val="left" w:pos="4111"/>
              </w:tabs>
              <w:spacing w:before="0"/>
              <w:rPr>
                <w:rFonts w:ascii="Calibri" w:hAnsi="Calibri"/>
                <w:b/>
                <w:lang w:eastAsia="zh-CN"/>
              </w:rPr>
            </w:pPr>
            <w:r w:rsidRPr="006E1157">
              <w:rPr>
                <w:rFonts w:ascii="Calibri" w:hAnsi="Calibri" w:hint="eastAsia"/>
                <w:b/>
                <w:lang w:eastAsia="zh-CN"/>
              </w:rPr>
              <w:t>抄送：</w:t>
            </w:r>
          </w:p>
          <w:p w:rsidR="00624880" w:rsidRPr="006E1157" w:rsidRDefault="00624880" w:rsidP="005863D0">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rsidR="00624880" w:rsidRPr="006E1157" w:rsidRDefault="00624880" w:rsidP="005863D0">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161A63" w:rsidRDefault="00624880" w:rsidP="00C71797">
            <w:pPr>
              <w:tabs>
                <w:tab w:val="clear" w:pos="794"/>
                <w:tab w:val="left" w:pos="284"/>
                <w:tab w:val="left" w:pos="375"/>
                <w:tab w:val="left" w:pos="4111"/>
              </w:tabs>
              <w:spacing w:before="40" w:after="40"/>
              <w:rPr>
                <w:szCs w:val="24"/>
                <w:lang w:eastAsia="zh-CN"/>
              </w:rPr>
            </w:pPr>
            <w:r w:rsidRPr="006E1157">
              <w:rPr>
                <w:rFonts w:ascii="Calibri" w:hAnsi="Calibri" w:hint="eastAsia"/>
                <w:lang w:eastAsia="zh-CN"/>
              </w:rPr>
              <w:t>-</w:t>
            </w:r>
            <w:r w:rsidRPr="006E1157">
              <w:rPr>
                <w:rFonts w:ascii="Calibri" w:hAnsi="Calibri" w:hint="eastAsia"/>
                <w:lang w:eastAsia="zh-CN"/>
              </w:rPr>
              <w:tab/>
            </w:r>
            <w:r w:rsidR="00501436">
              <w:rPr>
                <w:rFonts w:ascii="Calibri" w:hAnsi="Calibri"/>
                <w:lang w:eastAsia="zh-CN"/>
              </w:rPr>
              <w:t>无线电通信局主任</w:t>
            </w:r>
            <w:r w:rsidR="004E61E3" w:rsidRPr="006E1157">
              <w:rPr>
                <w:rFonts w:ascii="Calibri" w:hAnsi="Calibri"/>
                <w:lang w:eastAsia="zh-CN"/>
              </w:rPr>
              <w:t>；</w:t>
            </w:r>
          </w:p>
          <w:p w:rsidR="00C43D7F" w:rsidRPr="006E1157" w:rsidRDefault="00C43D7F" w:rsidP="00616474">
            <w:pPr>
              <w:tabs>
                <w:tab w:val="clear" w:pos="794"/>
                <w:tab w:val="clear" w:pos="1191"/>
                <w:tab w:val="clear" w:pos="1588"/>
                <w:tab w:val="clear" w:pos="1985"/>
                <w:tab w:val="left" w:pos="284"/>
              </w:tabs>
              <w:spacing w:before="40" w:after="40"/>
              <w:ind w:left="23"/>
              <w:rPr>
                <w:rFonts w:ascii="Calibri" w:hAnsi="Calibri"/>
                <w:lang w:eastAsia="zh-CN"/>
              </w:rPr>
            </w:pPr>
          </w:p>
        </w:tc>
      </w:tr>
      <w:tr w:rsidR="00624880" w:rsidRPr="006E1157" w:rsidTr="00A221D3">
        <w:tblPrEx>
          <w:tblCellMar>
            <w:left w:w="107" w:type="dxa"/>
            <w:right w:w="107" w:type="dxa"/>
          </w:tblCellMar>
        </w:tblPrEx>
        <w:trPr>
          <w:gridAfter w:val="1"/>
          <w:wAfter w:w="624" w:type="dxa"/>
          <w:cantSplit/>
        </w:trPr>
        <w:tc>
          <w:tcPr>
            <w:tcW w:w="1276" w:type="dxa"/>
            <w:gridSpan w:val="2"/>
          </w:tcPr>
          <w:p w:rsidR="00624880" w:rsidRPr="00C71797" w:rsidRDefault="00624880" w:rsidP="00C71797">
            <w:pPr>
              <w:tabs>
                <w:tab w:val="left" w:pos="4111"/>
              </w:tabs>
              <w:spacing w:before="10"/>
              <w:ind w:left="57" w:hanging="164"/>
              <w:rPr>
                <w:rFonts w:ascii="Calibri" w:hAnsi="Calibri"/>
                <w:b/>
                <w:bCs/>
                <w:szCs w:val="24"/>
                <w:lang w:eastAsia="zh-CN"/>
              </w:rPr>
            </w:pPr>
            <w:r w:rsidRPr="00C71797">
              <w:rPr>
                <w:rFonts w:ascii="Calibri" w:hAnsi="Calibri" w:hint="eastAsia"/>
                <w:b/>
                <w:bCs/>
                <w:szCs w:val="24"/>
                <w:lang w:eastAsia="zh-CN"/>
              </w:rPr>
              <w:t>事由：</w:t>
            </w:r>
          </w:p>
        </w:tc>
        <w:tc>
          <w:tcPr>
            <w:tcW w:w="7973" w:type="dxa"/>
            <w:gridSpan w:val="2"/>
          </w:tcPr>
          <w:p w:rsidR="00624880" w:rsidRPr="00FC2010" w:rsidRDefault="00EC7B15" w:rsidP="00EC7B15">
            <w:pPr>
              <w:tabs>
                <w:tab w:val="left" w:pos="4111"/>
              </w:tabs>
              <w:spacing w:before="0"/>
              <w:ind w:left="57" w:right="28"/>
              <w:rPr>
                <w:rFonts w:eastAsiaTheme="minorEastAsia"/>
                <w:lang w:eastAsia="zh-CN"/>
              </w:rPr>
            </w:pPr>
            <w:r>
              <w:rPr>
                <w:rStyle w:val="Strong"/>
                <w:rFonts w:eastAsiaTheme="minorEastAsia" w:hint="eastAsia"/>
                <w:szCs w:val="24"/>
                <w:lang w:eastAsia="zh-CN"/>
              </w:rPr>
              <w:t>针对</w:t>
            </w:r>
            <w:r>
              <w:rPr>
                <w:rStyle w:val="Strong"/>
                <w:rFonts w:eastAsiaTheme="minorEastAsia" w:hint="eastAsia"/>
                <w:szCs w:val="24"/>
                <w:lang w:eastAsia="zh-CN"/>
              </w:rPr>
              <w:t>ITU-T</w:t>
            </w:r>
            <w:r>
              <w:rPr>
                <w:rStyle w:val="Strong"/>
                <w:rFonts w:eastAsiaTheme="minorEastAsia" w:hint="eastAsia"/>
                <w:szCs w:val="24"/>
                <w:lang w:eastAsia="zh-CN"/>
              </w:rPr>
              <w:t>所举办会议的新注册系统</w:t>
            </w:r>
          </w:p>
        </w:tc>
      </w:tr>
    </w:tbl>
    <w:p w:rsidR="00624880" w:rsidRPr="006E1157" w:rsidRDefault="00624880" w:rsidP="00C71797">
      <w:pPr>
        <w:spacing w:before="720"/>
        <w:rPr>
          <w:rFonts w:ascii="Calibri" w:hAnsi="Calibri"/>
          <w:lang w:eastAsia="zh-CN"/>
        </w:rPr>
      </w:pPr>
      <w:bookmarkStart w:id="3" w:name="StartTyping_E"/>
      <w:bookmarkEnd w:id="3"/>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rsidR="00250E2C" w:rsidRDefault="00250E2C" w:rsidP="00C71797">
      <w:pPr>
        <w:rPr>
          <w:lang w:eastAsia="zh-CN"/>
        </w:rPr>
      </w:pPr>
      <w:bookmarkStart w:id="4" w:name="suitetext"/>
      <w:bookmarkStart w:id="5" w:name="text"/>
      <w:bookmarkEnd w:id="4"/>
      <w:bookmarkEnd w:id="5"/>
      <w:r>
        <w:rPr>
          <w:bCs/>
          <w:lang w:eastAsia="zh-CN"/>
        </w:rPr>
        <w:t>1</w:t>
      </w:r>
      <w:r>
        <w:rPr>
          <w:lang w:eastAsia="zh-CN"/>
        </w:rPr>
        <w:tab/>
      </w:r>
      <w:bookmarkStart w:id="6" w:name="lt_pId050"/>
      <w:r w:rsidR="00EC7B15">
        <w:rPr>
          <w:rFonts w:hint="eastAsia"/>
          <w:lang w:eastAsia="zh-CN"/>
        </w:rPr>
        <w:t>作为不断改善为成员所提供服务工作的一部分，我高兴地宣布启动</w:t>
      </w:r>
      <w:r w:rsidR="009C69B6">
        <w:rPr>
          <w:rFonts w:hint="eastAsia"/>
          <w:lang w:eastAsia="zh-CN"/>
        </w:rPr>
        <w:t>一个新的注册系统，为所有</w:t>
      </w:r>
      <w:r w:rsidR="009C69B6">
        <w:rPr>
          <w:rFonts w:hint="eastAsia"/>
          <w:lang w:eastAsia="zh-CN"/>
        </w:rPr>
        <w:t>ITU-T</w:t>
      </w:r>
      <w:r w:rsidR="009C69B6">
        <w:rPr>
          <w:rFonts w:hint="eastAsia"/>
          <w:lang w:eastAsia="zh-CN"/>
        </w:rPr>
        <w:t>活动的参与者提供支持。</w:t>
      </w:r>
      <w:bookmarkEnd w:id="6"/>
      <w:r w:rsidR="009C69B6">
        <w:rPr>
          <w:rFonts w:hint="eastAsia"/>
          <w:lang w:eastAsia="zh-CN"/>
        </w:rPr>
        <w:t>预计新系统将在</w:t>
      </w:r>
      <w:r w:rsidR="009C69B6">
        <w:rPr>
          <w:rFonts w:hint="eastAsia"/>
          <w:lang w:eastAsia="zh-CN"/>
        </w:rPr>
        <w:t>2018</w:t>
      </w:r>
      <w:r w:rsidR="009C69B6">
        <w:rPr>
          <w:rFonts w:hint="eastAsia"/>
          <w:lang w:eastAsia="zh-CN"/>
        </w:rPr>
        <w:t>年第一季度完成部署；敬请留意，在部署期间，已经宣布的活动仍将采用原有的系统开展。</w:t>
      </w:r>
    </w:p>
    <w:p w:rsidR="00250E2C" w:rsidRDefault="0042702E" w:rsidP="00835FE2">
      <w:pPr>
        <w:rPr>
          <w:lang w:eastAsia="zh-CN"/>
        </w:rPr>
      </w:pPr>
      <w:r>
        <w:rPr>
          <w:lang w:eastAsia="zh-CN"/>
        </w:rPr>
        <w:t>2</w:t>
      </w:r>
      <w:r w:rsidR="00250E2C">
        <w:rPr>
          <w:lang w:eastAsia="zh-CN"/>
        </w:rPr>
        <w:tab/>
      </w:r>
      <w:bookmarkStart w:id="7" w:name="lt_pId053"/>
      <w:r w:rsidR="009C69B6">
        <w:rPr>
          <w:rFonts w:hint="eastAsia"/>
          <w:lang w:eastAsia="zh-CN"/>
        </w:rPr>
        <w:t>除可根据国际电联</w:t>
      </w:r>
      <w:r w:rsidR="009C69B6">
        <w:rPr>
          <w:rFonts w:hint="eastAsia"/>
          <w:lang w:eastAsia="zh-CN"/>
        </w:rPr>
        <w:t>TIES</w:t>
      </w:r>
      <w:r w:rsidR="009C69B6">
        <w:rPr>
          <w:rFonts w:hint="eastAsia"/>
          <w:lang w:eastAsia="zh-CN"/>
        </w:rPr>
        <w:t>用户帐户自动填写用户数据外，该新系统的重大变化在于将注册联系人</w:t>
      </w:r>
      <w:r w:rsidR="00835FE2">
        <w:rPr>
          <w:rFonts w:hint="eastAsia"/>
          <w:lang w:eastAsia="zh-CN"/>
        </w:rPr>
        <w:t>审核</w:t>
      </w:r>
      <w:r w:rsidR="009C69B6">
        <w:rPr>
          <w:rFonts w:hint="eastAsia"/>
          <w:lang w:eastAsia="zh-CN"/>
        </w:rPr>
        <w:t>用于注册申请。</w:t>
      </w:r>
      <w:bookmarkStart w:id="8" w:name="lt_pId054"/>
      <w:bookmarkEnd w:id="7"/>
      <w:r w:rsidR="009C69B6">
        <w:rPr>
          <w:rFonts w:hint="eastAsia"/>
          <w:lang w:eastAsia="zh-CN"/>
        </w:rPr>
        <w:t>特提醒您注意此方面的变化。</w:t>
      </w:r>
      <w:bookmarkStart w:id="9" w:name="lt_pId055"/>
      <w:bookmarkEnd w:id="8"/>
      <w:r w:rsidR="009C69B6">
        <w:rPr>
          <w:rFonts w:hint="eastAsia"/>
          <w:lang w:eastAsia="zh-CN"/>
        </w:rPr>
        <w:t>每个成员组织的主要联系人将默认视为</w:t>
      </w:r>
      <w:r w:rsidR="009C69B6">
        <w:rPr>
          <w:rFonts w:hint="eastAsia"/>
          <w:lang w:eastAsia="zh-CN"/>
        </w:rPr>
        <w:t>ITU-T</w:t>
      </w:r>
      <w:r w:rsidR="009C69B6">
        <w:rPr>
          <w:rFonts w:hint="eastAsia"/>
          <w:lang w:eastAsia="zh-CN"/>
        </w:rPr>
        <w:t>会议的注册联系人。</w:t>
      </w:r>
      <w:bookmarkStart w:id="10" w:name="lt_pId056"/>
      <w:bookmarkEnd w:id="9"/>
      <w:r w:rsidR="009C69B6">
        <w:rPr>
          <w:rFonts w:hint="eastAsia"/>
          <w:lang w:eastAsia="zh-CN"/>
        </w:rPr>
        <w:t>如您希望</w:t>
      </w:r>
      <w:r w:rsidR="009C69B6" w:rsidRPr="009C69B6">
        <w:rPr>
          <w:rFonts w:hint="eastAsia"/>
          <w:b/>
          <w:bCs/>
          <w:lang w:eastAsia="zh-CN"/>
        </w:rPr>
        <w:t>确认</w:t>
      </w:r>
      <w:r w:rsidR="009C69B6">
        <w:rPr>
          <w:rFonts w:hint="eastAsia"/>
          <w:lang w:eastAsia="zh-CN"/>
        </w:rPr>
        <w:t>或</w:t>
      </w:r>
      <w:r w:rsidR="009C69B6" w:rsidRPr="009C69B6">
        <w:rPr>
          <w:rFonts w:hint="eastAsia"/>
          <w:b/>
          <w:bCs/>
          <w:lang w:eastAsia="zh-CN"/>
        </w:rPr>
        <w:t>指定</w:t>
      </w:r>
      <w:r w:rsidR="009C69B6">
        <w:rPr>
          <w:rFonts w:hint="eastAsia"/>
          <w:lang w:eastAsia="zh-CN"/>
        </w:rPr>
        <w:t>一个不同的注册联系人，请发送电子邮件至：</w:t>
      </w:r>
      <w:hyperlink r:id="rId11" w:history="1">
        <w:r w:rsidR="009C69B6" w:rsidRPr="001D5DED">
          <w:rPr>
            <w:rStyle w:val="Hyperlink"/>
            <w:lang w:eastAsia="zh-CN"/>
          </w:rPr>
          <w:t>ITU-Tmembership@itu.int</w:t>
        </w:r>
      </w:hyperlink>
      <w:r w:rsidR="009C69B6">
        <w:rPr>
          <w:rFonts w:hint="eastAsia"/>
          <w:lang w:eastAsia="zh-CN"/>
        </w:rPr>
        <w:t>。</w:t>
      </w:r>
      <w:bookmarkStart w:id="11" w:name="lt_pId057"/>
      <w:bookmarkEnd w:id="10"/>
      <w:r w:rsidR="009C69B6">
        <w:rPr>
          <w:rFonts w:hint="eastAsia"/>
          <w:lang w:eastAsia="zh-CN"/>
        </w:rPr>
        <w:t>审核程序述于以下</w:t>
      </w:r>
      <w:r w:rsidR="009C69B6" w:rsidRPr="009C69B6">
        <w:rPr>
          <w:rFonts w:hint="eastAsia"/>
          <w:b/>
          <w:bCs/>
          <w:lang w:eastAsia="zh-CN"/>
        </w:rPr>
        <w:t>附件</w:t>
      </w:r>
      <w:r w:rsidR="009C69B6" w:rsidRPr="009C69B6">
        <w:rPr>
          <w:rFonts w:hint="eastAsia"/>
          <w:b/>
          <w:bCs/>
          <w:lang w:eastAsia="zh-CN"/>
        </w:rPr>
        <w:t>A</w:t>
      </w:r>
      <w:r w:rsidR="009C69B6">
        <w:rPr>
          <w:rFonts w:hint="eastAsia"/>
          <w:lang w:eastAsia="zh-CN"/>
        </w:rPr>
        <w:t>中，详细的指南将直接发给各指定联系人。</w:t>
      </w:r>
      <w:bookmarkEnd w:id="11"/>
    </w:p>
    <w:p w:rsidR="006C3E4B" w:rsidRDefault="006C3E4B" w:rsidP="002C57A5">
      <w:pPr>
        <w:spacing w:before="0"/>
        <w:rPr>
          <w:rFonts w:ascii="Calibri" w:hAnsi="Calibri"/>
          <w:lang w:val="en-US" w:eastAsia="zh-CN"/>
        </w:rPr>
      </w:pPr>
    </w:p>
    <w:p w:rsidR="002F3F12" w:rsidRDefault="002F3F12" w:rsidP="002C57A5">
      <w:pPr>
        <w:spacing w:before="0"/>
        <w:rPr>
          <w:rFonts w:ascii="Calibri" w:hAnsi="Calibri"/>
          <w:lang w:val="en-US" w:eastAsia="zh-CN"/>
        </w:rPr>
      </w:pPr>
    </w:p>
    <w:p w:rsidR="006C3E4B" w:rsidRDefault="006C3E4B" w:rsidP="002F3F12">
      <w:pPr>
        <w:spacing w:before="0"/>
        <w:rPr>
          <w:rFonts w:ascii="Calibri" w:hAnsi="Calibri"/>
          <w:lang w:val="en-US" w:eastAsia="zh-CN"/>
        </w:rPr>
      </w:pPr>
      <w:r>
        <w:rPr>
          <w:rFonts w:ascii="Calibri" w:hAnsi="Calibri" w:hint="eastAsia"/>
          <w:lang w:val="en-US" w:eastAsia="zh-CN"/>
        </w:rPr>
        <w:t>顺致敬意</w:t>
      </w:r>
      <w:r>
        <w:rPr>
          <w:rFonts w:ascii="Calibri" w:hAnsi="Calibri"/>
          <w:lang w:val="en-US" w:eastAsia="zh-CN"/>
        </w:rPr>
        <w:t>！</w:t>
      </w:r>
    </w:p>
    <w:p w:rsidR="006C3E4B" w:rsidRDefault="006C3E4B" w:rsidP="002C57A5">
      <w:pPr>
        <w:spacing w:before="0"/>
        <w:rPr>
          <w:rFonts w:ascii="Calibri" w:hAnsi="Calibri"/>
          <w:lang w:val="en-US" w:eastAsia="zh-CN"/>
        </w:rPr>
      </w:pPr>
    </w:p>
    <w:p w:rsidR="002F3F12" w:rsidRDefault="007D5ED1" w:rsidP="002C57A5">
      <w:pPr>
        <w:spacing w:before="0"/>
        <w:rPr>
          <w:rFonts w:ascii="Calibri" w:hAnsi="Calibri"/>
          <w:lang w:val="en-US" w:eastAsia="zh-CN"/>
        </w:rPr>
      </w:pPr>
      <w:r>
        <w:rPr>
          <w:rFonts w:ascii="Calibri" w:hAnsi="Calibri"/>
          <w:noProof/>
          <w:lang w:val="en-US" w:eastAsia="zh-CN"/>
        </w:rPr>
        <w:drawing>
          <wp:inline distT="0" distB="0" distL="0" distR="0">
            <wp:extent cx="895350" cy="33634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2.PNG"/>
                    <pic:cNvPicPr/>
                  </pic:nvPicPr>
                  <pic:blipFill>
                    <a:blip r:embed="rId12">
                      <a:extLst>
                        <a:ext uri="{28A0092B-C50C-407E-A947-70E740481C1C}">
                          <a14:useLocalDpi xmlns:a14="http://schemas.microsoft.com/office/drawing/2010/main" val="0"/>
                        </a:ext>
                      </a:extLst>
                    </a:blip>
                    <a:stretch>
                      <a:fillRect/>
                    </a:stretch>
                  </pic:blipFill>
                  <pic:spPr>
                    <a:xfrm>
                      <a:off x="0" y="0"/>
                      <a:ext cx="902842" cy="339163"/>
                    </a:xfrm>
                    <a:prstGeom prst="rect">
                      <a:avLst/>
                    </a:prstGeom>
                  </pic:spPr>
                </pic:pic>
              </a:graphicData>
            </a:graphic>
          </wp:inline>
        </w:drawing>
      </w:r>
    </w:p>
    <w:p w:rsidR="007D5ED1" w:rsidRDefault="007D5ED1" w:rsidP="002C57A5">
      <w:pPr>
        <w:spacing w:before="0"/>
        <w:rPr>
          <w:rFonts w:ascii="Calibri" w:hAnsi="Calibri"/>
          <w:lang w:val="en-US" w:eastAsia="zh-CN"/>
        </w:rPr>
      </w:pPr>
      <w:bookmarkStart w:id="12" w:name="_GoBack"/>
      <w:bookmarkEnd w:id="12"/>
    </w:p>
    <w:p w:rsidR="00835FE2" w:rsidRDefault="009E1579" w:rsidP="009654BB">
      <w:pPr>
        <w:spacing w:before="0"/>
        <w:rPr>
          <w:rFonts w:ascii="Calibri" w:hAnsi="Calibri"/>
          <w:lang w:eastAsia="zh-CN"/>
        </w:rPr>
      </w:pPr>
      <w:r w:rsidRPr="006E1157">
        <w:rPr>
          <w:rFonts w:ascii="Calibri" w:hAnsi="Calibri" w:hint="eastAsia"/>
          <w:lang w:eastAsia="zh-CN"/>
        </w:rPr>
        <w:t>电信标准化局主任</w:t>
      </w:r>
      <w:r w:rsidRPr="006E1157">
        <w:rPr>
          <w:rFonts w:ascii="Calibri" w:hAnsi="Calibri"/>
          <w:lang w:eastAsia="zh-CN"/>
        </w:rPr>
        <w:br/>
      </w:r>
      <w:r>
        <w:rPr>
          <w:rFonts w:ascii="Calibri" w:hAnsi="Calibri" w:hint="eastAsia"/>
          <w:lang w:eastAsia="zh-CN"/>
        </w:rPr>
        <w:t>李在摄</w:t>
      </w:r>
    </w:p>
    <w:p w:rsidR="00835FE2" w:rsidRDefault="00835FE2" w:rsidP="003272D2">
      <w:pPr>
        <w:spacing w:before="360"/>
        <w:rPr>
          <w:b/>
          <w:bCs/>
          <w:szCs w:val="24"/>
          <w:lang w:eastAsia="zh-CN"/>
        </w:rPr>
      </w:pPr>
      <w:r>
        <w:rPr>
          <w:rFonts w:hint="eastAsia"/>
          <w:b/>
          <w:bCs/>
          <w:szCs w:val="24"/>
          <w:lang w:eastAsia="zh-CN"/>
        </w:rPr>
        <w:t>附件：</w:t>
      </w:r>
      <w:r>
        <w:rPr>
          <w:rFonts w:hint="eastAsia"/>
          <w:b/>
          <w:bCs/>
          <w:szCs w:val="24"/>
          <w:lang w:eastAsia="zh-CN"/>
        </w:rPr>
        <w:t>1</w:t>
      </w:r>
      <w:r>
        <w:rPr>
          <w:rFonts w:hint="eastAsia"/>
          <w:b/>
          <w:bCs/>
          <w:szCs w:val="24"/>
          <w:lang w:eastAsia="zh-CN"/>
        </w:rPr>
        <w:t>件</w:t>
      </w:r>
      <w:r>
        <w:rPr>
          <w:b/>
          <w:bCs/>
          <w:szCs w:val="24"/>
          <w:lang w:eastAsia="zh-CN"/>
        </w:rPr>
        <w:br w:type="page"/>
      </w:r>
    </w:p>
    <w:p w:rsidR="00835FE2" w:rsidRPr="001D5DED" w:rsidRDefault="00835FE2" w:rsidP="00C71797">
      <w:pPr>
        <w:pStyle w:val="AnnexNo"/>
        <w:spacing w:before="360" w:after="360"/>
        <w:rPr>
          <w:lang w:eastAsia="zh-CN"/>
        </w:rPr>
      </w:pPr>
      <w:bookmarkStart w:id="13" w:name="lt_pId064"/>
      <w:r>
        <w:rPr>
          <w:rFonts w:eastAsiaTheme="minorEastAsia" w:hint="eastAsia"/>
          <w:lang w:eastAsia="zh-CN"/>
        </w:rPr>
        <w:lastRenderedPageBreak/>
        <w:t>附件</w:t>
      </w:r>
      <w:r w:rsidRPr="001D5DED">
        <w:rPr>
          <w:lang w:eastAsia="zh-CN"/>
        </w:rPr>
        <w:t>A</w:t>
      </w:r>
      <w:bookmarkEnd w:id="13"/>
      <w:r w:rsidRPr="001D5DED">
        <w:rPr>
          <w:lang w:eastAsia="zh-CN"/>
        </w:rPr>
        <w:br/>
      </w:r>
      <w:bookmarkStart w:id="14" w:name="lt_pId065"/>
      <w:r>
        <w:rPr>
          <w:rFonts w:eastAsiaTheme="minorEastAsia" w:hint="eastAsia"/>
          <w:lang w:eastAsia="zh-CN"/>
        </w:rPr>
        <w:t>国际电联新注册系统：联系人审核</w:t>
      </w:r>
      <w:bookmarkEnd w:id="14"/>
    </w:p>
    <w:tbl>
      <w:tblPr>
        <w:tblStyle w:val="TableGrid"/>
        <w:tblW w:w="9945" w:type="dxa"/>
        <w:jc w:val="center"/>
        <w:tblLook w:val="04A0" w:firstRow="1" w:lastRow="0" w:firstColumn="1" w:lastColumn="0" w:noHBand="0" w:noVBand="1"/>
      </w:tblPr>
      <w:tblGrid>
        <w:gridCol w:w="5002"/>
        <w:gridCol w:w="4943"/>
      </w:tblGrid>
      <w:tr w:rsidR="00835FE2" w:rsidRPr="001D5DED" w:rsidTr="00835FE2">
        <w:trPr>
          <w:jc w:val="center"/>
        </w:trPr>
        <w:tc>
          <w:tcPr>
            <w:tcW w:w="5002" w:type="dxa"/>
          </w:tcPr>
          <w:p w:rsidR="00835FE2" w:rsidRPr="001D5DED" w:rsidRDefault="00835FE2" w:rsidP="00835FE2">
            <w:pPr>
              <w:jc w:val="center"/>
              <w:rPr>
                <w:b/>
              </w:rPr>
            </w:pPr>
            <w:bookmarkStart w:id="15" w:name="lt_pId066"/>
            <w:r>
              <w:rPr>
                <w:rFonts w:hint="eastAsia"/>
                <w:b/>
                <w:lang w:eastAsia="zh-CN"/>
              </w:rPr>
              <w:t>针对会议与会者</w:t>
            </w:r>
            <w:bookmarkEnd w:id="15"/>
          </w:p>
        </w:tc>
        <w:tc>
          <w:tcPr>
            <w:tcW w:w="4943" w:type="dxa"/>
          </w:tcPr>
          <w:p w:rsidR="00835FE2" w:rsidRPr="001D5DED" w:rsidRDefault="00835FE2" w:rsidP="00835FE2">
            <w:pPr>
              <w:jc w:val="center"/>
              <w:rPr>
                <w:b/>
              </w:rPr>
            </w:pPr>
            <w:bookmarkStart w:id="16" w:name="lt_pId067"/>
            <w:r>
              <w:rPr>
                <w:rFonts w:hint="eastAsia"/>
                <w:b/>
                <w:lang w:eastAsia="zh-CN"/>
              </w:rPr>
              <w:t>针对注册联系人</w:t>
            </w:r>
            <w:bookmarkEnd w:id="16"/>
          </w:p>
        </w:tc>
      </w:tr>
      <w:tr w:rsidR="00835FE2" w:rsidTr="00835FE2">
        <w:trPr>
          <w:jc w:val="center"/>
        </w:trPr>
        <w:tc>
          <w:tcPr>
            <w:tcW w:w="5002" w:type="dxa"/>
          </w:tcPr>
          <w:p w:rsidR="00835FE2" w:rsidRPr="001D5DED" w:rsidRDefault="00835FE2" w:rsidP="000602CD">
            <w:pPr>
              <w:rPr>
                <w:lang w:eastAsia="zh-CN"/>
              </w:rPr>
            </w:pPr>
            <w:bookmarkStart w:id="17" w:name="lt_pId068"/>
            <w:r>
              <w:rPr>
                <w:rFonts w:hint="eastAsia"/>
                <w:lang w:eastAsia="zh-CN"/>
              </w:rPr>
              <w:t>与会者采用提供的注册链接进入注册系统并采用其国际电联用户帐户证书（</w:t>
            </w:r>
            <w:r w:rsidRPr="001D5DED">
              <w:rPr>
                <w:lang w:eastAsia="zh-CN"/>
              </w:rPr>
              <w:t xml:space="preserve">TIES </w:t>
            </w:r>
            <w:r>
              <w:rPr>
                <w:rFonts w:hint="eastAsia"/>
                <w:lang w:eastAsia="zh-CN"/>
              </w:rPr>
              <w:t>或</w:t>
            </w:r>
            <w:r w:rsidRPr="001D5DED">
              <w:rPr>
                <w:lang w:eastAsia="zh-CN"/>
              </w:rPr>
              <w:t>Guest</w:t>
            </w:r>
            <w:r>
              <w:rPr>
                <w:rFonts w:hint="eastAsia"/>
                <w:lang w:eastAsia="zh-CN"/>
              </w:rPr>
              <w:t>）登录系统</w:t>
            </w:r>
            <w:r w:rsidRPr="001D5DED">
              <w:rPr>
                <w:lang w:eastAsia="zh-CN"/>
              </w:rPr>
              <w:t>*</w:t>
            </w:r>
            <w:bookmarkEnd w:id="17"/>
            <w:r>
              <w:rPr>
                <w:rFonts w:hint="eastAsia"/>
                <w:lang w:eastAsia="zh-CN"/>
              </w:rPr>
              <w:t>。</w:t>
            </w:r>
            <w:bookmarkStart w:id="18" w:name="lt_pId069"/>
            <w:r>
              <w:rPr>
                <w:rFonts w:hint="eastAsia"/>
                <w:lang w:eastAsia="zh-CN"/>
              </w:rPr>
              <w:t>已有的用户详细信息将自动预填到表格中。一旦与会者提交了注册申请，他们将收到一份电子邮件确认，告知其</w:t>
            </w:r>
            <w:r w:rsidR="000602CD">
              <w:rPr>
                <w:rFonts w:hint="eastAsia"/>
                <w:lang w:eastAsia="zh-CN"/>
              </w:rPr>
              <w:t>申请正在等待其注册联系人的审核。</w:t>
            </w:r>
            <w:bookmarkEnd w:id="18"/>
          </w:p>
          <w:p w:rsidR="00C71797" w:rsidRDefault="000602CD" w:rsidP="00C71797">
            <w:pPr>
              <w:rPr>
                <w:lang w:eastAsia="zh-CN"/>
              </w:rPr>
            </w:pPr>
            <w:bookmarkStart w:id="19" w:name="lt_pId071"/>
            <w:r>
              <w:rPr>
                <w:rFonts w:hint="eastAsia"/>
                <w:lang w:eastAsia="zh-CN"/>
              </w:rPr>
              <w:t>一旦成员联系人审查了该申请，与会者将收到确认</w:t>
            </w:r>
            <w:r>
              <w:rPr>
                <w:rFonts w:hint="eastAsia"/>
                <w:lang w:eastAsia="zh-CN"/>
              </w:rPr>
              <w:t>/</w:t>
            </w:r>
            <w:r>
              <w:rPr>
                <w:rFonts w:hint="eastAsia"/>
                <w:lang w:eastAsia="zh-CN"/>
              </w:rPr>
              <w:t>拒绝电子邮件。</w:t>
            </w:r>
            <w:bookmarkStart w:id="20" w:name="lt_pId072"/>
            <w:bookmarkEnd w:id="19"/>
          </w:p>
          <w:p w:rsidR="00835FE2" w:rsidRPr="001D5DED" w:rsidRDefault="00835FE2" w:rsidP="00C71797">
            <w:pPr>
              <w:rPr>
                <w:lang w:eastAsia="zh-CN"/>
              </w:rPr>
            </w:pPr>
            <w:r w:rsidRPr="001D5DED">
              <w:rPr>
                <w:lang w:eastAsia="zh-CN"/>
              </w:rPr>
              <w:t xml:space="preserve">* </w:t>
            </w:r>
            <w:r w:rsidR="000602CD">
              <w:rPr>
                <w:rFonts w:hint="eastAsia"/>
                <w:lang w:eastAsia="zh-CN"/>
              </w:rPr>
              <w:t>可</w:t>
            </w:r>
            <w:hyperlink r:id="rId13" w:history="1">
              <w:r w:rsidR="000602CD">
                <w:rPr>
                  <w:rStyle w:val="Hyperlink"/>
                  <w:lang w:eastAsia="zh-CN"/>
                </w:rPr>
                <w:t>在此</w:t>
              </w:r>
            </w:hyperlink>
            <w:r w:rsidR="000602CD">
              <w:rPr>
                <w:rFonts w:hint="eastAsia"/>
                <w:lang w:eastAsia="zh-CN"/>
              </w:rPr>
              <w:t>创建或更新帐户。</w:t>
            </w:r>
            <w:bookmarkEnd w:id="20"/>
          </w:p>
        </w:tc>
        <w:tc>
          <w:tcPr>
            <w:tcW w:w="4943" w:type="dxa"/>
          </w:tcPr>
          <w:p w:rsidR="00835FE2" w:rsidRPr="001D5DED" w:rsidRDefault="000602CD" w:rsidP="00557344">
            <w:pPr>
              <w:rPr>
                <w:lang w:eastAsia="zh-CN"/>
              </w:rPr>
            </w:pPr>
            <w:bookmarkStart w:id="21" w:name="lt_pId073"/>
            <w:r>
              <w:rPr>
                <w:rFonts w:hint="eastAsia"/>
                <w:lang w:eastAsia="zh-CN"/>
              </w:rPr>
              <w:t>注册联系人采用其现有的</w:t>
            </w:r>
            <w:r>
              <w:rPr>
                <w:rFonts w:hint="eastAsia"/>
                <w:lang w:eastAsia="zh-CN"/>
              </w:rPr>
              <w:t>TIES</w:t>
            </w:r>
            <w:r>
              <w:rPr>
                <w:rFonts w:hint="eastAsia"/>
                <w:lang w:eastAsia="zh-CN"/>
              </w:rPr>
              <w:t>帐户访问国际电联网站的一个专门网页，</w:t>
            </w:r>
            <w:r w:rsidR="00557344">
              <w:rPr>
                <w:rFonts w:hint="eastAsia"/>
                <w:lang w:eastAsia="zh-CN"/>
              </w:rPr>
              <w:t>以确认或拒绝其所在组织同仁提交的注册申请。</w:t>
            </w:r>
            <w:bookmarkStart w:id="22" w:name="lt_pId074"/>
            <w:bookmarkEnd w:id="21"/>
            <w:r w:rsidR="00557344">
              <w:rPr>
                <w:rFonts w:hint="eastAsia"/>
                <w:lang w:eastAsia="zh-CN"/>
              </w:rPr>
              <w:t>国际电联将提供必要的访问许可及如何设置、使用系统，以批准或拒绝申请的详细指南。</w:t>
            </w:r>
            <w:bookmarkEnd w:id="22"/>
          </w:p>
          <w:p w:rsidR="00835FE2" w:rsidRPr="008576F5" w:rsidRDefault="00557344" w:rsidP="00557344">
            <w:pPr>
              <w:rPr>
                <w:lang w:eastAsia="zh-CN"/>
              </w:rPr>
            </w:pPr>
            <w:bookmarkStart w:id="23" w:name="lt_pId075"/>
            <w:r>
              <w:rPr>
                <w:rFonts w:hint="eastAsia"/>
                <w:lang w:eastAsia="zh-CN"/>
              </w:rPr>
              <w:t>应通过</w:t>
            </w:r>
            <w:hyperlink r:id="rId14" w:history="1">
              <w:r w:rsidRPr="001D5DED">
                <w:rPr>
                  <w:rStyle w:val="Hyperlink"/>
                </w:rPr>
                <w:t>ITU-Tmembership@itu.int</w:t>
              </w:r>
            </w:hyperlink>
            <w:r>
              <w:rPr>
                <w:rFonts w:hint="eastAsia"/>
                <w:lang w:eastAsia="zh-CN"/>
              </w:rPr>
              <w:t>与</w:t>
            </w:r>
            <w:r w:rsidR="00835FE2" w:rsidRPr="001D5DED">
              <w:t>ITU-T</w:t>
            </w:r>
            <w:r>
              <w:rPr>
                <w:rFonts w:hint="eastAsia"/>
                <w:lang w:eastAsia="zh-CN"/>
              </w:rPr>
              <w:t>成员服务团队联系更新</w:t>
            </w:r>
            <w:r>
              <w:rPr>
                <w:rFonts w:hint="eastAsia"/>
                <w:lang w:eastAsia="zh-CN"/>
              </w:rPr>
              <w:t>ITU-T</w:t>
            </w:r>
            <w:r>
              <w:rPr>
                <w:rFonts w:hint="eastAsia"/>
                <w:lang w:eastAsia="zh-CN"/>
              </w:rPr>
              <w:t>活动的注册联系人。</w:t>
            </w:r>
            <w:bookmarkStart w:id="24" w:name="lt_pId076"/>
            <w:bookmarkEnd w:id="23"/>
            <w:r>
              <w:rPr>
                <w:rFonts w:hint="eastAsia"/>
                <w:lang w:eastAsia="zh-CN"/>
              </w:rPr>
              <w:t>有关该系统的其他事宜，请联系：</w:t>
            </w:r>
            <w:hyperlink r:id="rId15" w:history="1">
              <w:r w:rsidR="00835FE2" w:rsidRPr="001D5DED">
                <w:rPr>
                  <w:rStyle w:val="Hyperlink"/>
                  <w:lang w:eastAsia="zh-CN"/>
                </w:rPr>
                <w:t>tsbreg@itu.int</w:t>
              </w:r>
            </w:hyperlink>
            <w:bookmarkEnd w:id="24"/>
            <w:r>
              <w:rPr>
                <w:rFonts w:hint="eastAsia"/>
                <w:lang w:eastAsia="zh-CN"/>
              </w:rPr>
              <w:t>。</w:t>
            </w:r>
          </w:p>
        </w:tc>
      </w:tr>
      <w:tr w:rsidR="00835FE2" w:rsidTr="00835FE2">
        <w:trPr>
          <w:jc w:val="center"/>
        </w:trPr>
        <w:tc>
          <w:tcPr>
            <w:tcW w:w="9945" w:type="dxa"/>
            <w:gridSpan w:val="2"/>
          </w:tcPr>
          <w:p w:rsidR="00835FE2" w:rsidRPr="008576F5" w:rsidRDefault="00557344" w:rsidP="009F0F4C">
            <w:pPr>
              <w:tabs>
                <w:tab w:val="left" w:pos="4319"/>
              </w:tabs>
              <w:spacing w:after="120"/>
              <w:jc w:val="center"/>
            </w:pPr>
            <w:r w:rsidRPr="00557344">
              <w:rPr>
                <w:noProof/>
                <w:lang w:val="en-US" w:eastAsia="zh-CN"/>
              </w:rPr>
              <w:drawing>
                <wp:inline distT="0" distB="0" distL="0" distR="0" wp14:anchorId="4F0D79B9" wp14:editId="48AF6FBB">
                  <wp:extent cx="5943600" cy="3533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54541" cy="3539848"/>
                          </a:xfrm>
                          <a:prstGeom prst="rect">
                            <a:avLst/>
                          </a:prstGeom>
                        </pic:spPr>
                      </pic:pic>
                    </a:graphicData>
                  </a:graphic>
                </wp:inline>
              </w:drawing>
            </w:r>
          </w:p>
        </w:tc>
      </w:tr>
    </w:tbl>
    <w:p w:rsidR="00250E2C" w:rsidRDefault="00250E2C" w:rsidP="00C71797">
      <w:pPr>
        <w:spacing w:before="360"/>
        <w:jc w:val="center"/>
        <w:rPr>
          <w:b/>
          <w:bCs/>
          <w:szCs w:val="24"/>
          <w:lang w:eastAsia="zh-CN"/>
        </w:rPr>
      </w:pPr>
    </w:p>
    <w:p w:rsidR="00C71797" w:rsidRDefault="00C71797" w:rsidP="0032202E">
      <w:pPr>
        <w:pStyle w:val="Reasons"/>
      </w:pPr>
    </w:p>
    <w:p w:rsidR="00C71797" w:rsidRDefault="00C71797">
      <w:pPr>
        <w:jc w:val="center"/>
      </w:pPr>
      <w:r>
        <w:t>______________</w:t>
      </w:r>
    </w:p>
    <w:p w:rsidR="00C71797" w:rsidRDefault="00C71797" w:rsidP="00C71797">
      <w:pPr>
        <w:spacing w:before="360"/>
        <w:jc w:val="center"/>
        <w:rPr>
          <w:b/>
          <w:bCs/>
          <w:szCs w:val="24"/>
          <w:lang w:eastAsia="zh-CN"/>
        </w:rPr>
      </w:pPr>
    </w:p>
    <w:sectPr w:rsidR="00C71797" w:rsidSect="00C43D7F">
      <w:headerReference w:type="even" r:id="rId17"/>
      <w:headerReference w:type="default" r:id="rId18"/>
      <w:footerReference w:type="first" r:id="rId19"/>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44" w:rsidRDefault="00557344">
      <w:r>
        <w:separator/>
      </w:r>
    </w:p>
  </w:endnote>
  <w:endnote w:type="continuationSeparator" w:id="0">
    <w:p w:rsidR="00557344" w:rsidRDefault="0055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4" w:rsidRPr="00FC2010" w:rsidRDefault="00557344" w:rsidP="002C57A5">
    <w:pPr>
      <w:pStyle w:val="FirstFooter"/>
      <w:ind w:left="-397" w:right="-397"/>
      <w:jc w:val="center"/>
      <w:rPr>
        <w:rFonts w:asciiTheme="minorHAnsi" w:hAnsiTheme="minorHAnsi"/>
        <w:sz w:val="18"/>
        <w:szCs w:val="18"/>
      </w:rPr>
    </w:pPr>
    <w:r w:rsidRPr="00FC2010">
      <w:rPr>
        <w:rFonts w:asciiTheme="minorHAnsi" w:hAnsiTheme="minorHAnsi"/>
        <w:sz w:val="18"/>
        <w:szCs w:val="18"/>
        <w:lang w:val="fr-CH"/>
      </w:rPr>
      <w:t>International Telecommunication Union • Place des Nations • CH</w:t>
    </w:r>
    <w:r w:rsidRPr="00FC2010">
      <w:rPr>
        <w:rFonts w:asciiTheme="minorHAnsi" w:hAnsiTheme="minorHAnsi"/>
        <w:sz w:val="18"/>
        <w:szCs w:val="18"/>
        <w:lang w:val="fr-CH"/>
      </w:rPr>
      <w:noBreakHyphen/>
      <w:t xml:space="preserve">1211 Geneva 20 • Switzerland </w:t>
    </w:r>
    <w:r w:rsidRPr="00FC2010">
      <w:rPr>
        <w:rFonts w:asciiTheme="minorHAnsi" w:hAnsiTheme="minorHAnsi"/>
        <w:sz w:val="18"/>
        <w:szCs w:val="18"/>
        <w:lang w:val="fr-CH"/>
      </w:rPr>
      <w:br/>
      <w:t xml:space="preserve">Tel: +41 22 730 5111 • Fax: +41 22 733 7256 • E-mail: </w:t>
    </w:r>
    <w:hyperlink r:id="rId1" w:history="1">
      <w:r w:rsidRPr="00FC2010">
        <w:rPr>
          <w:rStyle w:val="Hyperlink"/>
          <w:rFonts w:asciiTheme="minorHAnsi" w:hAnsiTheme="minorHAnsi"/>
          <w:sz w:val="18"/>
          <w:szCs w:val="18"/>
          <w:lang w:val="fr-CH"/>
        </w:rPr>
        <w:t>itumail@itu.int</w:t>
      </w:r>
    </w:hyperlink>
    <w:r w:rsidRPr="00FC2010">
      <w:rPr>
        <w:rFonts w:asciiTheme="minorHAnsi" w:hAnsiTheme="minorHAnsi"/>
        <w:sz w:val="18"/>
        <w:szCs w:val="18"/>
        <w:lang w:val="fr-CH"/>
      </w:rPr>
      <w:t xml:space="preserve"> • </w:t>
    </w:r>
    <w:hyperlink r:id="rId2" w:history="1">
      <w:r w:rsidRPr="00FC2010">
        <w:rPr>
          <w:rStyle w:val="Hyperlink"/>
          <w:rFonts w:asciiTheme="minorHAnsi" w:hAnsiTheme="minorHAns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44" w:rsidRDefault="00557344">
      <w:r>
        <w:separator/>
      </w:r>
    </w:p>
  </w:footnote>
  <w:footnote w:type="continuationSeparator" w:id="0">
    <w:p w:rsidR="00557344" w:rsidRDefault="0055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4" w:rsidRDefault="00557344">
    <w:pPr>
      <w:pStyle w:val="Header"/>
    </w:pPr>
  </w:p>
  <w:p w:rsidR="00557344" w:rsidRDefault="005573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4" w:rsidRPr="002C2EDC" w:rsidRDefault="007D5ED1" w:rsidP="00EE7294">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557344" w:rsidRPr="002C2EDC">
          <w:rPr>
            <w:rFonts w:ascii="Calibri" w:eastAsia="Times New Roman" w:hAnsi="Calibri"/>
            <w:noProof/>
            <w:sz w:val="18"/>
          </w:rPr>
          <w:t>-</w:t>
        </w:r>
        <w:r w:rsidR="00557344" w:rsidRPr="002C2EDC">
          <w:rPr>
            <w:rFonts w:ascii="Calibri" w:eastAsia="Times New Roman" w:hAnsi="Calibri"/>
            <w:sz w:val="18"/>
          </w:rPr>
          <w:t xml:space="preserve"> </w:t>
        </w:r>
        <w:r w:rsidR="00557344" w:rsidRPr="002C2EDC">
          <w:rPr>
            <w:rFonts w:ascii="Calibri" w:eastAsia="Times New Roman" w:hAnsi="Calibri"/>
            <w:sz w:val="18"/>
          </w:rPr>
          <w:fldChar w:fldCharType="begin"/>
        </w:r>
        <w:r w:rsidR="00557344" w:rsidRPr="002C2EDC">
          <w:rPr>
            <w:rFonts w:ascii="Calibri" w:eastAsia="Times New Roman" w:hAnsi="Calibri"/>
            <w:sz w:val="18"/>
          </w:rPr>
          <w:instrText xml:space="preserve"> PAGE   \* MERGEFORMAT </w:instrText>
        </w:r>
        <w:r w:rsidR="00557344" w:rsidRPr="002C2EDC">
          <w:rPr>
            <w:rFonts w:ascii="Calibri" w:eastAsia="Times New Roman" w:hAnsi="Calibri"/>
            <w:sz w:val="18"/>
          </w:rPr>
          <w:fldChar w:fldCharType="separate"/>
        </w:r>
        <w:r>
          <w:rPr>
            <w:rFonts w:ascii="Calibri" w:eastAsia="Times New Roman" w:hAnsi="Calibri"/>
            <w:noProof/>
            <w:sz w:val="18"/>
          </w:rPr>
          <w:t>2</w:t>
        </w:r>
        <w:r w:rsidR="00557344" w:rsidRPr="002C2EDC">
          <w:rPr>
            <w:rFonts w:ascii="Calibri" w:eastAsia="Times New Roman" w:hAnsi="Calibri"/>
            <w:noProof/>
            <w:sz w:val="18"/>
          </w:rPr>
          <w:fldChar w:fldCharType="end"/>
        </w:r>
      </w:sdtContent>
    </w:sdt>
    <w:r w:rsidR="00557344" w:rsidRPr="002C2EDC">
      <w:rPr>
        <w:rFonts w:ascii="Calibri" w:eastAsia="Times New Roman" w:hAnsi="Calibri"/>
        <w:noProof/>
        <w:sz w:val="18"/>
      </w:rPr>
      <w:t xml:space="preserve"> -</w:t>
    </w:r>
  </w:p>
  <w:p w:rsidR="00557344" w:rsidRPr="00EE7294" w:rsidRDefault="00557344" w:rsidP="005E720F">
    <w:pPr>
      <w:pStyle w:val="Header"/>
      <w:spacing w:after="240"/>
    </w:pPr>
    <w:r w:rsidRPr="00997B88">
      <w:rPr>
        <w:rFonts w:eastAsiaTheme="minorEastAsia" w:cs="Microsoft YaHei"/>
        <w:noProof/>
        <w:sz w:val="18"/>
      </w:rPr>
      <w:t>电信标准化局第</w:t>
    </w:r>
    <w:r>
      <w:rPr>
        <w:rFonts w:eastAsiaTheme="minorEastAsia"/>
        <w:noProof/>
        <w:sz w:val="18"/>
      </w:rPr>
      <w:t>6</w:t>
    </w:r>
    <w:r w:rsidR="005E720F">
      <w:rPr>
        <w:rFonts w:eastAsiaTheme="minorEastAsia" w:hint="eastAsia"/>
        <w:noProof/>
        <w:sz w:val="18"/>
        <w:lang w:eastAsia="zh-CN"/>
      </w:rPr>
      <w:t>8</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02024"/>
    <w:rsid w:val="00005A18"/>
    <w:rsid w:val="00027EE3"/>
    <w:rsid w:val="00046AC9"/>
    <w:rsid w:val="00054383"/>
    <w:rsid w:val="000602CD"/>
    <w:rsid w:val="00063269"/>
    <w:rsid w:val="0008011B"/>
    <w:rsid w:val="00081BA5"/>
    <w:rsid w:val="00084511"/>
    <w:rsid w:val="00090E72"/>
    <w:rsid w:val="00094C0B"/>
    <w:rsid w:val="00096F2F"/>
    <w:rsid w:val="000A2484"/>
    <w:rsid w:val="000B1022"/>
    <w:rsid w:val="000D7773"/>
    <w:rsid w:val="000E0173"/>
    <w:rsid w:val="00103C5C"/>
    <w:rsid w:val="00107A6A"/>
    <w:rsid w:val="00117471"/>
    <w:rsid w:val="00132DA1"/>
    <w:rsid w:val="00133586"/>
    <w:rsid w:val="00146C47"/>
    <w:rsid w:val="00160A43"/>
    <w:rsid w:val="00161A63"/>
    <w:rsid w:val="0017378D"/>
    <w:rsid w:val="001A2BF1"/>
    <w:rsid w:val="001B3ADB"/>
    <w:rsid w:val="001D17F0"/>
    <w:rsid w:val="001D6E70"/>
    <w:rsid w:val="001E1AB0"/>
    <w:rsid w:val="001E6394"/>
    <w:rsid w:val="001F0A46"/>
    <w:rsid w:val="001F0A8F"/>
    <w:rsid w:val="002161F1"/>
    <w:rsid w:val="00234A9B"/>
    <w:rsid w:val="00234E88"/>
    <w:rsid w:val="00242ECD"/>
    <w:rsid w:val="00246DC3"/>
    <w:rsid w:val="00250E2C"/>
    <w:rsid w:val="00260540"/>
    <w:rsid w:val="00264966"/>
    <w:rsid w:val="00282732"/>
    <w:rsid w:val="00284869"/>
    <w:rsid w:val="002A7507"/>
    <w:rsid w:val="002C3307"/>
    <w:rsid w:val="002C57A5"/>
    <w:rsid w:val="002D5FD6"/>
    <w:rsid w:val="002E05E3"/>
    <w:rsid w:val="002F3F12"/>
    <w:rsid w:val="002F6050"/>
    <w:rsid w:val="00303A2A"/>
    <w:rsid w:val="003064AD"/>
    <w:rsid w:val="003272D2"/>
    <w:rsid w:val="00334A24"/>
    <w:rsid w:val="0035674D"/>
    <w:rsid w:val="003960C5"/>
    <w:rsid w:val="003C2BDA"/>
    <w:rsid w:val="003C7F1B"/>
    <w:rsid w:val="003D2BCE"/>
    <w:rsid w:val="003E6F2D"/>
    <w:rsid w:val="003F1449"/>
    <w:rsid w:val="003F1CCA"/>
    <w:rsid w:val="003F3694"/>
    <w:rsid w:val="004115C8"/>
    <w:rsid w:val="00423352"/>
    <w:rsid w:val="0042702E"/>
    <w:rsid w:val="00460BD0"/>
    <w:rsid w:val="00464015"/>
    <w:rsid w:val="00486359"/>
    <w:rsid w:val="004967A0"/>
    <w:rsid w:val="004C4F49"/>
    <w:rsid w:val="004E61E3"/>
    <w:rsid w:val="004E7B27"/>
    <w:rsid w:val="00501436"/>
    <w:rsid w:val="00557344"/>
    <w:rsid w:val="0056389D"/>
    <w:rsid w:val="00572F80"/>
    <w:rsid w:val="005863D0"/>
    <w:rsid w:val="00590119"/>
    <w:rsid w:val="005C1D57"/>
    <w:rsid w:val="005C26FD"/>
    <w:rsid w:val="005E2A1F"/>
    <w:rsid w:val="005E720F"/>
    <w:rsid w:val="0060313D"/>
    <w:rsid w:val="00616474"/>
    <w:rsid w:val="00624880"/>
    <w:rsid w:val="00627AE8"/>
    <w:rsid w:val="0063445E"/>
    <w:rsid w:val="006973E0"/>
    <w:rsid w:val="006A4A7F"/>
    <w:rsid w:val="006B463C"/>
    <w:rsid w:val="006C3E4B"/>
    <w:rsid w:val="006D22B1"/>
    <w:rsid w:val="006D42C6"/>
    <w:rsid w:val="006E1157"/>
    <w:rsid w:val="00730BF1"/>
    <w:rsid w:val="007568DA"/>
    <w:rsid w:val="0076181F"/>
    <w:rsid w:val="00771C63"/>
    <w:rsid w:val="007B248B"/>
    <w:rsid w:val="007D5ED1"/>
    <w:rsid w:val="007E427B"/>
    <w:rsid w:val="008000E9"/>
    <w:rsid w:val="00830772"/>
    <w:rsid w:val="00835FE2"/>
    <w:rsid w:val="00841612"/>
    <w:rsid w:val="0084436D"/>
    <w:rsid w:val="00850040"/>
    <w:rsid w:val="00856C45"/>
    <w:rsid w:val="008729D8"/>
    <w:rsid w:val="008B2BDA"/>
    <w:rsid w:val="008D4E41"/>
    <w:rsid w:val="008D7CF5"/>
    <w:rsid w:val="00904CDB"/>
    <w:rsid w:val="009128F1"/>
    <w:rsid w:val="00926E6D"/>
    <w:rsid w:val="00930BB2"/>
    <w:rsid w:val="009424FC"/>
    <w:rsid w:val="00942D2A"/>
    <w:rsid w:val="009551D3"/>
    <w:rsid w:val="00956D38"/>
    <w:rsid w:val="009642E9"/>
    <w:rsid w:val="009654BB"/>
    <w:rsid w:val="009727EA"/>
    <w:rsid w:val="00974486"/>
    <w:rsid w:val="00995B5D"/>
    <w:rsid w:val="009A5C41"/>
    <w:rsid w:val="009B7DE2"/>
    <w:rsid w:val="009C0979"/>
    <w:rsid w:val="009C2FF6"/>
    <w:rsid w:val="009C477A"/>
    <w:rsid w:val="009C69B6"/>
    <w:rsid w:val="009C7E13"/>
    <w:rsid w:val="009E1579"/>
    <w:rsid w:val="009E25ED"/>
    <w:rsid w:val="009F0F4C"/>
    <w:rsid w:val="009F607F"/>
    <w:rsid w:val="00A045AF"/>
    <w:rsid w:val="00A1090D"/>
    <w:rsid w:val="00A16AB0"/>
    <w:rsid w:val="00A221D3"/>
    <w:rsid w:val="00A32510"/>
    <w:rsid w:val="00A535BE"/>
    <w:rsid w:val="00A55D76"/>
    <w:rsid w:val="00A7185C"/>
    <w:rsid w:val="00A85D47"/>
    <w:rsid w:val="00B01F79"/>
    <w:rsid w:val="00B25266"/>
    <w:rsid w:val="00B36F7E"/>
    <w:rsid w:val="00B44EAB"/>
    <w:rsid w:val="00B56B75"/>
    <w:rsid w:val="00B753A5"/>
    <w:rsid w:val="00B75F95"/>
    <w:rsid w:val="00B85625"/>
    <w:rsid w:val="00B92061"/>
    <w:rsid w:val="00BB0E06"/>
    <w:rsid w:val="00BB5392"/>
    <w:rsid w:val="00BC7AEE"/>
    <w:rsid w:val="00BE339D"/>
    <w:rsid w:val="00BE407B"/>
    <w:rsid w:val="00BE52D1"/>
    <w:rsid w:val="00BE71CB"/>
    <w:rsid w:val="00BF43F7"/>
    <w:rsid w:val="00C03E87"/>
    <w:rsid w:val="00C0550B"/>
    <w:rsid w:val="00C16BE1"/>
    <w:rsid w:val="00C26518"/>
    <w:rsid w:val="00C43D7F"/>
    <w:rsid w:val="00C6016A"/>
    <w:rsid w:val="00C7008A"/>
    <w:rsid w:val="00C71304"/>
    <w:rsid w:val="00C71797"/>
    <w:rsid w:val="00C77729"/>
    <w:rsid w:val="00C8459F"/>
    <w:rsid w:val="00C84D02"/>
    <w:rsid w:val="00C916ED"/>
    <w:rsid w:val="00CB7B8A"/>
    <w:rsid w:val="00CC49B0"/>
    <w:rsid w:val="00CD7912"/>
    <w:rsid w:val="00CE720C"/>
    <w:rsid w:val="00CE7C9D"/>
    <w:rsid w:val="00D11D52"/>
    <w:rsid w:val="00D16F47"/>
    <w:rsid w:val="00D34F86"/>
    <w:rsid w:val="00D3592A"/>
    <w:rsid w:val="00D63A6C"/>
    <w:rsid w:val="00D71F00"/>
    <w:rsid w:val="00D827EF"/>
    <w:rsid w:val="00D82EFF"/>
    <w:rsid w:val="00D862BA"/>
    <w:rsid w:val="00D92207"/>
    <w:rsid w:val="00DB0888"/>
    <w:rsid w:val="00DB7E57"/>
    <w:rsid w:val="00DD4F0C"/>
    <w:rsid w:val="00DD7DF4"/>
    <w:rsid w:val="00DE64D9"/>
    <w:rsid w:val="00DF52EF"/>
    <w:rsid w:val="00E11DBB"/>
    <w:rsid w:val="00E33628"/>
    <w:rsid w:val="00E35907"/>
    <w:rsid w:val="00E3761C"/>
    <w:rsid w:val="00E41E39"/>
    <w:rsid w:val="00E43BFB"/>
    <w:rsid w:val="00E44DFF"/>
    <w:rsid w:val="00E47AFF"/>
    <w:rsid w:val="00E50139"/>
    <w:rsid w:val="00E574AA"/>
    <w:rsid w:val="00E579D9"/>
    <w:rsid w:val="00E818CD"/>
    <w:rsid w:val="00E9172B"/>
    <w:rsid w:val="00EC7B15"/>
    <w:rsid w:val="00EE480E"/>
    <w:rsid w:val="00EE7294"/>
    <w:rsid w:val="00F06584"/>
    <w:rsid w:val="00F07A3C"/>
    <w:rsid w:val="00F346AB"/>
    <w:rsid w:val="00F92859"/>
    <w:rsid w:val="00F9383A"/>
    <w:rsid w:val="00FA1545"/>
    <w:rsid w:val="00FC1685"/>
    <w:rsid w:val="00FC2010"/>
    <w:rsid w:val="00FD6891"/>
    <w:rsid w:val="00FE3FCB"/>
    <w:rsid w:val="00FF3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98D4B99-DA89-4CDA-B4D5-42732F31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styleId="BalloonText">
    <w:name w:val="Balloon Text"/>
    <w:basedOn w:val="Normal"/>
    <w:link w:val="BalloonTextChar"/>
    <w:semiHidden/>
    <w:unhideWhenUsed/>
    <w:rsid w:val="00D71F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F00"/>
    <w:rPr>
      <w:rFonts w:ascii="Segoe UI" w:hAnsi="Segoe UI" w:cs="Segoe UI"/>
      <w:sz w:val="18"/>
      <w:szCs w:val="18"/>
      <w:lang w:val="en-GB" w:eastAsia="en-US"/>
    </w:rPr>
  </w:style>
  <w:style w:type="paragraph" w:styleId="BodyText2">
    <w:name w:val="Body Text 2"/>
    <w:basedOn w:val="Normal"/>
    <w:link w:val="BodyText2Char"/>
    <w:unhideWhenUsed/>
    <w:rsid w:val="002D5FD6"/>
    <w:pPr>
      <w:spacing w:after="120" w:line="480" w:lineRule="auto"/>
    </w:pPr>
  </w:style>
  <w:style w:type="character" w:customStyle="1" w:styleId="BodyText2Char">
    <w:name w:val="Body Text 2 Char"/>
    <w:basedOn w:val="DefaultParagraphFont"/>
    <w:link w:val="BodyText2"/>
    <w:rsid w:val="002D5FD6"/>
    <w:rPr>
      <w:rFonts w:asciiTheme="minorHAnsi" w:hAnsiTheme="minorHAnsi"/>
      <w:sz w:val="24"/>
      <w:lang w:val="en-GB" w:eastAsia="en-US"/>
    </w:rPr>
  </w:style>
  <w:style w:type="paragraph" w:customStyle="1" w:styleId="Normalaftertitle">
    <w:name w:val="Normal after title"/>
    <w:basedOn w:val="Normal"/>
    <w:next w:val="Normal"/>
    <w:rsid w:val="00250E2C"/>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st1">
    <w:name w:val="st1"/>
    <w:basedOn w:val="DefaultParagraphFont"/>
    <w:rsid w:val="009E1579"/>
  </w:style>
  <w:style w:type="paragraph" w:customStyle="1" w:styleId="AnnexNo">
    <w:name w:val="Annex_No"/>
    <w:basedOn w:val="Normal"/>
    <w:next w:val="Normal"/>
    <w:rsid w:val="00835FE2"/>
    <w:pPr>
      <w:keepNext/>
      <w:keepLines/>
      <w:spacing w:before="480" w:after="80"/>
      <w:jc w:val="center"/>
    </w:pPr>
    <w:rPr>
      <w:rFonts w:ascii="Calibri" w:eastAsia="Times New Roman" w:hAnsi="Calibri"/>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393">
      <w:bodyDiv w:val="1"/>
      <w:marLeft w:val="0"/>
      <w:marRight w:val="0"/>
      <w:marTop w:val="0"/>
      <w:marBottom w:val="0"/>
      <w:divBdr>
        <w:top w:val="none" w:sz="0" w:space="0" w:color="auto"/>
        <w:left w:val="none" w:sz="0" w:space="0" w:color="auto"/>
        <w:bottom w:val="none" w:sz="0" w:space="0" w:color="auto"/>
        <w:right w:val="none" w:sz="0" w:space="0" w:color="auto"/>
      </w:divBdr>
    </w:div>
    <w:div w:id="599603155">
      <w:bodyDiv w:val="1"/>
      <w:marLeft w:val="0"/>
      <w:marRight w:val="0"/>
      <w:marTop w:val="0"/>
      <w:marBottom w:val="0"/>
      <w:divBdr>
        <w:top w:val="none" w:sz="0" w:space="0" w:color="auto"/>
        <w:left w:val="none" w:sz="0" w:space="0" w:color="auto"/>
        <w:bottom w:val="none" w:sz="0" w:space="0" w:color="auto"/>
        <w:right w:val="none" w:sz="0" w:space="0" w:color="auto"/>
      </w:divBdr>
    </w:div>
    <w:div w:id="926425153">
      <w:bodyDiv w:val="1"/>
      <w:marLeft w:val="0"/>
      <w:marRight w:val="0"/>
      <w:marTop w:val="0"/>
      <w:marBottom w:val="0"/>
      <w:divBdr>
        <w:top w:val="none" w:sz="0" w:space="0" w:color="auto"/>
        <w:left w:val="none" w:sz="0" w:space="0" w:color="auto"/>
        <w:bottom w:val="none" w:sz="0" w:space="0" w:color="auto"/>
        <w:right w:val="none" w:sz="0" w:space="0" w:color="auto"/>
      </w:divBdr>
    </w:div>
    <w:div w:id="10596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ties-services/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Tmembership@itu.int"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tsbdir@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bsg@itu.int" TargetMode="External"/><Relationship Id="rId14" Type="http://schemas.openxmlformats.org/officeDocument/2006/relationships/hyperlink" Target="mailto:ITU-Tmembership@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1624-FB36-43AE-BD30-2704EC43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14</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1276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Osvath, Alexandra</cp:lastModifiedBy>
  <cp:revision>11</cp:revision>
  <cp:lastPrinted>2018-02-05T14:05:00Z</cp:lastPrinted>
  <dcterms:created xsi:type="dcterms:W3CDTF">2018-01-19T14:16:00Z</dcterms:created>
  <dcterms:modified xsi:type="dcterms:W3CDTF">2018-02-05T14:38:00Z</dcterms:modified>
</cp:coreProperties>
</file>