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22506B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C6C5A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C6C5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750E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50ECB">
              <w:rPr>
                <w:rFonts w:eastAsiaTheme="minorEastAsia"/>
                <w:lang w:eastAsia="zh-CN"/>
              </w:rPr>
              <w:t>26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750ECB">
              <w:rPr>
                <w:rFonts w:eastAsiaTheme="minorEastAsia" w:hint="cs"/>
                <w:rtl/>
                <w:lang w:eastAsia="zh-CN" w:bidi="ar-EG"/>
              </w:rPr>
              <w:t>مارس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750ECB">
              <w:rPr>
                <w:rFonts w:eastAsiaTheme="minorEastAsia"/>
                <w:lang w:eastAsia="zh-CN"/>
              </w:rPr>
              <w:t>2018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750E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750ECB">
              <w:rPr>
                <w:rFonts w:eastAsiaTheme="minorEastAsia"/>
                <w:b/>
                <w:lang w:eastAsia="zh-CN" w:bidi="ar-SY"/>
              </w:rPr>
              <w:t>74</w:t>
            </w:r>
          </w:p>
        </w:tc>
        <w:tc>
          <w:tcPr>
            <w:tcW w:w="2470" w:type="pct"/>
            <w:vMerge w:val="restart"/>
          </w:tcPr>
          <w:p w:rsidR="00A15845" w:rsidRPr="00750ECB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750ECB">
              <w:rPr>
                <w:rFonts w:hint="cs"/>
                <w:b/>
                <w:bCs/>
                <w:rtl/>
              </w:rPr>
              <w:t>إلى:</w:t>
            </w:r>
          </w:p>
          <w:p w:rsidR="00425492" w:rsidRPr="00750ECB" w:rsidRDefault="00425492" w:rsidP="00750EC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750ECB">
              <w:rPr>
                <w:rFonts w:hint="cs"/>
                <w:rtl/>
              </w:rPr>
              <w:t>-</w:t>
            </w:r>
            <w:r w:rsidRPr="00750ECB">
              <w:rPr>
                <w:rtl/>
              </w:rPr>
              <w:tab/>
            </w:r>
            <w:r w:rsidRPr="00750ECB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750E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750ECB">
              <w:rPr>
                <w:rFonts w:eastAsiaTheme="minorEastAsia"/>
                <w:lang w:eastAsia="zh-CN" w:bidi="ar-SY"/>
              </w:rPr>
              <w:t>5858</w:t>
            </w:r>
          </w:p>
        </w:tc>
        <w:tc>
          <w:tcPr>
            <w:tcW w:w="2470" w:type="pct"/>
            <w:vMerge/>
          </w:tcPr>
          <w:p w:rsidR="00A15845" w:rsidRPr="00750ECB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750E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750ECB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750ECB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6C1ADA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6C1ADA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6C1ADA" w:rsidRDefault="00DE7F69" w:rsidP="00750E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750ECB" w:rsidRPr="006C1ADA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tsbsg9@itu.int</w:t>
              </w:r>
            </w:hyperlink>
          </w:p>
        </w:tc>
        <w:tc>
          <w:tcPr>
            <w:tcW w:w="2470" w:type="pct"/>
          </w:tcPr>
          <w:p w:rsidR="00425492" w:rsidRPr="006C1ADA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6C1ADA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750ECB" w:rsidRPr="006C1ADA" w:rsidRDefault="00750ECB" w:rsidP="00750EC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C1ADA">
              <w:rPr>
                <w:rFonts w:hint="cs"/>
                <w:position w:val="2"/>
                <w:rtl/>
              </w:rPr>
              <w:t>-</w:t>
            </w:r>
            <w:r w:rsidRPr="006C1ADA">
              <w:rPr>
                <w:position w:val="2"/>
                <w:rtl/>
              </w:rPr>
              <w:tab/>
            </w:r>
            <w:r w:rsidRPr="006C1ADA">
              <w:rPr>
                <w:rFonts w:hint="cs"/>
                <w:position w:val="2"/>
                <w:rtl/>
              </w:rPr>
              <w:t>أعضاء قطاع تقييس الاتصالات؛</w:t>
            </w:r>
          </w:p>
          <w:p w:rsidR="00750ECB" w:rsidRPr="006C1ADA" w:rsidRDefault="00750ECB" w:rsidP="00750EC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C1ADA">
              <w:rPr>
                <w:rFonts w:hint="cs"/>
                <w:position w:val="2"/>
                <w:rtl/>
              </w:rPr>
              <w:t>-</w:t>
            </w:r>
            <w:r w:rsidRPr="006C1ADA">
              <w:rPr>
                <w:position w:val="2"/>
                <w:rtl/>
              </w:rPr>
              <w:tab/>
            </w:r>
            <w:r w:rsidRPr="006C1ADA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750ECB" w:rsidRPr="006C1ADA" w:rsidRDefault="00750ECB" w:rsidP="00750EC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1ADA">
              <w:rPr>
                <w:rFonts w:hint="cs"/>
                <w:position w:val="2"/>
                <w:rtl/>
              </w:rPr>
              <w:t>-</w:t>
            </w:r>
            <w:r w:rsidRPr="006C1ADA">
              <w:rPr>
                <w:position w:val="2"/>
                <w:rtl/>
                <w:lang w:bidi="ar-EG"/>
              </w:rPr>
              <w:tab/>
            </w:r>
            <w:r w:rsidRPr="006C1ADA">
              <w:rPr>
                <w:rFonts w:hint="cs"/>
                <w:position w:val="2"/>
                <w:rtl/>
                <w:lang w:bidi="ar-EG"/>
              </w:rPr>
              <w:t>الهيئات الأكاديمية المنضمة إلى الاتحاد؛</w:t>
            </w:r>
          </w:p>
          <w:p w:rsidR="00750ECB" w:rsidRPr="006C1ADA" w:rsidRDefault="00750ECB" w:rsidP="00750EC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1ADA">
              <w:rPr>
                <w:rFonts w:hint="cs"/>
                <w:position w:val="2"/>
                <w:rtl/>
              </w:rPr>
              <w:t>-</w:t>
            </w:r>
            <w:r w:rsidRPr="006C1ADA">
              <w:rPr>
                <w:position w:val="2"/>
                <w:rtl/>
              </w:rPr>
              <w:tab/>
            </w:r>
            <w:r w:rsidRPr="006C1ADA">
              <w:rPr>
                <w:rFonts w:hint="cs"/>
                <w:position w:val="2"/>
                <w:rtl/>
              </w:rPr>
              <w:t xml:space="preserve">رئيس لجنة الدراسات </w:t>
            </w:r>
            <w:r w:rsidRPr="006C1ADA">
              <w:rPr>
                <w:position w:val="2"/>
              </w:rPr>
              <w:t>9</w:t>
            </w:r>
            <w:r w:rsidRPr="006C1ADA">
              <w:rPr>
                <w:rFonts w:hint="cs"/>
                <w:position w:val="2"/>
                <w:rtl/>
                <w:lang w:bidi="ar-EG"/>
              </w:rPr>
              <w:t xml:space="preserve"> ونوابه؛</w:t>
            </w:r>
          </w:p>
          <w:p w:rsidR="00750ECB" w:rsidRPr="006C1ADA" w:rsidRDefault="00750ECB" w:rsidP="00750EC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C1ADA">
              <w:rPr>
                <w:rFonts w:hint="cs"/>
                <w:position w:val="2"/>
                <w:rtl/>
              </w:rPr>
              <w:t>-</w:t>
            </w:r>
            <w:r w:rsidRPr="006C1ADA">
              <w:rPr>
                <w:position w:val="2"/>
                <w:rtl/>
              </w:rPr>
              <w:tab/>
              <w:t>مدير مكتب تنمية الاتصالات</w:t>
            </w:r>
            <w:r w:rsidRPr="006C1ADA">
              <w:rPr>
                <w:rFonts w:hint="cs"/>
                <w:position w:val="2"/>
                <w:rtl/>
              </w:rPr>
              <w:t>؛</w:t>
            </w:r>
          </w:p>
          <w:p w:rsidR="00A15845" w:rsidRPr="006C1ADA" w:rsidRDefault="00750ECB" w:rsidP="00750EC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C1ADA">
              <w:rPr>
                <w:rFonts w:hint="cs"/>
                <w:position w:val="2"/>
                <w:rtl/>
              </w:rPr>
              <w:t>-</w:t>
            </w:r>
            <w:r w:rsidRPr="006C1AD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750ECB" w:rsidP="00750EC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750ECB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اقتراح إلغاء المسألة </w:t>
            </w:r>
            <w:r w:rsidRPr="00750ECB">
              <w:rPr>
                <w:rFonts w:eastAsiaTheme="minorEastAsia"/>
                <w:b/>
                <w:bCs/>
                <w:lang w:eastAsia="zh-CN"/>
              </w:rPr>
              <w:t>3/9</w:t>
            </w:r>
          </w:p>
        </w:tc>
      </w:tr>
    </w:tbl>
    <w:p w:rsidR="00A15845" w:rsidRPr="00A15845" w:rsidRDefault="00A15845" w:rsidP="00611278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750ECB" w:rsidRPr="006C1ADA" w:rsidRDefault="00750ECB" w:rsidP="006C1ADA">
      <w:pPr>
        <w:rPr>
          <w:rFonts w:eastAsiaTheme="minorEastAsia"/>
          <w:spacing w:val="-2"/>
          <w:rtl/>
          <w:lang w:eastAsia="zh-CN" w:bidi="ar-EG"/>
        </w:rPr>
      </w:pPr>
      <w:r w:rsidRPr="006C1ADA">
        <w:rPr>
          <w:rFonts w:eastAsiaTheme="minorEastAsia"/>
          <w:spacing w:val="-2"/>
          <w:lang w:eastAsia="zh-CN" w:bidi="ar-SY"/>
        </w:rPr>
        <w:t>1</w:t>
      </w:r>
      <w:r w:rsidRPr="006C1ADA">
        <w:rPr>
          <w:rFonts w:eastAsiaTheme="minorEastAsia"/>
          <w:spacing w:val="-2"/>
          <w:lang w:eastAsia="zh-CN" w:bidi="ar-SY"/>
        </w:rPr>
        <w:tab/>
      </w:r>
      <w:r w:rsidRPr="006C1ADA">
        <w:rPr>
          <w:rFonts w:eastAsiaTheme="minorEastAsia" w:hint="cs"/>
          <w:spacing w:val="-2"/>
          <w:rtl/>
          <w:lang w:eastAsia="zh-CN"/>
        </w:rPr>
        <w:t xml:space="preserve">بناءً على طلب رئيس لجنة الدراسات </w:t>
      </w:r>
      <w:r w:rsidRPr="006C1ADA">
        <w:rPr>
          <w:rFonts w:eastAsiaTheme="minorEastAsia"/>
          <w:spacing w:val="-2"/>
          <w:lang w:eastAsia="zh-CN" w:bidi="ar-SY"/>
        </w:rPr>
        <w:t>9</w:t>
      </w:r>
      <w:r w:rsidRPr="006C1ADA">
        <w:rPr>
          <w:rFonts w:eastAsiaTheme="minorEastAsia" w:hint="cs"/>
          <w:spacing w:val="-2"/>
          <w:rtl/>
          <w:lang w:eastAsia="zh-CN"/>
        </w:rPr>
        <w:t xml:space="preserve"> 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>"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الإرسال التلفزيوني والصوتي والشبكات الكبلية المتكاملة عريضة النطاق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>"،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 أتشرف بإعلامكم بأن لجنة الدراسات هذه اتفقت في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اجتماعها المعقود في جنيف من </w:t>
      </w:r>
      <w:r w:rsidRPr="006C1ADA">
        <w:rPr>
          <w:rFonts w:eastAsiaTheme="minorEastAsia"/>
          <w:spacing w:val="-2"/>
          <w:lang w:eastAsia="zh-CN" w:bidi="ar-SY"/>
        </w:rPr>
        <w:t>22</w:t>
      </w:r>
      <w:r w:rsidRPr="006C1ADA">
        <w:rPr>
          <w:rFonts w:eastAsiaTheme="minorEastAsia" w:hint="cs"/>
          <w:spacing w:val="-2"/>
          <w:rtl/>
          <w:lang w:eastAsia="zh-CN"/>
        </w:rPr>
        <w:t xml:space="preserve"> 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إلى </w:t>
      </w:r>
      <w:r w:rsidRPr="006C1ADA">
        <w:rPr>
          <w:rFonts w:eastAsiaTheme="minorEastAsia"/>
          <w:spacing w:val="-2"/>
          <w:lang w:eastAsia="zh-CN" w:bidi="ar-SY"/>
        </w:rPr>
        <w:t>30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 يناير </w:t>
      </w:r>
      <w:r w:rsidRPr="006C1ADA">
        <w:rPr>
          <w:rFonts w:eastAsiaTheme="minorEastAsia"/>
          <w:spacing w:val="-2"/>
          <w:lang w:eastAsia="zh-CN" w:bidi="ar-SY"/>
        </w:rPr>
        <w:t>2018</w:t>
      </w:r>
      <w:r w:rsidRPr="006C1ADA">
        <w:rPr>
          <w:rFonts w:eastAsiaTheme="minorEastAsia" w:hint="cs"/>
          <w:spacing w:val="-2"/>
          <w:rtl/>
          <w:lang w:eastAsia="zh-CN"/>
        </w:rPr>
        <w:t xml:space="preserve"> </w:t>
      </w:r>
      <w:r w:rsidRPr="006C1ADA">
        <w:rPr>
          <w:rFonts w:eastAsiaTheme="minorEastAsia" w:hint="cs"/>
          <w:spacing w:val="-2"/>
          <w:rtl/>
          <w:lang w:eastAsia="zh-CN" w:bidi="ar-EG"/>
        </w:rPr>
        <w:t>على إلغاء المسألة</w:t>
      </w:r>
      <w:r w:rsidR="006C1ADA"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/>
          <w:bCs/>
          <w:spacing w:val="-2"/>
          <w:lang w:eastAsia="zh-CN" w:bidi="ar-SY"/>
        </w:rPr>
        <w:t>3/9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>"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وسائل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التحكم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في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تقديم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البرامج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الرقمية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لأغراض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تعدد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الإرسال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والتبديل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والإدخال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في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تدفقات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البتات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المضغوطة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و/أو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تدفقات</w:t>
      </w:r>
      <w:r w:rsidRPr="006C1ADA">
        <w:rPr>
          <w:rFonts w:eastAsiaTheme="minorEastAsia" w:hint="cs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>الرزم"</w:t>
      </w:r>
      <w:r w:rsidR="006C1ADA" w:rsidRPr="006C1ADA">
        <w:rPr>
          <w:rFonts w:eastAsiaTheme="minorEastAsia" w:hint="cs"/>
          <w:spacing w:val="-2"/>
          <w:rtl/>
        </w:rPr>
        <w:t>،</w:t>
      </w:r>
      <w:r w:rsidRPr="006C1ADA">
        <w:rPr>
          <w:rFonts w:eastAsiaTheme="minorEastAsia"/>
          <w:i/>
          <w:iCs/>
          <w:spacing w:val="-2"/>
          <w:rtl/>
          <w:lang w:eastAsia="zh-CN" w:bidi="ar-EG"/>
        </w:rPr>
        <w:t xml:space="preserve"> </w:t>
      </w:r>
      <w:r w:rsidRPr="006C1ADA">
        <w:rPr>
          <w:rFonts w:eastAsiaTheme="minorEastAsia" w:hint="cs"/>
          <w:spacing w:val="-2"/>
          <w:rtl/>
          <w:lang w:eastAsia="zh-CN" w:bidi="ar-EG"/>
        </w:rPr>
        <w:t>عملاً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 w:hint="cs"/>
          <w:spacing w:val="-2"/>
          <w:rtl/>
          <w:lang w:eastAsia="zh-CN" w:bidi="ar-EG"/>
        </w:rPr>
        <w:t>بأحكام البند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/>
          <w:spacing w:val="-2"/>
          <w:lang w:eastAsia="zh-CN" w:bidi="ar-SY"/>
        </w:rPr>
        <w:t>1.4.7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 من القسم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/>
          <w:spacing w:val="-2"/>
          <w:lang w:eastAsia="zh-CN" w:bidi="ar-SY"/>
        </w:rPr>
        <w:t>7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 من القرار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/>
          <w:spacing w:val="-2"/>
          <w:lang w:eastAsia="zh-CN" w:bidi="ar-SY"/>
        </w:rPr>
        <w:t>1</w:t>
      </w:r>
      <w:r w:rsidRPr="006C1ADA">
        <w:rPr>
          <w:rFonts w:eastAsiaTheme="minorEastAsia" w:hint="cs"/>
          <w:spacing w:val="-2"/>
          <w:rtl/>
          <w:lang w:eastAsia="zh-CN" w:bidi="ar-EG"/>
        </w:rPr>
        <w:t xml:space="preserve"> الصادر عن الجمعية العالمية لتقييس الاتصالات (الحمامات،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/>
          <w:spacing w:val="-2"/>
          <w:lang w:eastAsia="zh-CN" w:bidi="ar-SY"/>
        </w:rPr>
        <w:t>2016</w:t>
      </w:r>
      <w:r w:rsidRPr="006C1ADA">
        <w:rPr>
          <w:rFonts w:eastAsiaTheme="minorEastAsia" w:hint="cs"/>
          <w:spacing w:val="-2"/>
          <w:rtl/>
          <w:lang w:eastAsia="zh-CN" w:bidi="ar-EG"/>
        </w:rPr>
        <w:t>)، وذلك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 w:hint="cs"/>
          <w:spacing w:val="-2"/>
          <w:rtl/>
          <w:lang w:eastAsia="zh-CN" w:bidi="ar-EG"/>
        </w:rPr>
        <w:t>بالتوصل إلى توافق في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 w:hint="cs"/>
          <w:spacing w:val="-2"/>
          <w:rtl/>
          <w:lang w:eastAsia="zh-CN" w:bidi="ar-EG"/>
        </w:rPr>
        <w:t>الآراء بين</w:t>
      </w:r>
      <w:r w:rsidRPr="006C1ADA">
        <w:rPr>
          <w:rFonts w:eastAsiaTheme="minorEastAsia" w:hint="eastAsia"/>
          <w:spacing w:val="-2"/>
          <w:rtl/>
          <w:lang w:eastAsia="zh-CN" w:bidi="ar-EG"/>
        </w:rPr>
        <w:t> </w:t>
      </w:r>
      <w:r w:rsidRPr="006C1ADA">
        <w:rPr>
          <w:rFonts w:eastAsiaTheme="minorEastAsia" w:hint="cs"/>
          <w:spacing w:val="-2"/>
          <w:rtl/>
          <w:lang w:eastAsia="zh-CN" w:bidi="ar-EG"/>
        </w:rPr>
        <w:t>الحاضرين.</w:t>
      </w:r>
    </w:p>
    <w:p w:rsidR="00750ECB" w:rsidRPr="00750ECB" w:rsidRDefault="00750ECB" w:rsidP="00750ECB">
      <w:pPr>
        <w:rPr>
          <w:rFonts w:eastAsiaTheme="minorEastAsia"/>
          <w:rtl/>
          <w:lang w:eastAsia="zh-CN" w:bidi="ar-EG"/>
        </w:rPr>
      </w:pPr>
      <w:r w:rsidRPr="00750ECB">
        <w:rPr>
          <w:rFonts w:eastAsiaTheme="minorEastAsia"/>
          <w:lang w:eastAsia="zh-CN" w:bidi="ar-SY"/>
        </w:rPr>
        <w:t>2</w:t>
      </w:r>
      <w:r w:rsidRPr="00750ECB">
        <w:rPr>
          <w:rFonts w:eastAsiaTheme="minorEastAsia"/>
          <w:lang w:eastAsia="zh-CN" w:bidi="ar-SY"/>
        </w:rPr>
        <w:tab/>
      </w:r>
      <w:r w:rsidRPr="00750ECB">
        <w:rPr>
          <w:rFonts w:eastAsiaTheme="minorEastAsia" w:hint="cs"/>
          <w:rtl/>
          <w:lang w:eastAsia="zh-CN"/>
        </w:rPr>
        <w:t xml:space="preserve">ويشتمل </w:t>
      </w:r>
      <w:r w:rsidRPr="00750ECB">
        <w:rPr>
          <w:rFonts w:eastAsiaTheme="minorEastAsia" w:hint="cs"/>
          <w:b/>
          <w:bCs/>
          <w:rtl/>
          <w:lang w:eastAsia="zh-CN"/>
        </w:rPr>
        <w:t xml:space="preserve">الملحق </w:t>
      </w:r>
      <w:r w:rsidRPr="00750ECB">
        <w:rPr>
          <w:rFonts w:eastAsiaTheme="minorEastAsia"/>
          <w:b/>
          <w:bCs/>
          <w:lang w:eastAsia="zh-CN" w:bidi="ar-SY"/>
        </w:rPr>
        <w:t>1</w:t>
      </w:r>
      <w:r w:rsidRPr="00750ECB">
        <w:rPr>
          <w:rFonts w:eastAsiaTheme="minorEastAsia" w:hint="cs"/>
          <w:rtl/>
          <w:lang w:eastAsia="zh-CN" w:bidi="ar-EG"/>
        </w:rPr>
        <w:t xml:space="preserve"> بهذه الرسالة على ملخص لتفسير أسباب إلغاء هذه المسألة.</w:t>
      </w:r>
    </w:p>
    <w:p w:rsidR="00750ECB" w:rsidRPr="00750ECB" w:rsidRDefault="00750ECB" w:rsidP="00750ECB">
      <w:pPr>
        <w:rPr>
          <w:rFonts w:eastAsiaTheme="minorEastAsia"/>
          <w:rtl/>
          <w:lang w:eastAsia="zh-CN" w:bidi="ar-EG"/>
        </w:rPr>
      </w:pPr>
      <w:r w:rsidRPr="00750ECB">
        <w:rPr>
          <w:rFonts w:eastAsiaTheme="minorEastAsia"/>
          <w:lang w:eastAsia="zh-CN" w:bidi="ar-SY"/>
        </w:rPr>
        <w:t>3</w:t>
      </w:r>
      <w:r w:rsidRPr="00750ECB">
        <w:rPr>
          <w:rFonts w:eastAsiaTheme="minorEastAsia"/>
          <w:lang w:eastAsia="zh-CN" w:bidi="ar-SY"/>
        </w:rPr>
        <w:tab/>
      </w:r>
      <w:r w:rsidRPr="00750ECB">
        <w:rPr>
          <w:rFonts w:eastAsiaTheme="minorEastAsia" w:hint="cs"/>
          <w:rtl/>
          <w:lang w:eastAsia="zh-CN"/>
        </w:rPr>
        <w:t>وتبعاً لأحكام القسم</w:t>
      </w:r>
      <w:r w:rsidRPr="00750ECB">
        <w:rPr>
          <w:rFonts w:eastAsiaTheme="minorEastAsia" w:hint="eastAsia"/>
          <w:rtl/>
          <w:lang w:eastAsia="zh-CN"/>
        </w:rPr>
        <w:t> </w:t>
      </w:r>
      <w:r w:rsidRPr="00750ECB">
        <w:rPr>
          <w:rFonts w:eastAsiaTheme="minorEastAsia"/>
          <w:lang w:eastAsia="zh-CN" w:bidi="ar-SY"/>
        </w:rPr>
        <w:t>7</w:t>
      </w:r>
      <w:r w:rsidRPr="00750ECB">
        <w:rPr>
          <w:rFonts w:eastAsiaTheme="minorEastAsia" w:hint="cs"/>
          <w:rtl/>
          <w:lang w:eastAsia="zh-CN" w:bidi="ar-EG"/>
        </w:rPr>
        <w:t xml:space="preserve"> من القرار</w:t>
      </w:r>
      <w:r w:rsidRPr="00750ECB">
        <w:rPr>
          <w:rFonts w:eastAsiaTheme="minorEastAsia" w:hint="eastAsia"/>
          <w:rtl/>
          <w:lang w:eastAsia="zh-CN" w:bidi="ar-EG"/>
        </w:rPr>
        <w:t> </w:t>
      </w:r>
      <w:r w:rsidRPr="00750ECB">
        <w:rPr>
          <w:rFonts w:eastAsiaTheme="minorEastAsia"/>
          <w:lang w:eastAsia="zh-CN" w:bidi="ar-SY"/>
        </w:rPr>
        <w:t>1</w:t>
      </w:r>
      <w:r w:rsidRPr="00750ECB">
        <w:rPr>
          <w:rFonts w:eastAsiaTheme="minorEastAsia" w:hint="cs"/>
          <w:rtl/>
          <w:lang w:eastAsia="zh-CN" w:bidi="ar-EG"/>
        </w:rPr>
        <w:t xml:space="preserve"> سأكون ممتناً لو تفضلتم بإعلامي في موعد أقصاه الساعة</w:t>
      </w:r>
      <w:r w:rsidRPr="00750ECB">
        <w:rPr>
          <w:rFonts w:eastAsiaTheme="minorEastAsia" w:hint="eastAsia"/>
          <w:rtl/>
          <w:lang w:eastAsia="zh-CN" w:bidi="ar-EG"/>
        </w:rPr>
        <w:t> </w:t>
      </w:r>
      <w:r w:rsidRPr="00750ECB">
        <w:rPr>
          <w:rFonts w:eastAsiaTheme="minorEastAsia"/>
          <w:lang w:eastAsia="zh-CN" w:bidi="ar-SY"/>
        </w:rPr>
        <w:t>2400</w:t>
      </w:r>
      <w:r w:rsidR="006C1ADA">
        <w:rPr>
          <w:rFonts w:eastAsiaTheme="minorEastAsia" w:hint="cs"/>
          <w:rtl/>
          <w:lang w:eastAsia="zh-CN" w:bidi="ar-EG"/>
        </w:rPr>
        <w:t xml:space="preserve"> بالتوقيت العالمي المنس</w:t>
      </w:r>
      <w:r w:rsidRPr="00750ECB">
        <w:rPr>
          <w:rFonts w:eastAsiaTheme="minorEastAsia" w:hint="cs"/>
          <w:rtl/>
          <w:lang w:eastAsia="zh-CN" w:bidi="ar-EG"/>
        </w:rPr>
        <w:t>ق في</w:t>
      </w:r>
      <w:r w:rsidRPr="00750ECB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750ECB">
        <w:rPr>
          <w:rFonts w:eastAsiaTheme="minorEastAsia"/>
          <w:b/>
          <w:lang w:eastAsia="zh-CN" w:bidi="ar-SY"/>
        </w:rPr>
        <w:t>26</w:t>
      </w:r>
      <w:r w:rsidRPr="00750ECB">
        <w:rPr>
          <w:rFonts w:eastAsiaTheme="minorEastAsia" w:hint="cs"/>
          <w:rtl/>
          <w:lang w:eastAsia="zh-CN" w:bidi="ar-EG"/>
        </w:rPr>
        <w:t xml:space="preserve"> </w:t>
      </w:r>
      <w:r w:rsidRPr="00750ECB">
        <w:rPr>
          <w:rFonts w:eastAsiaTheme="minorEastAsia" w:hint="cs"/>
          <w:b/>
          <w:bCs/>
          <w:rtl/>
          <w:lang w:eastAsia="zh-CN" w:bidi="ar-EG"/>
        </w:rPr>
        <w:t>مايو</w:t>
      </w:r>
      <w:r w:rsidRPr="00750ECB">
        <w:rPr>
          <w:rFonts w:eastAsiaTheme="minorEastAsia" w:hint="cs"/>
          <w:rtl/>
          <w:lang w:eastAsia="zh-CN" w:bidi="ar-EG"/>
        </w:rPr>
        <w:t xml:space="preserve"> </w:t>
      </w:r>
      <w:r w:rsidRPr="00750ECB">
        <w:rPr>
          <w:rFonts w:eastAsiaTheme="minorEastAsia"/>
          <w:b/>
          <w:lang w:eastAsia="zh-CN" w:bidi="ar-SY"/>
        </w:rPr>
        <w:t>2018</w:t>
      </w:r>
      <w:r w:rsidRPr="00750ECB">
        <w:rPr>
          <w:rFonts w:eastAsiaTheme="minorEastAsia" w:hint="cs"/>
          <w:rtl/>
          <w:lang w:eastAsia="zh-CN" w:bidi="ar-EG"/>
        </w:rPr>
        <w:t xml:space="preserve"> ما إذا كانت إدارتكم تؤيد أم ترفض هذا</w:t>
      </w:r>
      <w:r w:rsidRPr="00750ECB">
        <w:rPr>
          <w:rFonts w:eastAsiaTheme="minorEastAsia" w:hint="eastAsia"/>
          <w:rtl/>
          <w:lang w:eastAsia="zh-CN"/>
        </w:rPr>
        <w:t> </w:t>
      </w:r>
      <w:r w:rsidRPr="00750ECB">
        <w:rPr>
          <w:rFonts w:eastAsiaTheme="minorEastAsia" w:hint="cs"/>
          <w:rtl/>
          <w:lang w:eastAsia="zh-CN" w:bidi="ar-EG"/>
        </w:rPr>
        <w:t>الإلغاء.</w:t>
      </w:r>
    </w:p>
    <w:p w:rsidR="00750ECB" w:rsidRPr="00750ECB" w:rsidRDefault="00750ECB" w:rsidP="00750ECB">
      <w:pPr>
        <w:rPr>
          <w:rFonts w:eastAsiaTheme="minorEastAsia"/>
          <w:rtl/>
          <w:lang w:eastAsia="zh-CN" w:bidi="ar-EG"/>
        </w:rPr>
      </w:pPr>
      <w:r w:rsidRPr="00750ECB">
        <w:rPr>
          <w:rFonts w:eastAsiaTheme="minorEastAsia"/>
          <w:lang w:eastAsia="zh-CN" w:bidi="ar-SY"/>
        </w:rPr>
        <w:t>4</w:t>
      </w:r>
      <w:r w:rsidRPr="00750ECB">
        <w:rPr>
          <w:rFonts w:eastAsiaTheme="minorEastAsia" w:hint="cs"/>
          <w:rtl/>
          <w:lang w:eastAsia="zh-CN" w:bidi="ar-EG"/>
        </w:rPr>
        <w:tab/>
        <w:t>وي</w:t>
      </w:r>
      <w:r w:rsidR="006C1ADA">
        <w:rPr>
          <w:rFonts w:eastAsiaTheme="minorEastAsia" w:hint="cs"/>
          <w:rtl/>
          <w:lang w:eastAsia="zh-CN" w:bidi="ar-EG"/>
        </w:rPr>
        <w:t>ُ</w:t>
      </w:r>
      <w:r w:rsidRPr="00750ECB">
        <w:rPr>
          <w:rFonts w:eastAsiaTheme="minorEastAsia" w:hint="cs"/>
          <w:rtl/>
          <w:lang w:eastAsia="zh-CN" w:bidi="ar-EG"/>
        </w:rPr>
        <w:t>رجى من الدول الأعضاء التي تعترض على الإلغاء أن تبين أسباب ذلك الاعتراض وأن تبين التغييرات الممكنة التي من شأنها تيسير مواصلة دراسة المسألة</w:t>
      </w:r>
      <w:r w:rsidRPr="00750ECB">
        <w:rPr>
          <w:rFonts w:eastAsiaTheme="minorEastAsia" w:hint="cs"/>
          <w:rtl/>
          <w:lang w:eastAsia="zh-CN"/>
        </w:rPr>
        <w:t>.</w:t>
      </w:r>
    </w:p>
    <w:p w:rsidR="00750ECB" w:rsidRPr="00750ECB" w:rsidRDefault="00750ECB" w:rsidP="0022506B">
      <w:pPr>
        <w:keepNext/>
        <w:keepLines/>
        <w:rPr>
          <w:rFonts w:eastAsiaTheme="minorEastAsia"/>
          <w:rtl/>
          <w:lang w:eastAsia="zh-CN" w:bidi="ar-EG"/>
        </w:rPr>
      </w:pPr>
      <w:r w:rsidRPr="00750ECB">
        <w:rPr>
          <w:rFonts w:eastAsiaTheme="minorEastAsia"/>
          <w:lang w:eastAsia="zh-CN" w:bidi="ar-SY"/>
        </w:rPr>
        <w:lastRenderedPageBreak/>
        <w:t>5</w:t>
      </w:r>
      <w:r w:rsidRPr="00750ECB">
        <w:rPr>
          <w:rFonts w:eastAsiaTheme="minorEastAsia" w:hint="cs"/>
          <w:rtl/>
          <w:lang w:eastAsia="zh-CN" w:bidi="ar-EG"/>
        </w:rPr>
        <w:tab/>
        <w:t>وفي أعقاب المهلة المذكورة أعلاه (</w:t>
      </w:r>
      <w:r w:rsidRPr="00750ECB">
        <w:rPr>
          <w:rFonts w:eastAsiaTheme="minorEastAsia"/>
          <w:bCs/>
          <w:lang w:eastAsia="zh-CN" w:bidi="ar-SY"/>
        </w:rPr>
        <w:t>26</w:t>
      </w:r>
      <w:r w:rsidRPr="00750ECB">
        <w:rPr>
          <w:rFonts w:eastAsiaTheme="minorEastAsia" w:hint="cs"/>
          <w:b/>
          <w:rtl/>
          <w:lang w:eastAsia="zh-CN" w:bidi="ar-EG"/>
        </w:rPr>
        <w:t xml:space="preserve"> مايو </w:t>
      </w:r>
      <w:r w:rsidRPr="00750ECB">
        <w:rPr>
          <w:rFonts w:eastAsiaTheme="minorEastAsia"/>
          <w:bCs/>
          <w:lang w:eastAsia="zh-CN" w:bidi="ar-SY"/>
        </w:rPr>
        <w:t>2018</w:t>
      </w:r>
      <w:proofErr w:type="gramStart"/>
      <w:r w:rsidRPr="00750ECB">
        <w:rPr>
          <w:rFonts w:eastAsiaTheme="minorEastAsia" w:hint="cs"/>
          <w:rtl/>
          <w:lang w:eastAsia="zh-CN" w:bidi="ar-EG"/>
        </w:rPr>
        <w:t>)،</w:t>
      </w:r>
      <w:proofErr w:type="gramEnd"/>
      <w:r w:rsidRPr="00750ECB">
        <w:rPr>
          <w:rFonts w:eastAsiaTheme="minorEastAsia" w:hint="cs"/>
          <w:rtl/>
          <w:lang w:eastAsia="zh-CN" w:bidi="ar-EG"/>
        </w:rPr>
        <w:t xml:space="preserve"> سوف يعلن مدير مكتب تقييس الاتصالات في رسالة معممة، نتيجة</w:t>
      </w:r>
      <w:r w:rsidRPr="00750ECB">
        <w:rPr>
          <w:rFonts w:eastAsiaTheme="minorEastAsia" w:hint="eastAsia"/>
          <w:rtl/>
          <w:lang w:eastAsia="zh-CN" w:bidi="ar-EG"/>
        </w:rPr>
        <w:t> </w:t>
      </w:r>
      <w:r w:rsidRPr="00750ECB">
        <w:rPr>
          <w:rFonts w:eastAsiaTheme="minorEastAsia" w:hint="cs"/>
          <w:rtl/>
          <w:lang w:eastAsia="zh-CN" w:bidi="ar-EG"/>
        </w:rPr>
        <w:t>المشاورة.</w:t>
      </w:r>
    </w:p>
    <w:p w:rsidR="00A15845" w:rsidRPr="00A15845" w:rsidRDefault="00A15845" w:rsidP="0022506B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750ECB" w:rsidRPr="00750ECB" w:rsidRDefault="00750ECB" w:rsidP="00DE7F6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 w:after="360"/>
        <w:jc w:val="left"/>
        <w:rPr>
          <w:rFonts w:eastAsiaTheme="minorEastAsia"/>
          <w:i/>
          <w:iCs/>
          <w:lang w:eastAsia="zh-CN" w:bidi="ar-SY"/>
        </w:rPr>
      </w:pPr>
      <w:r w:rsidRPr="00750ECB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8B5B5D" w:rsidRDefault="00A15845" w:rsidP="00DE7F6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="00B54102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750ECB" w:rsidRDefault="00750ECB" w:rsidP="0042549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Fonts w:eastAsiaTheme="minorEastAsia"/>
          <w:rtl/>
          <w:lang w:eastAsia="zh-CN" w:bidi="ar-EG"/>
        </w:rPr>
      </w:pPr>
      <w:r w:rsidRPr="00750ECB">
        <w:rPr>
          <w:rFonts w:eastAsiaTheme="minorEastAsia" w:hint="cs"/>
          <w:b/>
          <w:bCs/>
          <w:rtl/>
          <w:lang w:eastAsia="zh-CN" w:bidi="ar-SY"/>
        </w:rPr>
        <w:t>الملحق</w:t>
      </w:r>
      <w:r>
        <w:rPr>
          <w:rFonts w:eastAsiaTheme="minorEastAsia" w:hint="cs"/>
          <w:rtl/>
          <w:lang w:eastAsia="zh-CN" w:bidi="ar-SY"/>
        </w:rPr>
        <w:t xml:space="preserve">: </w:t>
      </w:r>
      <w:r>
        <w:rPr>
          <w:rFonts w:eastAsiaTheme="minorEastAsia"/>
          <w:lang w:eastAsia="zh-CN" w:bidi="ar-SY"/>
        </w:rPr>
        <w:t>1</w:t>
      </w:r>
      <w:bookmarkStart w:id="0" w:name="_GoBack"/>
      <w:bookmarkEnd w:id="0"/>
    </w:p>
    <w:p w:rsidR="00A73377" w:rsidRDefault="00A73377" w:rsidP="00750ECB">
      <w:pPr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750ECB" w:rsidRPr="00750ECB" w:rsidRDefault="00750ECB" w:rsidP="006C1ADA">
      <w:pPr>
        <w:pStyle w:val="AnnexNo"/>
        <w:rPr>
          <w:rFonts w:eastAsiaTheme="minorEastAsia"/>
          <w:b/>
          <w:bCs/>
          <w:rtl/>
          <w:lang w:eastAsia="zh-CN" w:bidi="ar-SA"/>
        </w:rPr>
      </w:pPr>
      <w:r w:rsidRPr="00750ECB">
        <w:rPr>
          <w:rFonts w:eastAsiaTheme="minorEastAsia" w:hint="cs"/>
          <w:rtl/>
          <w:lang w:eastAsia="zh-CN"/>
        </w:rPr>
        <w:t xml:space="preserve">الملحق </w:t>
      </w:r>
      <w:r w:rsidRPr="00750ECB">
        <w:rPr>
          <w:rFonts w:eastAsiaTheme="minorEastAsia"/>
          <w:lang w:val="en-US" w:eastAsia="zh-CN" w:bidi="ar-SY"/>
        </w:rPr>
        <w:t>1</w:t>
      </w:r>
    </w:p>
    <w:p w:rsidR="00750ECB" w:rsidRPr="00750ECB" w:rsidRDefault="00750ECB" w:rsidP="006C1ADA">
      <w:pPr>
        <w:pStyle w:val="Annextitle"/>
        <w:rPr>
          <w:rFonts w:eastAsiaTheme="minorEastAsia"/>
          <w:rtl/>
          <w:lang w:eastAsia="zh-CN"/>
        </w:rPr>
      </w:pPr>
      <w:r w:rsidRPr="00750ECB">
        <w:rPr>
          <w:rFonts w:eastAsiaTheme="minorEastAsia" w:hint="cs"/>
          <w:rtl/>
          <w:lang w:eastAsia="zh-CN"/>
        </w:rPr>
        <w:t xml:space="preserve">أسباب إلغاء المسألة </w:t>
      </w:r>
      <w:r w:rsidRPr="00750ECB">
        <w:rPr>
          <w:rFonts w:eastAsiaTheme="minorEastAsia"/>
          <w:lang w:eastAsia="zh-CN" w:bidi="ar-SY"/>
        </w:rPr>
        <w:t>3/9</w:t>
      </w:r>
    </w:p>
    <w:p w:rsidR="00750ECB" w:rsidRPr="00750ECB" w:rsidRDefault="00750ECB" w:rsidP="00611278">
      <w:pPr>
        <w:rPr>
          <w:rFonts w:eastAsiaTheme="minorEastAsia"/>
          <w:rtl/>
          <w:lang w:eastAsia="zh-CN"/>
        </w:rPr>
      </w:pPr>
      <w:r w:rsidRPr="00750ECB">
        <w:rPr>
          <w:rFonts w:eastAsiaTheme="minorEastAsia" w:hint="cs"/>
          <w:rtl/>
          <w:lang w:eastAsia="zh-CN" w:bidi="ar-SY"/>
        </w:rPr>
        <w:t xml:space="preserve">اتفقت لجنة الدراسات </w:t>
      </w:r>
      <w:r w:rsidRPr="00750ECB">
        <w:rPr>
          <w:rFonts w:eastAsiaTheme="minorEastAsia"/>
          <w:lang w:eastAsia="zh-CN" w:bidi="ar-SY"/>
        </w:rPr>
        <w:t>9</w:t>
      </w:r>
      <w:r w:rsidRPr="00750ECB">
        <w:rPr>
          <w:rFonts w:eastAsiaTheme="minorEastAsia" w:hint="cs"/>
          <w:rtl/>
          <w:lang w:eastAsia="zh-CN" w:bidi="ar-SY"/>
        </w:rPr>
        <w:t xml:space="preserve"> لقطاع تقييس الاتصالات على اقتراح إلغاء المسألة </w:t>
      </w:r>
      <w:r w:rsidRPr="00750ECB">
        <w:rPr>
          <w:rFonts w:eastAsiaTheme="minorEastAsia"/>
          <w:lang w:eastAsia="zh-CN" w:bidi="ar-SY"/>
        </w:rPr>
        <w:t>3/9</w:t>
      </w:r>
      <w:r w:rsidRPr="00750ECB">
        <w:rPr>
          <w:rFonts w:eastAsiaTheme="minorEastAsia" w:hint="cs"/>
          <w:rtl/>
          <w:lang w:eastAsia="zh-CN" w:bidi="ar-SY"/>
        </w:rPr>
        <w:t xml:space="preserve"> </w:t>
      </w:r>
      <w:r w:rsidRPr="00750ECB">
        <w:rPr>
          <w:rFonts w:eastAsiaTheme="minorEastAsia" w:hint="cs"/>
          <w:i/>
          <w:iCs/>
          <w:rtl/>
          <w:lang w:eastAsia="zh-CN" w:bidi="ar-SY"/>
        </w:rPr>
        <w:t>"</w:t>
      </w:r>
      <w:r w:rsidRPr="00750ECB">
        <w:rPr>
          <w:rFonts w:eastAsiaTheme="minorEastAsia"/>
          <w:i/>
          <w:iCs/>
          <w:rtl/>
          <w:lang w:eastAsia="zh-CN" w:bidi="ar-EG"/>
        </w:rPr>
        <w:t>وسائل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التحكم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في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تقديم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البرامج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الرقمية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لأغراض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تعدد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الإرسال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والتبديل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والإدخال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في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تدفقات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البتات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المضغوطة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و/أو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تدفقات</w:t>
      </w:r>
      <w:r w:rsidRPr="00750ECB">
        <w:rPr>
          <w:rFonts w:eastAsiaTheme="minorEastAsia" w:hint="cs"/>
          <w:i/>
          <w:iCs/>
          <w:rtl/>
          <w:lang w:eastAsia="zh-CN" w:bidi="ar-EG"/>
        </w:rPr>
        <w:t xml:space="preserve"> </w:t>
      </w:r>
      <w:r w:rsidRPr="00750ECB">
        <w:rPr>
          <w:rFonts w:eastAsiaTheme="minorEastAsia"/>
          <w:i/>
          <w:iCs/>
          <w:rtl/>
          <w:lang w:eastAsia="zh-CN" w:bidi="ar-EG"/>
        </w:rPr>
        <w:t>الرزم</w:t>
      </w:r>
      <w:r w:rsidRPr="00750ECB">
        <w:rPr>
          <w:rFonts w:eastAsiaTheme="minorEastAsia" w:hint="cs"/>
          <w:rtl/>
          <w:lang w:eastAsia="zh-CN" w:bidi="ar-EG"/>
        </w:rPr>
        <w:t xml:space="preserve">" </w:t>
      </w:r>
      <w:r w:rsidRPr="00750ECB">
        <w:rPr>
          <w:rFonts w:eastAsiaTheme="minorEastAsia"/>
          <w:rtl/>
          <w:lang w:eastAsia="zh-CN"/>
        </w:rPr>
        <w:t>نظراً لتوزيع العمل بشأن هذه المسألة على المسألة</w:t>
      </w:r>
      <w:r w:rsidR="00611278">
        <w:rPr>
          <w:rFonts w:eastAsiaTheme="minorEastAsia" w:hint="cs"/>
          <w:rtl/>
          <w:lang w:eastAsia="zh-CN"/>
        </w:rPr>
        <w:t> </w:t>
      </w:r>
      <w:r w:rsidRPr="00750ECB">
        <w:rPr>
          <w:rFonts w:eastAsiaTheme="minorEastAsia"/>
          <w:lang w:eastAsia="zh-CN" w:bidi="ar-SY"/>
        </w:rPr>
        <w:t>1/9</w:t>
      </w:r>
      <w:r w:rsidRPr="00750ECB">
        <w:rPr>
          <w:rFonts w:eastAsiaTheme="minorEastAsia" w:hint="cs"/>
          <w:rtl/>
          <w:lang w:eastAsia="zh-CN"/>
        </w:rPr>
        <w:t xml:space="preserve"> "</w:t>
      </w:r>
      <w:r w:rsidRPr="00750ECB">
        <w:rPr>
          <w:rFonts w:eastAsiaTheme="minorEastAsia"/>
          <w:i/>
          <w:iCs/>
          <w:rtl/>
          <w:lang w:eastAsia="zh-CN"/>
        </w:rPr>
        <w:t xml:space="preserve">إرسال إشارات البرامج التلفزيونية والصوتية </w:t>
      </w:r>
      <w:r w:rsidRPr="00750ECB">
        <w:rPr>
          <w:rFonts w:eastAsiaTheme="minorEastAsia" w:hint="cs"/>
          <w:i/>
          <w:iCs/>
          <w:rtl/>
          <w:lang w:eastAsia="zh-CN"/>
        </w:rPr>
        <w:t>من أجل ا</w:t>
      </w:r>
      <w:r w:rsidRPr="00750ECB">
        <w:rPr>
          <w:rFonts w:eastAsiaTheme="minorEastAsia"/>
          <w:i/>
          <w:iCs/>
          <w:rtl/>
          <w:lang w:eastAsia="zh-CN"/>
        </w:rPr>
        <w:t>لمساهمة والتوزيع الأولي والتوزيع الثانوي</w:t>
      </w:r>
      <w:r w:rsidRPr="00750ECB">
        <w:rPr>
          <w:rFonts w:eastAsiaTheme="minorEastAsia" w:hint="cs"/>
          <w:rtl/>
          <w:lang w:eastAsia="zh-CN"/>
        </w:rPr>
        <w:t>"</w:t>
      </w:r>
      <w:r w:rsidR="006C1ADA">
        <w:rPr>
          <w:rFonts w:eastAsiaTheme="minorEastAsia" w:hint="cs"/>
          <w:rtl/>
          <w:lang w:eastAsia="zh-CN"/>
        </w:rPr>
        <w:t xml:space="preserve"> (انظر</w:t>
      </w:r>
      <w:r w:rsidR="00611278">
        <w:rPr>
          <w:rFonts w:eastAsiaTheme="minorEastAsia" w:hint="eastAsia"/>
          <w:rtl/>
          <w:lang w:eastAsia="zh-CN"/>
        </w:rPr>
        <w:t> </w:t>
      </w:r>
      <w:hyperlink r:id="rId12" w:history="1">
        <w:r w:rsidR="006C1ADA" w:rsidRPr="006C1ADA">
          <w:rPr>
            <w:rStyle w:val="Hyperlink"/>
            <w:rFonts w:eastAsiaTheme="minorEastAsia"/>
            <w:lang w:eastAsia="zh-CN"/>
          </w:rPr>
          <w:t>TSAG-TD248</w:t>
        </w:r>
      </w:hyperlink>
      <w:r w:rsidR="006C1ADA">
        <w:rPr>
          <w:rFonts w:eastAsiaTheme="minorEastAsia" w:hint="cs"/>
          <w:rtl/>
          <w:lang w:eastAsia="zh-CN"/>
        </w:rPr>
        <w:t>)</w:t>
      </w:r>
      <w:r w:rsidRPr="00750ECB">
        <w:rPr>
          <w:rFonts w:eastAsiaTheme="minorEastAsia" w:hint="cs"/>
          <w:rtl/>
          <w:lang w:eastAsia="zh-CN"/>
        </w:rPr>
        <w:t>.</w:t>
      </w:r>
    </w:p>
    <w:p w:rsidR="00750ECB" w:rsidRPr="00750ECB" w:rsidRDefault="006C1ADA" w:rsidP="006C1ADA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 xml:space="preserve">وترد في الوثيقة </w:t>
      </w:r>
      <w:hyperlink r:id="rId13" w:history="1">
        <w:r w:rsidRPr="006C1ADA">
          <w:rPr>
            <w:rStyle w:val="Hyperlink"/>
            <w:rFonts w:eastAsiaTheme="minorEastAsia"/>
            <w:lang w:val="en-GB" w:eastAsia="zh-CN"/>
          </w:rPr>
          <w:t>SG9-</w:t>
        </w:r>
        <w:r w:rsidRPr="006C1ADA">
          <w:rPr>
            <w:rStyle w:val="Hyperlink"/>
            <w:rFonts w:eastAsiaTheme="minorEastAsia" w:hint="eastAsia"/>
            <w:lang w:val="en-GB" w:eastAsia="zh-CN"/>
          </w:rPr>
          <w:t>TD</w:t>
        </w:r>
        <w:r w:rsidRPr="006C1ADA">
          <w:rPr>
            <w:rStyle w:val="Hyperlink"/>
            <w:rFonts w:eastAsiaTheme="minorEastAsia"/>
            <w:lang w:val="en-GB" w:eastAsia="zh-CN"/>
          </w:rPr>
          <w:t>313</w:t>
        </w:r>
      </w:hyperlink>
      <w:r>
        <w:rPr>
          <w:rFonts w:eastAsiaTheme="minorEastAsia" w:hint="cs"/>
          <w:rtl/>
          <w:lang w:eastAsia="zh-CN"/>
        </w:rPr>
        <w:t xml:space="preserve"> الاختصاصات المنقحة للمسألة </w:t>
      </w:r>
      <w:r>
        <w:rPr>
          <w:rFonts w:eastAsiaTheme="minorEastAsia"/>
          <w:lang w:eastAsia="zh-CN"/>
        </w:rPr>
        <w:t>1/9</w:t>
      </w:r>
      <w:r>
        <w:rPr>
          <w:rFonts w:eastAsiaTheme="minorEastAsia" w:hint="cs"/>
          <w:rtl/>
          <w:lang w:eastAsia="zh-CN" w:bidi="ar-EG"/>
        </w:rPr>
        <w:t xml:space="preserve"> التي أدمجت مع المسألة </w:t>
      </w:r>
      <w:r>
        <w:rPr>
          <w:rFonts w:eastAsiaTheme="minorEastAsia"/>
          <w:lang w:eastAsia="zh-CN" w:bidi="ar-EG"/>
        </w:rPr>
        <w:t>3/9</w:t>
      </w:r>
      <w:r>
        <w:rPr>
          <w:rFonts w:eastAsiaTheme="minorEastAsia" w:hint="cs"/>
          <w:rtl/>
          <w:lang w:eastAsia="zh-CN" w:bidi="ar-EG"/>
        </w:rPr>
        <w:t>.</w:t>
      </w:r>
    </w:p>
    <w:p w:rsidR="00750ECB" w:rsidRDefault="00750ECB" w:rsidP="00750ECB">
      <w:pPr>
        <w:rPr>
          <w:rFonts w:eastAsiaTheme="minorEastAsia"/>
          <w:rtl/>
          <w:lang w:eastAsia="zh-CN"/>
        </w:rPr>
      </w:pPr>
      <w:r w:rsidRPr="00750ECB">
        <w:rPr>
          <w:rFonts w:eastAsiaTheme="minorEastAsia" w:hint="cs"/>
          <w:rtl/>
          <w:lang w:eastAsia="zh-CN"/>
        </w:rPr>
        <w:t xml:space="preserve">وبناءً على ذلك، يُقترح إلغاء المسألة </w:t>
      </w:r>
      <w:r w:rsidRPr="00750ECB">
        <w:rPr>
          <w:rFonts w:eastAsiaTheme="minorEastAsia"/>
          <w:lang w:eastAsia="zh-CN" w:bidi="ar-SY"/>
        </w:rPr>
        <w:t>3/9</w:t>
      </w:r>
      <w:r w:rsidRPr="00750ECB">
        <w:rPr>
          <w:rFonts w:eastAsiaTheme="minorEastAsia" w:hint="cs"/>
          <w:rtl/>
          <w:lang w:eastAsia="zh-CN"/>
        </w:rPr>
        <w:t>.</w:t>
      </w:r>
    </w:p>
    <w:p w:rsidR="006C1ADA" w:rsidRPr="00750ECB" w:rsidRDefault="006C1ADA" w:rsidP="006C1ADA">
      <w:pPr>
        <w:spacing w:before="600"/>
        <w:jc w:val="center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___________</w:t>
      </w:r>
    </w:p>
    <w:sectPr w:rsidR="006C1ADA" w:rsidRPr="00750ECB" w:rsidSect="008B5B5D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CB" w:rsidRDefault="00750ECB" w:rsidP="00E07379">
      <w:pPr>
        <w:spacing w:before="0" w:line="240" w:lineRule="auto"/>
      </w:pPr>
      <w:r>
        <w:separator/>
      </w:r>
    </w:p>
  </w:endnote>
  <w:endnote w:type="continuationSeparator" w:id="0">
    <w:p w:rsidR="00750ECB" w:rsidRDefault="00750EC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CB" w:rsidRDefault="00750ECB" w:rsidP="00E07379">
      <w:pPr>
        <w:spacing w:before="0" w:line="240" w:lineRule="auto"/>
      </w:pPr>
      <w:r>
        <w:separator/>
      </w:r>
    </w:p>
  </w:footnote>
  <w:footnote w:type="continuationSeparator" w:id="0">
    <w:p w:rsidR="00750ECB" w:rsidRDefault="00750EC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750ECB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DE7F69">
      <w:rPr>
        <w:rStyle w:val="PageNumber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750ECB">
      <w:rPr>
        <w:rStyle w:val="PageNumber"/>
        <w:rFonts w:cs="Traditional Arabic"/>
        <w:szCs w:val="26"/>
        <w:lang w:bidi="ar-EG"/>
      </w:rPr>
      <w:t>74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B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06B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C16FD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1278"/>
    <w:rsid w:val="006157A3"/>
    <w:rsid w:val="00620E60"/>
    <w:rsid w:val="0063315A"/>
    <w:rsid w:val="0065591D"/>
    <w:rsid w:val="006626B7"/>
    <w:rsid w:val="00662C5A"/>
    <w:rsid w:val="00670AF5"/>
    <w:rsid w:val="006C1556"/>
    <w:rsid w:val="006C1ADA"/>
    <w:rsid w:val="006F267F"/>
    <w:rsid w:val="006F63F7"/>
    <w:rsid w:val="006F6F03"/>
    <w:rsid w:val="00706D7A"/>
    <w:rsid w:val="00726AEC"/>
    <w:rsid w:val="00750ECB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4102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E7F69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C6C5A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83E9644-A140-4298-A4B3-449F5F87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09-180122-TD-GEN-0313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TSAG-180226-TD-GEN-0248/en%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purl.org/dc/elements/1.1/"/>
    <ds:schemaRef ds:uri="http://schemas.openxmlformats.org/package/2006/metadata/core-properties"/>
    <ds:schemaRef ds:uri="de10a323-94a9-4e93-88b4-ea964576960d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3F5D4F-4D02-4FAD-80F4-99E711E1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Millet, Lia</cp:lastModifiedBy>
  <cp:revision>3</cp:revision>
  <cp:lastPrinted>2018-04-11T17:09:00Z</cp:lastPrinted>
  <dcterms:created xsi:type="dcterms:W3CDTF">2018-04-10T13:33:00Z</dcterms:created>
  <dcterms:modified xsi:type="dcterms:W3CDTF">2018-04-11T17:09:00Z</dcterms:modified>
  <cp:category>Conference document</cp:category>
</cp:coreProperties>
</file>