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14:paraId="4B151806" w14:textId="77777777" w:rsidTr="00CB634F">
        <w:trPr>
          <w:cantSplit/>
        </w:trPr>
        <w:tc>
          <w:tcPr>
            <w:tcW w:w="1418" w:type="dxa"/>
            <w:vAlign w:val="center"/>
          </w:tcPr>
          <w:p w14:paraId="085349D8" w14:textId="77777777" w:rsidR="00341117" w:rsidRPr="00697BC1" w:rsidRDefault="00341117" w:rsidP="00CB634F">
            <w:pPr>
              <w:tabs>
                <w:tab w:val="right" w:pos="8732"/>
              </w:tabs>
              <w:spacing w:before="0"/>
              <w:rPr>
                <w:b/>
                <w:bCs/>
                <w:iCs/>
                <w:color w:val="FFFFFF"/>
                <w:sz w:val="30"/>
                <w:szCs w:val="30"/>
              </w:rPr>
            </w:pPr>
            <w:r>
              <w:rPr>
                <w:noProof/>
                <w:lang w:val="en-GB" w:eastAsia="zh-CN"/>
              </w:rPr>
              <w:drawing>
                <wp:inline distT="0" distB="0" distL="0" distR="0" wp14:anchorId="10FA2168" wp14:editId="66E050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14:paraId="7E44A088" w14:textId="77777777" w:rsidR="00341117" w:rsidRPr="00F67402" w:rsidRDefault="00341117" w:rsidP="00CB634F">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14:paraId="29CF8309" w14:textId="77777777" w:rsidR="00341117" w:rsidRPr="00697BC1" w:rsidRDefault="00341117" w:rsidP="00CB634F">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1984" w:type="dxa"/>
            <w:vAlign w:val="center"/>
          </w:tcPr>
          <w:p w14:paraId="18E2AD0A" w14:textId="77777777" w:rsidR="00341117" w:rsidRPr="00697BC1" w:rsidRDefault="00341117" w:rsidP="00CB634F">
            <w:pPr>
              <w:spacing w:before="0"/>
              <w:jc w:val="right"/>
              <w:rPr>
                <w:color w:val="FFFFFF"/>
                <w:sz w:val="26"/>
                <w:szCs w:val="26"/>
              </w:rPr>
            </w:pPr>
          </w:p>
        </w:tc>
      </w:tr>
    </w:tbl>
    <w:p w14:paraId="03476B49" w14:textId="77777777" w:rsidR="00341117" w:rsidRDefault="00341117" w:rsidP="00341117">
      <w:pPr>
        <w:tabs>
          <w:tab w:val="clear" w:pos="794"/>
          <w:tab w:val="clear" w:pos="1191"/>
          <w:tab w:val="clear" w:pos="1588"/>
          <w:tab w:val="clear" w:pos="1985"/>
          <w:tab w:val="left" w:pos="4962"/>
        </w:tabs>
        <w:spacing w:before="0"/>
      </w:pPr>
    </w:p>
    <w:p w14:paraId="65EB7F79" w14:textId="0A192078" w:rsidR="00517A03" w:rsidRPr="00697BC1" w:rsidRDefault="00517A03" w:rsidP="00A5280F">
      <w:pPr>
        <w:tabs>
          <w:tab w:val="clear" w:pos="794"/>
          <w:tab w:val="clear" w:pos="1191"/>
          <w:tab w:val="clear" w:pos="1588"/>
          <w:tab w:val="clear" w:pos="1985"/>
          <w:tab w:val="left" w:pos="4962"/>
        </w:tabs>
        <w:spacing w:before="0"/>
      </w:pPr>
      <w:r w:rsidRPr="00697BC1">
        <w:tab/>
        <w:t xml:space="preserve">Genève, le </w:t>
      </w:r>
      <w:r w:rsidR="00846EDA">
        <w:t>12 avril 2018</w:t>
      </w:r>
    </w:p>
    <w:p w14:paraId="16862864" w14:textId="77777777" w:rsidR="00517A03" w:rsidRPr="00697BC1" w:rsidRDefault="00517A03"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822"/>
        <w:gridCol w:w="3990"/>
        <w:gridCol w:w="5103"/>
        <w:gridCol w:w="8"/>
      </w:tblGrid>
      <w:tr w:rsidR="00517A03" w:rsidRPr="00697BC1" w14:paraId="2044473F" w14:textId="77777777" w:rsidTr="001225AE">
        <w:trPr>
          <w:cantSplit/>
          <w:trHeight w:val="340"/>
        </w:trPr>
        <w:tc>
          <w:tcPr>
            <w:tcW w:w="822" w:type="dxa"/>
          </w:tcPr>
          <w:p w14:paraId="33C8503B" w14:textId="77777777" w:rsidR="00517A03" w:rsidRPr="00C134B1" w:rsidRDefault="00517A03" w:rsidP="00A5280F">
            <w:pPr>
              <w:tabs>
                <w:tab w:val="left" w:pos="4111"/>
              </w:tabs>
              <w:spacing w:before="10"/>
              <w:ind w:left="57"/>
              <w:rPr>
                <w:b/>
                <w:bCs/>
              </w:rPr>
            </w:pPr>
            <w:r w:rsidRPr="00C134B1">
              <w:rPr>
                <w:b/>
                <w:bCs/>
              </w:rPr>
              <w:t>Réf.:</w:t>
            </w:r>
          </w:p>
          <w:p w14:paraId="26BAC159" w14:textId="77777777" w:rsidR="00517A03" w:rsidRPr="00C134B1" w:rsidRDefault="00517A03" w:rsidP="00A5280F">
            <w:pPr>
              <w:tabs>
                <w:tab w:val="left" w:pos="4111"/>
              </w:tabs>
              <w:spacing w:before="10"/>
              <w:ind w:left="57"/>
              <w:rPr>
                <w:b/>
                <w:bCs/>
              </w:rPr>
            </w:pPr>
          </w:p>
          <w:p w14:paraId="1EA764BA" w14:textId="77777777" w:rsidR="00517A03" w:rsidRPr="00C134B1" w:rsidRDefault="00517A03" w:rsidP="00A5280F">
            <w:pPr>
              <w:tabs>
                <w:tab w:val="left" w:pos="4111"/>
              </w:tabs>
              <w:spacing w:before="10"/>
              <w:ind w:left="57"/>
              <w:rPr>
                <w:b/>
                <w:bCs/>
              </w:rPr>
            </w:pPr>
            <w:r w:rsidRPr="00C134B1">
              <w:rPr>
                <w:b/>
                <w:bCs/>
              </w:rPr>
              <w:t>Tél.:</w:t>
            </w:r>
            <w:r w:rsidRPr="00C134B1">
              <w:rPr>
                <w:b/>
                <w:bCs/>
              </w:rPr>
              <w:br/>
              <w:t>Fax:</w:t>
            </w:r>
            <w:r w:rsidRPr="00C134B1">
              <w:rPr>
                <w:b/>
                <w:bCs/>
              </w:rPr>
              <w:br/>
              <w:t>E-mail:</w:t>
            </w:r>
          </w:p>
        </w:tc>
        <w:tc>
          <w:tcPr>
            <w:tcW w:w="3990" w:type="dxa"/>
          </w:tcPr>
          <w:p w14:paraId="16D0022C" w14:textId="77777777" w:rsidR="00517A03" w:rsidRPr="00697BC1" w:rsidRDefault="000F65FB" w:rsidP="00A5280F">
            <w:pPr>
              <w:tabs>
                <w:tab w:val="left" w:pos="4111"/>
              </w:tabs>
              <w:spacing w:before="10"/>
              <w:ind w:left="57"/>
              <w:rPr>
                <w:b/>
              </w:rPr>
            </w:pPr>
            <w:r>
              <w:rPr>
                <w:b/>
              </w:rPr>
              <w:t>Circulaire TSB 86</w:t>
            </w:r>
          </w:p>
          <w:p w14:paraId="44F01A37" w14:textId="5952A26F" w:rsidR="00517A03" w:rsidRPr="00697BC1" w:rsidRDefault="000F65FB" w:rsidP="00A5280F">
            <w:pPr>
              <w:tabs>
                <w:tab w:val="left" w:pos="4111"/>
              </w:tabs>
              <w:spacing w:before="10"/>
              <w:ind w:left="57"/>
              <w:rPr>
                <w:b/>
              </w:rPr>
            </w:pPr>
            <w:r>
              <w:t>CE 17/</w:t>
            </w:r>
            <w:r w:rsidR="00846EDA">
              <w:t>XY</w:t>
            </w:r>
          </w:p>
          <w:p w14:paraId="5D8B883C" w14:textId="1FF8C64B" w:rsidR="00517A03" w:rsidRPr="00697BC1" w:rsidRDefault="000F65FB" w:rsidP="00A5280F">
            <w:pPr>
              <w:tabs>
                <w:tab w:val="left" w:pos="4111"/>
              </w:tabs>
              <w:spacing w:before="10"/>
              <w:ind w:left="57"/>
            </w:pPr>
            <w:r w:rsidRPr="005B3C82">
              <w:t>+41 22 730 6206</w:t>
            </w:r>
            <w:r w:rsidR="00517A03" w:rsidRPr="00697BC1">
              <w:br/>
              <w:t>+41 22 730 5853</w:t>
            </w:r>
            <w:r w:rsidR="00517A03" w:rsidRPr="00697BC1">
              <w:br/>
            </w:r>
            <w:hyperlink r:id="rId9" w:history="1">
              <w:r w:rsidR="00A421F2" w:rsidRPr="00A421F2">
                <w:rPr>
                  <w:rStyle w:val="Hyperlink"/>
                </w:rPr>
                <w:t>tsbsg17</w:t>
              </w:r>
              <w:r w:rsidR="00517A03" w:rsidRPr="00A421F2">
                <w:rPr>
                  <w:rStyle w:val="Hyperlink"/>
                </w:rPr>
                <w:t>@itu.int</w:t>
              </w:r>
            </w:hyperlink>
          </w:p>
        </w:tc>
        <w:tc>
          <w:tcPr>
            <w:tcW w:w="5111" w:type="dxa"/>
            <w:gridSpan w:val="2"/>
          </w:tcPr>
          <w:p w14:paraId="4CF64F12" w14:textId="77777777" w:rsidR="00517A03" w:rsidRPr="00697BC1" w:rsidRDefault="00517A03" w:rsidP="00A5280F">
            <w:pPr>
              <w:tabs>
                <w:tab w:val="clear" w:pos="794"/>
                <w:tab w:val="clear" w:pos="1191"/>
                <w:tab w:val="clear" w:pos="1588"/>
                <w:tab w:val="clear" w:pos="1985"/>
                <w:tab w:val="left" w:pos="284"/>
              </w:tabs>
              <w:spacing w:before="0"/>
              <w:ind w:left="284" w:hanging="227"/>
            </w:pPr>
            <w:bookmarkStart w:id="0" w:name="Addressee_F"/>
            <w:bookmarkEnd w:id="0"/>
            <w:r w:rsidRPr="00697BC1">
              <w:t>-</w:t>
            </w:r>
            <w:r w:rsidRPr="00697BC1">
              <w:tab/>
              <w:t>Aux administrations des Etats Membres de l</w:t>
            </w:r>
            <w:r w:rsidR="00167472" w:rsidRPr="00697BC1">
              <w:t>'</w:t>
            </w:r>
            <w:r w:rsidRPr="00697BC1">
              <w:t>Union</w:t>
            </w:r>
          </w:p>
        </w:tc>
      </w:tr>
      <w:tr w:rsidR="00517A03" w:rsidRPr="00697BC1" w14:paraId="3552A511" w14:textId="77777777" w:rsidTr="001225AE">
        <w:trPr>
          <w:cantSplit/>
        </w:trPr>
        <w:tc>
          <w:tcPr>
            <w:tcW w:w="822" w:type="dxa"/>
          </w:tcPr>
          <w:p w14:paraId="766E1054" w14:textId="77777777" w:rsidR="00517A03" w:rsidRPr="00C134B1" w:rsidRDefault="00517A03" w:rsidP="00A5280F">
            <w:pPr>
              <w:tabs>
                <w:tab w:val="left" w:pos="4111"/>
              </w:tabs>
              <w:spacing w:before="10"/>
              <w:ind w:left="57"/>
              <w:rPr>
                <w:b/>
                <w:bCs/>
                <w:sz w:val="20"/>
              </w:rPr>
            </w:pPr>
          </w:p>
        </w:tc>
        <w:tc>
          <w:tcPr>
            <w:tcW w:w="3990" w:type="dxa"/>
          </w:tcPr>
          <w:p w14:paraId="77755B8D" w14:textId="619F51AD" w:rsidR="00517A03" w:rsidRPr="00697BC1" w:rsidRDefault="00517A03" w:rsidP="001C2839">
            <w:pPr>
              <w:tabs>
                <w:tab w:val="left" w:pos="4111"/>
              </w:tabs>
              <w:spacing w:before="0"/>
              <w:ind w:left="57"/>
            </w:pPr>
          </w:p>
        </w:tc>
        <w:tc>
          <w:tcPr>
            <w:tcW w:w="5111" w:type="dxa"/>
            <w:gridSpan w:val="2"/>
          </w:tcPr>
          <w:p w14:paraId="6C4625EF" w14:textId="77777777" w:rsidR="00517A03" w:rsidRPr="00697BC1" w:rsidRDefault="00517A03" w:rsidP="00A5280F">
            <w:pPr>
              <w:tabs>
                <w:tab w:val="left" w:pos="4111"/>
              </w:tabs>
              <w:spacing w:before="0"/>
            </w:pPr>
            <w:r w:rsidRPr="00697BC1">
              <w:rPr>
                <w:b/>
              </w:rPr>
              <w:t>Copie</w:t>
            </w:r>
            <w:r w:rsidRPr="00697BC1">
              <w:t>:</w:t>
            </w:r>
          </w:p>
          <w:p w14:paraId="5A2A2973" w14:textId="77777777" w:rsidR="00517A03" w:rsidRPr="00697BC1" w:rsidRDefault="00517A03" w:rsidP="00A5280F">
            <w:pPr>
              <w:tabs>
                <w:tab w:val="clear" w:pos="794"/>
                <w:tab w:val="left" w:pos="226"/>
                <w:tab w:val="left" w:pos="4111"/>
              </w:tabs>
              <w:spacing w:before="0"/>
            </w:pPr>
            <w:r w:rsidRPr="00697BC1">
              <w:t>-</w:t>
            </w:r>
            <w:r w:rsidRPr="00697BC1">
              <w:tab/>
              <w:t>Aux Membres du Secteur UIT-T;</w:t>
            </w:r>
          </w:p>
          <w:p w14:paraId="1E8502B6" w14:textId="7B03F372" w:rsidR="00517A03" w:rsidRPr="00697BC1" w:rsidRDefault="00517A03" w:rsidP="001C2839">
            <w:pPr>
              <w:tabs>
                <w:tab w:val="clear" w:pos="794"/>
                <w:tab w:val="left" w:pos="226"/>
                <w:tab w:val="left" w:pos="4111"/>
              </w:tabs>
              <w:spacing w:before="0"/>
              <w:ind w:left="226" w:hanging="226"/>
            </w:pPr>
            <w:r w:rsidRPr="00697BC1">
              <w:t>-</w:t>
            </w:r>
            <w:r w:rsidRPr="00697BC1">
              <w:tab/>
            </w:r>
            <w:r w:rsidR="001C2839" w:rsidRPr="005B3C82">
              <w:t>Aux Associés de l'UIT-T participant aux travaux de la Commission d'études 17</w:t>
            </w:r>
            <w:r w:rsidRPr="00697BC1">
              <w:t>;</w:t>
            </w:r>
          </w:p>
          <w:p w14:paraId="6FC5C31A" w14:textId="380D3E07" w:rsidR="00517A03" w:rsidRPr="00697BC1" w:rsidRDefault="00517A03" w:rsidP="001C2839">
            <w:pPr>
              <w:tabs>
                <w:tab w:val="clear" w:pos="794"/>
                <w:tab w:val="left" w:pos="226"/>
                <w:tab w:val="left" w:pos="4111"/>
              </w:tabs>
              <w:spacing w:before="0"/>
              <w:ind w:left="226" w:hanging="226"/>
            </w:pPr>
            <w:r w:rsidRPr="00697BC1">
              <w:t>-</w:t>
            </w:r>
            <w:r w:rsidRPr="00697BC1">
              <w:tab/>
            </w:r>
            <w:r w:rsidR="000C56BE" w:rsidRPr="00697BC1">
              <w:t>Aux établissements universitaires participant aux travaux de l'UIT;</w:t>
            </w:r>
          </w:p>
          <w:p w14:paraId="4FDDEF5A" w14:textId="68B48742" w:rsidR="00A96C87" w:rsidRPr="00697BC1" w:rsidRDefault="00517A03" w:rsidP="00A96C87">
            <w:pPr>
              <w:tabs>
                <w:tab w:val="clear" w:pos="794"/>
                <w:tab w:val="left" w:pos="226"/>
                <w:tab w:val="left" w:pos="4111"/>
              </w:tabs>
              <w:spacing w:before="0"/>
              <w:ind w:left="226" w:hanging="226"/>
            </w:pPr>
            <w:r w:rsidRPr="00697BC1">
              <w:t>-</w:t>
            </w:r>
            <w:r w:rsidRPr="00697BC1">
              <w:tab/>
              <w:t>Aux Président et Vice-Présidents de la Commission d</w:t>
            </w:r>
            <w:r w:rsidR="00167472" w:rsidRPr="00697BC1">
              <w:t>'</w:t>
            </w:r>
            <w:r w:rsidR="00A96C87">
              <w:t>études 17 de l'UIT-T;</w:t>
            </w:r>
          </w:p>
          <w:p w14:paraId="2EFD66A9" w14:textId="77777777" w:rsidR="00517A03" w:rsidRPr="00697BC1" w:rsidRDefault="00517A03" w:rsidP="00A5280F">
            <w:pPr>
              <w:tabs>
                <w:tab w:val="clear" w:pos="794"/>
                <w:tab w:val="left" w:pos="226"/>
                <w:tab w:val="left" w:pos="4111"/>
              </w:tabs>
              <w:spacing w:before="0"/>
              <w:ind w:left="226" w:hanging="226"/>
            </w:pPr>
            <w:r w:rsidRPr="00697BC1">
              <w:t>-</w:t>
            </w:r>
            <w:r w:rsidRPr="00697BC1">
              <w:tab/>
              <w:t>Au Directeur du Bureau de développement des télécommunications;</w:t>
            </w:r>
          </w:p>
          <w:p w14:paraId="4A583769" w14:textId="09C321A5" w:rsidR="00517A03" w:rsidRPr="00697BC1" w:rsidRDefault="00517A03" w:rsidP="00B77C9E">
            <w:pPr>
              <w:tabs>
                <w:tab w:val="clear" w:pos="794"/>
                <w:tab w:val="left" w:pos="226"/>
                <w:tab w:val="left" w:pos="4111"/>
              </w:tabs>
              <w:spacing w:before="0" w:after="120"/>
              <w:ind w:left="227" w:hanging="227"/>
            </w:pPr>
            <w:r w:rsidRPr="00697BC1">
              <w:t>-</w:t>
            </w:r>
            <w:r w:rsidRPr="00697BC1">
              <w:tab/>
              <w:t>Au Directeur du Bureau des</w:t>
            </w:r>
            <w:r w:rsidRPr="00697BC1">
              <w:br/>
              <w:t>radiocommunications</w:t>
            </w:r>
          </w:p>
        </w:tc>
      </w:tr>
      <w:tr w:rsidR="00517A03" w:rsidRPr="00697BC1" w14:paraId="25A6E6DE" w14:textId="77777777" w:rsidTr="00697BC1">
        <w:trPr>
          <w:gridAfter w:val="1"/>
          <w:wAfter w:w="8" w:type="dxa"/>
          <w:cantSplit/>
          <w:trHeight w:val="680"/>
        </w:trPr>
        <w:tc>
          <w:tcPr>
            <w:tcW w:w="822" w:type="dxa"/>
          </w:tcPr>
          <w:p w14:paraId="3E93428F" w14:textId="77777777" w:rsidR="00517A03" w:rsidRPr="00C134B1" w:rsidRDefault="00517A03" w:rsidP="00AE0B5F">
            <w:pPr>
              <w:tabs>
                <w:tab w:val="left" w:pos="4111"/>
              </w:tabs>
              <w:spacing w:before="360" w:after="240"/>
              <w:ind w:left="57"/>
              <w:rPr>
                <w:b/>
                <w:bCs/>
                <w:sz w:val="22"/>
              </w:rPr>
            </w:pPr>
            <w:r w:rsidRPr="00C134B1">
              <w:rPr>
                <w:b/>
                <w:bCs/>
                <w:sz w:val="22"/>
              </w:rPr>
              <w:t>Objet:</w:t>
            </w:r>
          </w:p>
        </w:tc>
        <w:tc>
          <w:tcPr>
            <w:tcW w:w="9093" w:type="dxa"/>
            <w:gridSpan w:val="2"/>
          </w:tcPr>
          <w:p w14:paraId="326D496F" w14:textId="6F1166C3" w:rsidR="00517A03" w:rsidRPr="00697BC1" w:rsidRDefault="000F65FB" w:rsidP="00AE0B5F">
            <w:pPr>
              <w:tabs>
                <w:tab w:val="left" w:pos="4111"/>
              </w:tabs>
              <w:spacing w:before="360" w:after="240"/>
              <w:ind w:left="57"/>
            </w:pPr>
            <w:r w:rsidRPr="005B3C82">
              <w:rPr>
                <w:b/>
              </w:rPr>
              <w:t xml:space="preserve">Consultation des Etats Membres au sujet des </w:t>
            </w:r>
            <w:r w:rsidR="00A224D8">
              <w:rPr>
                <w:b/>
              </w:rPr>
              <w:t xml:space="preserve">textes déterminés des </w:t>
            </w:r>
            <w:r w:rsidRPr="005B3C82">
              <w:rPr>
                <w:b/>
              </w:rPr>
              <w:t>projets de nouvelle Recommandation UIT-T X.1249 (X.tfcma) et UIT-T X.1361 (X.iotsec-2), qu'il est proposé d'approuver à la réunion de la Commission d'é</w:t>
            </w:r>
            <w:r w:rsidR="00A224D8">
              <w:rPr>
                <w:b/>
              </w:rPr>
              <w:t xml:space="preserve">tudes 17 de l'UIT-T </w:t>
            </w:r>
            <w:r w:rsidR="001C2839">
              <w:rPr>
                <w:b/>
              </w:rPr>
              <w:br/>
            </w:r>
            <w:r w:rsidR="00A224D8">
              <w:rPr>
                <w:b/>
              </w:rPr>
              <w:t xml:space="preserve">(Genève, 29 août </w:t>
            </w:r>
            <w:r w:rsidR="00A224D8" w:rsidRPr="00A224D8">
              <w:rPr>
                <w:b/>
              </w:rPr>
              <w:t>–</w:t>
            </w:r>
            <w:r w:rsidR="00A224D8">
              <w:rPr>
                <w:b/>
              </w:rPr>
              <w:t xml:space="preserve"> 7 </w:t>
            </w:r>
            <w:r w:rsidRPr="005B3C82">
              <w:rPr>
                <w:b/>
              </w:rPr>
              <w:t>septembre 2018)</w:t>
            </w:r>
          </w:p>
        </w:tc>
      </w:tr>
    </w:tbl>
    <w:p w14:paraId="0EF38754" w14:textId="77777777" w:rsidR="000F65FB" w:rsidRPr="005B3C82" w:rsidRDefault="000F65FB" w:rsidP="00A96C87">
      <w:pPr>
        <w:spacing w:before="240"/>
      </w:pPr>
      <w:bookmarkStart w:id="1" w:name="StartTyping_F"/>
      <w:bookmarkEnd w:id="1"/>
      <w:r w:rsidRPr="005B3C82">
        <w:t>Madame, Monsieur,</w:t>
      </w:r>
    </w:p>
    <w:p w14:paraId="2F9B493B" w14:textId="3E23BE4F" w:rsidR="000F65FB" w:rsidRPr="005B3C82" w:rsidRDefault="000F65FB" w:rsidP="00A224D8">
      <w:pPr>
        <w:rPr>
          <w:szCs w:val="22"/>
        </w:rPr>
      </w:pPr>
      <w:r w:rsidRPr="005B3C82">
        <w:t>1</w:t>
      </w:r>
      <w:r w:rsidRPr="005B3C82">
        <w:tab/>
        <w:t>La Commission d'études 17 de l'UIT-T (Sécurité) a l'intention d'appliquer la procédure d'approbation traditionnelle énoncée à la section 9 de la Résolution 1 (Rév.Hammamet, 2016) de l'AMNT pour l'approbation des projets de Recommandation mentionnés ci-dessus, à sa prochaine réunion, qui se tiendra à Genève du 29 août au 7 septembre 2018. L'ordre du jour ainsi que tous les renseignements pertinents concernant la réunion de la Commission d'études 17 de l'UIT-T seront disponibles dans la Lettre collective 4/17</w:t>
      </w:r>
      <w:r w:rsidR="00A224D8">
        <w:t>.</w:t>
      </w:r>
    </w:p>
    <w:p w14:paraId="73551A3F" w14:textId="77777777" w:rsidR="000F65FB" w:rsidRPr="005B3C82" w:rsidRDefault="000F65FB" w:rsidP="00A224D8">
      <w:r w:rsidRPr="005B3C82">
        <w:t>2</w:t>
      </w:r>
      <w:r w:rsidRPr="005B3C82">
        <w:tab/>
        <w:t>Vous trouverez dans l'Annexe 1 le titre, le résumé et la localisation des projets de nouvelle Recommandation UIT-T X.1249 (X.tfcma) et UIT-T X.1361 (X.iotsec-2), qu'il est proposé d'approuver.</w:t>
      </w:r>
    </w:p>
    <w:p w14:paraId="22DCDD79" w14:textId="3AB26409" w:rsidR="000F65FB" w:rsidRPr="005B3C82" w:rsidRDefault="000F65FB" w:rsidP="00A224D8">
      <w:r w:rsidRPr="005B3C82">
        <w:t>3</w:t>
      </w:r>
      <w:r w:rsidRPr="005B3C82">
        <w:tab/>
        <w:t>La présente Circulaire a pour objet d'engager le processus de consultation formelle des Etats Membres de l'UIT, qui devront indiquer si ces textes peuvent être examinés en vue de leur approbation à la prochaine réunion, conformément au paragraphe 9.4 de la Résolution 1. Les Etats Membres sont priés de remplir le formulaire de l'Annexe 2 et de le r</w:t>
      </w:r>
      <w:r w:rsidR="00A96C87">
        <w:t>envoyer d'ici au 17 août 2018 à </w:t>
      </w:r>
      <w:r w:rsidRPr="005B3C82">
        <w:t>23 h 59 (UTC)</w:t>
      </w:r>
      <w:r w:rsidR="009735EF">
        <w:rPr>
          <w:rStyle w:val="CommentReference"/>
        </w:rPr>
        <w:t>.</w:t>
      </w:r>
    </w:p>
    <w:p w14:paraId="0E2924BB" w14:textId="0A7EB59B" w:rsidR="000F65FB" w:rsidRPr="005B3C82" w:rsidRDefault="000F65FB" w:rsidP="00A96C87">
      <w:pPr>
        <w:keepLines/>
      </w:pPr>
      <w:r w:rsidRPr="005B3C82">
        <w:lastRenderedPageBreak/>
        <w:t>4</w:t>
      </w:r>
      <w:r w:rsidRPr="005B3C82">
        <w:tab/>
        <w:t>Si au moins 70% des réponses des Etats Membres sont en faveur de l'examen, aux fins d'approbation, de ce</w:t>
      </w:r>
      <w:r w:rsidR="00A224D8">
        <w:t>s</w:t>
      </w:r>
      <w:r w:rsidRPr="005B3C82">
        <w:t xml:space="preserve"> texte</w:t>
      </w:r>
      <w:r w:rsidR="00A224D8">
        <w:t>s</w:t>
      </w:r>
      <w:r w:rsidRPr="005B3C82">
        <w:t>, une séance plénière sera consacrée à l'application de la procédure d'approbation. Les Etats Membres qui n'autorisent pas la commission d'études à procéder ainsi doivent informer le Directeur du TSB des motifs de cette décision et lui faire part des éventuelles modifications qui permettraient la poursuite des travaux.</w:t>
      </w:r>
    </w:p>
    <w:p w14:paraId="5B72CF22" w14:textId="1C97120B" w:rsidR="000F65FB" w:rsidRPr="005B3C82" w:rsidRDefault="000F65FB" w:rsidP="00A224D8">
      <w:r w:rsidRPr="005B3C82">
        <w:t>Veuillez agréer, Madame, Monsieur, l'assurance de ma considération distinguée.</w:t>
      </w:r>
    </w:p>
    <w:p w14:paraId="5E8123D7" w14:textId="4151CFC5" w:rsidR="000F65FB" w:rsidRPr="00A224D8" w:rsidRDefault="009735EF" w:rsidP="009E3A90">
      <w:pPr>
        <w:spacing w:before="360" w:after="360"/>
        <w:rPr>
          <w:i/>
          <w:iCs/>
        </w:rPr>
      </w:pPr>
      <w:bookmarkStart w:id="2" w:name="_GoBack"/>
      <w:r w:rsidRPr="00A224D8">
        <w:rPr>
          <w:i/>
          <w:iCs/>
        </w:rPr>
        <w:t>(</w:t>
      </w:r>
      <w:proofErr w:type="gramStart"/>
      <w:r w:rsidRPr="00A224D8">
        <w:rPr>
          <w:i/>
          <w:iCs/>
        </w:rPr>
        <w:t>signé</w:t>
      </w:r>
      <w:proofErr w:type="gramEnd"/>
      <w:r w:rsidRPr="00A224D8">
        <w:rPr>
          <w:i/>
          <w:iCs/>
        </w:rPr>
        <w:t>)</w:t>
      </w:r>
    </w:p>
    <w:bookmarkEnd w:id="2"/>
    <w:p w14:paraId="1B48DCCE" w14:textId="77777777" w:rsidR="00517A03" w:rsidRDefault="000F65FB" w:rsidP="00A224D8">
      <w:proofErr w:type="spellStart"/>
      <w:r w:rsidRPr="009735EF">
        <w:t>Chaesub</w:t>
      </w:r>
      <w:proofErr w:type="spellEnd"/>
      <w:r w:rsidRPr="009735EF">
        <w:t xml:space="preserve"> Lee</w:t>
      </w:r>
      <w:r w:rsidRPr="009735EF">
        <w:br/>
        <w:t>Directeur du Bureau de la</w:t>
      </w:r>
      <w:r w:rsidRPr="009735EF">
        <w:br/>
        <w:t>normalisation des télécommunications</w:t>
      </w:r>
    </w:p>
    <w:p w14:paraId="536B7BCA" w14:textId="1825DA88" w:rsidR="009735EF" w:rsidRPr="009735EF" w:rsidRDefault="009735EF" w:rsidP="009E3A90">
      <w:pPr>
        <w:spacing w:before="1800" w:after="120"/>
      </w:pPr>
      <w:r w:rsidRPr="005B3C82">
        <w:rPr>
          <w:b/>
        </w:rPr>
        <w:t xml:space="preserve">Annexes: </w:t>
      </w:r>
      <w:r w:rsidRPr="009735EF">
        <w:rPr>
          <w:bCs/>
        </w:rPr>
        <w:t>2</w:t>
      </w:r>
    </w:p>
    <w:p w14:paraId="554B7B50" w14:textId="77777777" w:rsidR="00697BC1" w:rsidRDefault="00697BC1">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5CDA9613" w14:textId="77777777" w:rsidR="00A224D8" w:rsidRPr="005B3C82" w:rsidRDefault="00A224D8" w:rsidP="00846EDA">
      <w:pPr>
        <w:pStyle w:val="Annextitle0"/>
        <w:rPr>
          <w:lang w:val="fr-FR"/>
        </w:rPr>
      </w:pPr>
      <w:r w:rsidRPr="005B3C82">
        <w:rPr>
          <w:lang w:val="fr-FR"/>
        </w:rPr>
        <w:lastRenderedPageBreak/>
        <w:t>Annexe 1</w:t>
      </w:r>
      <w:r w:rsidRPr="005B3C82">
        <w:rPr>
          <w:lang w:val="fr-FR"/>
        </w:rPr>
        <w:br/>
        <w:t>(de la Circulaire TSB 86)</w:t>
      </w:r>
    </w:p>
    <w:p w14:paraId="48BC4C04" w14:textId="3399CBB7" w:rsidR="00A224D8" w:rsidRPr="005B3C82" w:rsidRDefault="00A224D8" w:rsidP="00846EDA">
      <w:pPr>
        <w:pStyle w:val="Annextitle0"/>
        <w:rPr>
          <w:lang w:val="fr-FR"/>
        </w:rPr>
      </w:pPr>
      <w:r w:rsidRPr="005B3C82">
        <w:rPr>
          <w:lang w:val="fr-FR"/>
        </w:rPr>
        <w:t xml:space="preserve">Résumé et localisation des </w:t>
      </w:r>
      <w:r w:rsidR="00846EDA">
        <w:rPr>
          <w:lang w:val="fr-FR"/>
        </w:rPr>
        <w:t>textes déterminés des projets de Recommandation</w:t>
      </w:r>
      <w:r w:rsidRPr="005B3C82">
        <w:rPr>
          <w:lang w:val="fr-FR"/>
        </w:rPr>
        <w:t xml:space="preserve"> </w:t>
      </w:r>
      <w:r w:rsidR="00846EDA">
        <w:rPr>
          <w:lang w:val="fr-FR"/>
        </w:rPr>
        <w:br/>
      </w:r>
      <w:r w:rsidRPr="005B3C82">
        <w:rPr>
          <w:lang w:val="fr-FR"/>
        </w:rPr>
        <w:t>UIT-T X.1249 (X.tfcma) et UIT-T X.1361 (X.iotsec-2)</w:t>
      </w:r>
    </w:p>
    <w:p w14:paraId="7ABD0B9E" w14:textId="31F31B0E" w:rsidR="00A224D8" w:rsidRPr="009E3A90" w:rsidRDefault="00A224D8" w:rsidP="009E3A90">
      <w:pPr>
        <w:pStyle w:val="Heading1"/>
      </w:pPr>
      <w:r w:rsidRPr="009E3A90">
        <w:t>1</w:t>
      </w:r>
      <w:r w:rsidRPr="009E3A90">
        <w:tab/>
        <w:t>Projet de nouvelle Recommandation UIT-T X.1361 (X.iotsec-2) [</w:t>
      </w:r>
      <w:hyperlink r:id="rId10" w:history="1">
        <w:r w:rsidRPr="009E3A90">
          <w:rPr>
            <w:rStyle w:val="Hyperlink"/>
          </w:rPr>
          <w:t>SG17-R20</w:t>
        </w:r>
      </w:hyperlink>
      <w:r w:rsidRPr="009E3A90">
        <w:t>]</w:t>
      </w:r>
    </w:p>
    <w:p w14:paraId="4173A841" w14:textId="77777777" w:rsidR="00A224D8" w:rsidRPr="005B3C82" w:rsidRDefault="00A224D8" w:rsidP="00846EDA">
      <w:pPr>
        <w:pStyle w:val="Heading2"/>
      </w:pPr>
      <w:r w:rsidRPr="005B3C82">
        <w:t>Cadre de sécurité applicable à l'Internet des objets fondé sur le modèle passerelle</w:t>
      </w:r>
    </w:p>
    <w:p w14:paraId="0D0AA932" w14:textId="77777777" w:rsidR="00A224D8" w:rsidRPr="005B3C82" w:rsidRDefault="00A224D8" w:rsidP="00846EDA">
      <w:pPr>
        <w:pStyle w:val="Headingb0"/>
        <w:rPr>
          <w:lang w:val="fr-FR"/>
        </w:rPr>
      </w:pPr>
      <w:r w:rsidRPr="005B3C82">
        <w:rPr>
          <w:lang w:val="fr-FR"/>
        </w:rPr>
        <w:t>Résumé</w:t>
      </w:r>
    </w:p>
    <w:p w14:paraId="6D09A5FF" w14:textId="6A3C5A6A" w:rsidR="00A224D8" w:rsidRPr="005B3C82" w:rsidRDefault="00A224D8" w:rsidP="00846EDA">
      <w:r w:rsidRPr="005B3C82">
        <w:t>L'Internet des objets est une infrastructure mondiale pour la société de l'information, qui permet de disposer de services évolués en interconnectant des objets (physiques ou virtuels) grâce aux technologies de l'information et de la communication interopérables existantes ou en évolution.</w:t>
      </w:r>
    </w:p>
    <w:p w14:paraId="263228BD" w14:textId="584B473D" w:rsidR="00A224D8" w:rsidRPr="005B3C82" w:rsidRDefault="00A224D8" w:rsidP="00846EDA">
      <w:pPr>
        <w:rPr>
          <w:rFonts w:eastAsia="Malgun Gothic"/>
          <w:lang w:eastAsia="ko-KR"/>
        </w:rPr>
      </w:pPr>
      <w:r w:rsidRPr="005B3C82">
        <w:t>La Recommandation UIT-T X.1361 décrit un cadre de sécurité applicabl</w:t>
      </w:r>
      <w:r w:rsidR="00846EDA">
        <w:t xml:space="preserve">e à l'Internet des objets </w:t>
      </w:r>
      <w:r w:rsidRPr="005B3C82">
        <w:t xml:space="preserve">qui s'appuie sur des passerelles de sécurité. Cette Recommandation analyse les menaces et les problèmes de sécurité dans l'environnement de l'Internet des objets et décrit les capacités qui pourraient </w:t>
      </w:r>
      <w:r w:rsidR="00846EDA">
        <w:t xml:space="preserve">permettre de </w:t>
      </w:r>
      <w:r w:rsidRPr="005B3C82">
        <w:t>faire face à ces menaces et à ces problèmes</w:t>
      </w:r>
      <w:r w:rsidR="00846EDA">
        <w:t xml:space="preserve"> et </w:t>
      </w:r>
      <w:r w:rsidR="009E3A90">
        <w:t xml:space="preserve">de </w:t>
      </w:r>
      <w:r w:rsidR="00846EDA">
        <w:t>les atténuer</w:t>
      </w:r>
      <w:r w:rsidRPr="005B3C82">
        <w:t>. Elle présente une méthode générale permettant de déterminer quelles capacités de sécurité sont requises pour faire face à ces menaces et à ces problèmes</w:t>
      </w:r>
      <w:r w:rsidR="00846EDA">
        <w:t xml:space="preserve"> et les atténuer</w:t>
      </w:r>
      <w:r w:rsidRPr="005B3C82">
        <w:t xml:space="preserve"> dans le cadre de l'Internet des objets.</w:t>
      </w:r>
    </w:p>
    <w:p w14:paraId="6D51B34C" w14:textId="77777777" w:rsidR="00A224D8" w:rsidRPr="005B3C82" w:rsidRDefault="00A224D8" w:rsidP="00846EDA">
      <w:pPr>
        <w:pStyle w:val="Heading1"/>
      </w:pPr>
      <w:r w:rsidRPr="005B3C82">
        <w:t>2</w:t>
      </w:r>
      <w:r w:rsidRPr="005B3C82">
        <w:tab/>
        <w:t>Projet de nouvelle Recommandation UIT-T X.1249 (X.tfcma) [</w:t>
      </w:r>
      <w:hyperlink r:id="rId11" w:history="1">
        <w:r w:rsidRPr="005B3C82">
          <w:rPr>
            <w:rStyle w:val="Hyperlink"/>
          </w:rPr>
          <w:t>SG17-R22</w:t>
        </w:r>
      </w:hyperlink>
      <w:r w:rsidRPr="005B3C82">
        <w:t>]</w:t>
      </w:r>
    </w:p>
    <w:p w14:paraId="7258663D" w14:textId="30433165" w:rsidR="00A224D8" w:rsidRPr="00B77C9E" w:rsidRDefault="00A224D8" w:rsidP="00846EDA">
      <w:pPr>
        <w:pStyle w:val="Headingb0"/>
        <w:rPr>
          <w:rFonts w:eastAsia="Malgun Gothic"/>
          <w:lang w:val="fr-CH"/>
        </w:rPr>
      </w:pPr>
      <w:r w:rsidRPr="00B77C9E">
        <w:rPr>
          <w:lang w:val="fr-CH"/>
        </w:rPr>
        <w:t>Cadre technique pour lutter contre le spam publicitaire sur les applications mobiles</w:t>
      </w:r>
    </w:p>
    <w:p w14:paraId="44572746" w14:textId="77777777" w:rsidR="00A224D8" w:rsidRPr="005B3C82" w:rsidRDefault="00A224D8" w:rsidP="00846EDA">
      <w:pPr>
        <w:pStyle w:val="Headingb0"/>
        <w:rPr>
          <w:lang w:val="fr-FR" w:eastAsia="ko-KR"/>
        </w:rPr>
      </w:pPr>
      <w:r w:rsidRPr="005B3C82">
        <w:rPr>
          <w:lang w:val="fr-FR" w:eastAsia="ko-KR"/>
        </w:rPr>
        <w:t>Résumé</w:t>
      </w:r>
    </w:p>
    <w:p w14:paraId="5E8A7EAC" w14:textId="23A428D3" w:rsidR="00A224D8" w:rsidRDefault="00A224D8" w:rsidP="009B793E">
      <w:r w:rsidRPr="005B3C82">
        <w:t>La Recommandation UIT-T X.1249 définit un cadre technique pour lutter contre le spam publicitaire sur les applications mobiles. Le spam publicitaire sur les applications mobiles désigne la diffusion de publicités non sollicitées qui s'affichent dans une application mobile. Ces messages non sollicités peuvent appara</w:t>
      </w:r>
      <w:r w:rsidR="009B793E">
        <w:t>î</w:t>
      </w:r>
      <w:r w:rsidRPr="005B3C82">
        <w:t xml:space="preserve">tre sur l'écran du dispositif mobile sous forme d'un bandeau situé en haut ou en bas de l'écran, d'un interstitiel sur mobile ou d'une superposition. </w:t>
      </w:r>
      <w:r w:rsidR="00846EDA">
        <w:t xml:space="preserve">Parallèlement à l'essor rapide </w:t>
      </w:r>
      <w:r w:rsidRPr="005B3C82">
        <w:t xml:space="preserve">des applications mobiles, la publicité sur ces applications a connu une croissance spectaculaire. Il </w:t>
      </w:r>
      <w:r w:rsidR="00846EDA">
        <w:t>faut d'urgence pouvoir</w:t>
      </w:r>
      <w:r w:rsidRPr="005B3C82">
        <w:t xml:space="preserve"> filtrer les publicités non désirées ou malveillantes, pour des raisons liées à l'expérience utilisateur ainsi qu'à la sécurité. De nombreuses contre-mesures ont été proposées et mises en œuvre, mais toutes présentent des</w:t>
      </w:r>
      <w:r w:rsidR="00846EDA">
        <w:t xml:space="preserve"> limites ou</w:t>
      </w:r>
      <w:r w:rsidRPr="005B3C82">
        <w:t xml:space="preserve"> des inconvénients, et les utilisateurs font toujours face à un volume important et à une grande part de spams publicitaires sur les applications mobiles. Il est donc nécessaire d'établir un cadre pratique pour lutter contre le spam publicitaire sur les applications mobiles, pouvant incorporer de manière raisonnable les avantages de toutes les contre-mesures.</w:t>
      </w:r>
    </w:p>
    <w:p w14:paraId="66A5730D" w14:textId="2023B679" w:rsidR="00A421F2" w:rsidRDefault="00A421F2" w:rsidP="00846EDA">
      <w:r>
        <w:br w:type="page"/>
      </w:r>
    </w:p>
    <w:p w14:paraId="022A68F3" w14:textId="08B6C4B8" w:rsidR="00A224D8" w:rsidRPr="005B3C82" w:rsidRDefault="00A224D8" w:rsidP="001C526B">
      <w:pPr>
        <w:pStyle w:val="Annextitle0"/>
        <w:spacing w:before="120" w:after="120"/>
        <w:rPr>
          <w:lang w:val="fr-FR"/>
        </w:rPr>
      </w:pPr>
      <w:r w:rsidRPr="005B3C82">
        <w:rPr>
          <w:lang w:val="fr-FR"/>
        </w:rPr>
        <w:t>Annexe 2</w:t>
      </w:r>
      <w:r w:rsidRPr="005B3C82">
        <w:rPr>
          <w:lang w:val="fr-FR"/>
        </w:rPr>
        <w:br/>
        <w:t>(de la Circulaire TSB 86)</w:t>
      </w:r>
    </w:p>
    <w:p w14:paraId="3008EB4D" w14:textId="6AEB0B5C" w:rsidR="00A224D8" w:rsidRPr="005B3C82" w:rsidRDefault="00A224D8" w:rsidP="00194A19">
      <w:pPr>
        <w:pStyle w:val="Annextitle0"/>
        <w:spacing w:before="400" w:after="400"/>
        <w:rPr>
          <w:lang w:val="fr-FR"/>
        </w:rPr>
      </w:pPr>
      <w:r w:rsidRPr="005B3C82">
        <w:rPr>
          <w:lang w:val="fr-FR"/>
        </w:rPr>
        <w:t>Objet: Réponse des Etats Membres à la Circulaire TSB 86:</w:t>
      </w:r>
      <w:r w:rsidR="00846EDA">
        <w:rPr>
          <w:lang w:val="fr-FR"/>
        </w:rPr>
        <w:t xml:space="preserve"> </w:t>
      </w:r>
      <w:r w:rsidRPr="005B3C82">
        <w:rPr>
          <w:lang w:val="fr-FR"/>
        </w:rPr>
        <w:t xml:space="preserve">Consultation au </w:t>
      </w:r>
      <w:r w:rsidR="00846EDA">
        <w:rPr>
          <w:lang w:val="fr-FR"/>
        </w:rPr>
        <w:br/>
      </w:r>
      <w:r w:rsidRPr="005B3C82">
        <w:rPr>
          <w:lang w:val="fr-FR"/>
        </w:rPr>
        <w:t xml:space="preserve">sujet des </w:t>
      </w:r>
      <w:r w:rsidR="00846EDA">
        <w:rPr>
          <w:lang w:val="fr-FR"/>
        </w:rPr>
        <w:t xml:space="preserve">textes déterminés des </w:t>
      </w:r>
      <w:r w:rsidRPr="005B3C82">
        <w:rPr>
          <w:lang w:val="fr-FR"/>
        </w:rPr>
        <w:t xml:space="preserve">projets de nouvelle </w:t>
      </w:r>
      <w:r w:rsidR="00846EDA">
        <w:rPr>
          <w:lang w:val="fr-FR"/>
        </w:rPr>
        <w:br/>
      </w:r>
      <w:r w:rsidRPr="005B3C82">
        <w:rPr>
          <w:lang w:val="fr-FR"/>
        </w:rPr>
        <w:t xml:space="preserve">Recommandation UIT-T X.1249 (X.tfcma) et </w:t>
      </w:r>
      <w:r w:rsidR="00846EDA">
        <w:rPr>
          <w:lang w:val="fr-FR"/>
        </w:rPr>
        <w:br/>
      </w:r>
      <w:r w:rsidRPr="005B3C82">
        <w:rPr>
          <w:lang w:val="fr-FR"/>
        </w:rPr>
        <w:t>UIT-T X.1361 (X.iotsec-2)</w:t>
      </w:r>
    </w:p>
    <w:tbl>
      <w:tblPr>
        <w:tblW w:w="9639" w:type="dxa"/>
        <w:tblLayout w:type="fixed"/>
        <w:tblLook w:val="04A0" w:firstRow="1" w:lastRow="0" w:firstColumn="1" w:lastColumn="0" w:noHBand="0" w:noVBand="1"/>
      </w:tblPr>
      <w:tblGrid>
        <w:gridCol w:w="1276"/>
        <w:gridCol w:w="3827"/>
        <w:gridCol w:w="1276"/>
        <w:gridCol w:w="3260"/>
      </w:tblGrid>
      <w:tr w:rsidR="00A224D8" w:rsidRPr="00B84394" w14:paraId="70370862" w14:textId="77777777" w:rsidTr="00556D98">
        <w:tc>
          <w:tcPr>
            <w:tcW w:w="1276" w:type="dxa"/>
            <w:shd w:val="clear" w:color="auto" w:fill="auto"/>
          </w:tcPr>
          <w:p w14:paraId="6137A537" w14:textId="77777777" w:rsidR="00A224D8" w:rsidRPr="005B3C82" w:rsidRDefault="00A224D8" w:rsidP="00EF6E77">
            <w:pPr>
              <w:spacing w:line="480" w:lineRule="auto"/>
              <w:jc w:val="right"/>
              <w:rPr>
                <w:szCs w:val="24"/>
              </w:rPr>
            </w:pPr>
            <w:r w:rsidRPr="005B3C82">
              <w:rPr>
                <w:b/>
                <w:bCs/>
              </w:rPr>
              <w:t>A:</w:t>
            </w:r>
          </w:p>
        </w:tc>
        <w:tc>
          <w:tcPr>
            <w:tcW w:w="3827" w:type="dxa"/>
            <w:tcBorders>
              <w:right w:val="single" w:sz="8" w:space="0" w:color="auto"/>
            </w:tcBorders>
            <w:shd w:val="clear" w:color="auto" w:fill="auto"/>
          </w:tcPr>
          <w:p w14:paraId="2ECA2153" w14:textId="7906487B" w:rsidR="00A224D8" w:rsidRPr="005B3C82" w:rsidRDefault="00A224D8" w:rsidP="001C526B">
            <w:pPr>
              <w:ind w:right="-284"/>
              <w:rPr>
                <w:bCs/>
              </w:rPr>
            </w:pPr>
            <w:r w:rsidRPr="005B3C82">
              <w:rPr>
                <w:bCs/>
              </w:rPr>
              <w:t xml:space="preserve">Directeur du Bureau de la </w:t>
            </w:r>
            <w:r w:rsidR="00194A19">
              <w:rPr>
                <w:bCs/>
              </w:rPr>
              <w:br/>
            </w:r>
            <w:r w:rsidRPr="005B3C82">
              <w:rPr>
                <w:bCs/>
              </w:rPr>
              <w:t>normalisation des télécommunications,</w:t>
            </w:r>
          </w:p>
          <w:p w14:paraId="1B6D27AD" w14:textId="5F1663FA" w:rsidR="00A224D8" w:rsidRPr="005B3C82" w:rsidRDefault="00A224D8" w:rsidP="001C526B">
            <w:pPr>
              <w:spacing w:before="0"/>
              <w:ind w:right="-284"/>
              <w:rPr>
                <w:bCs/>
              </w:rPr>
            </w:pPr>
            <w:r w:rsidRPr="005B3C82">
              <w:rPr>
                <w:bCs/>
              </w:rPr>
              <w:t xml:space="preserve">Union internationale des </w:t>
            </w:r>
            <w:r w:rsidR="00194A19">
              <w:rPr>
                <w:bCs/>
              </w:rPr>
              <w:br/>
            </w:r>
            <w:r w:rsidRPr="005B3C82">
              <w:rPr>
                <w:bCs/>
              </w:rPr>
              <w:t>télécommunications</w:t>
            </w:r>
          </w:p>
          <w:p w14:paraId="4597C601" w14:textId="77777777" w:rsidR="00A224D8" w:rsidRPr="005B3C82" w:rsidRDefault="00A224D8" w:rsidP="001C526B">
            <w:pPr>
              <w:spacing w:before="0"/>
              <w:ind w:right="-284"/>
              <w:rPr>
                <w:bCs/>
              </w:rPr>
            </w:pPr>
            <w:r w:rsidRPr="005B3C82">
              <w:rPr>
                <w:bCs/>
              </w:rPr>
              <w:t>Place des Nations</w:t>
            </w:r>
          </w:p>
          <w:p w14:paraId="6A93EA01" w14:textId="77777777" w:rsidR="00A224D8" w:rsidRPr="005B3C82" w:rsidRDefault="00A224D8" w:rsidP="001C526B">
            <w:pPr>
              <w:spacing w:before="0"/>
              <w:rPr>
                <w:szCs w:val="24"/>
              </w:rPr>
            </w:pPr>
            <w:r w:rsidRPr="005B3C82">
              <w:rPr>
                <w:bCs/>
              </w:rPr>
              <w:t>CH 1211 Genève 20, Suisse</w:t>
            </w:r>
          </w:p>
        </w:tc>
        <w:tc>
          <w:tcPr>
            <w:tcW w:w="1276" w:type="dxa"/>
            <w:tcBorders>
              <w:left w:val="single" w:sz="8" w:space="0" w:color="auto"/>
            </w:tcBorders>
            <w:shd w:val="clear" w:color="auto" w:fill="auto"/>
          </w:tcPr>
          <w:p w14:paraId="478519CE" w14:textId="77777777" w:rsidR="00A224D8" w:rsidRPr="005B3C82" w:rsidRDefault="00A224D8" w:rsidP="001C526B">
            <w:pPr>
              <w:jc w:val="right"/>
              <w:rPr>
                <w:szCs w:val="24"/>
              </w:rPr>
            </w:pPr>
            <w:r w:rsidRPr="005B3C82">
              <w:rPr>
                <w:b/>
                <w:bCs/>
              </w:rPr>
              <w:t>De</w:t>
            </w:r>
            <w:r w:rsidRPr="005B3C82">
              <w:rPr>
                <w:bCs/>
              </w:rPr>
              <w:t>:</w:t>
            </w:r>
          </w:p>
        </w:tc>
        <w:tc>
          <w:tcPr>
            <w:tcW w:w="3260" w:type="dxa"/>
            <w:shd w:val="clear" w:color="auto" w:fill="auto"/>
          </w:tcPr>
          <w:p w14:paraId="583BCDD3" w14:textId="77777777" w:rsidR="00A224D8" w:rsidRPr="005B3C82" w:rsidRDefault="00A224D8" w:rsidP="001C526B">
            <w:pPr>
              <w:ind w:right="-284"/>
              <w:rPr>
                <w:bCs/>
                <w:highlight w:val="green"/>
              </w:rPr>
            </w:pPr>
            <w:r w:rsidRPr="005B3C82">
              <w:rPr>
                <w:bCs/>
                <w:highlight w:val="green"/>
              </w:rPr>
              <w:t>[Nom]</w:t>
            </w:r>
          </w:p>
          <w:p w14:paraId="0953F744" w14:textId="77777777" w:rsidR="00A224D8" w:rsidRPr="005B3C82" w:rsidRDefault="00A224D8" w:rsidP="001C526B">
            <w:pPr>
              <w:spacing w:before="0"/>
              <w:ind w:right="-284"/>
              <w:rPr>
                <w:bCs/>
                <w:highlight w:val="green"/>
              </w:rPr>
            </w:pPr>
            <w:r w:rsidRPr="005B3C82">
              <w:rPr>
                <w:bCs/>
                <w:highlight w:val="green"/>
              </w:rPr>
              <w:t>[Rôle/titre officiel]</w:t>
            </w:r>
          </w:p>
          <w:p w14:paraId="7541967C" w14:textId="77777777" w:rsidR="00A224D8" w:rsidRPr="005B3C82" w:rsidRDefault="00A224D8" w:rsidP="001C526B">
            <w:pPr>
              <w:spacing w:before="0"/>
              <w:rPr>
                <w:szCs w:val="24"/>
              </w:rPr>
            </w:pPr>
            <w:r w:rsidRPr="005B3C82">
              <w:rPr>
                <w:bCs/>
                <w:highlight w:val="green"/>
              </w:rPr>
              <w:t>[Adresse]</w:t>
            </w:r>
          </w:p>
        </w:tc>
      </w:tr>
      <w:tr w:rsidR="00194A19" w:rsidRPr="00B84394" w14:paraId="7ACB010D" w14:textId="77777777" w:rsidTr="00556D98">
        <w:tc>
          <w:tcPr>
            <w:tcW w:w="1276" w:type="dxa"/>
            <w:shd w:val="clear" w:color="auto" w:fill="auto"/>
          </w:tcPr>
          <w:p w14:paraId="530955D4" w14:textId="77777777" w:rsidR="00194A19" w:rsidRPr="005B3C82" w:rsidRDefault="00194A19" w:rsidP="00EF6E77">
            <w:pPr>
              <w:spacing w:line="480" w:lineRule="auto"/>
              <w:jc w:val="right"/>
              <w:rPr>
                <w:b/>
                <w:bCs/>
              </w:rPr>
            </w:pPr>
          </w:p>
        </w:tc>
        <w:tc>
          <w:tcPr>
            <w:tcW w:w="3827" w:type="dxa"/>
            <w:tcBorders>
              <w:right w:val="single" w:sz="8" w:space="0" w:color="auto"/>
            </w:tcBorders>
            <w:shd w:val="clear" w:color="auto" w:fill="auto"/>
          </w:tcPr>
          <w:p w14:paraId="282E7F2F" w14:textId="77777777" w:rsidR="00194A19" w:rsidRPr="005B3C82" w:rsidRDefault="00194A19" w:rsidP="001C526B">
            <w:pPr>
              <w:ind w:right="-284"/>
              <w:rPr>
                <w:bCs/>
              </w:rPr>
            </w:pPr>
          </w:p>
        </w:tc>
        <w:tc>
          <w:tcPr>
            <w:tcW w:w="1276" w:type="dxa"/>
            <w:tcBorders>
              <w:left w:val="single" w:sz="8" w:space="0" w:color="auto"/>
            </w:tcBorders>
            <w:shd w:val="clear" w:color="auto" w:fill="auto"/>
          </w:tcPr>
          <w:p w14:paraId="1AD1E766" w14:textId="77777777" w:rsidR="00194A19" w:rsidRPr="005B3C82" w:rsidRDefault="00194A19" w:rsidP="001C526B">
            <w:pPr>
              <w:jc w:val="right"/>
              <w:rPr>
                <w:b/>
                <w:bCs/>
              </w:rPr>
            </w:pPr>
          </w:p>
        </w:tc>
        <w:tc>
          <w:tcPr>
            <w:tcW w:w="3260" w:type="dxa"/>
            <w:shd w:val="clear" w:color="auto" w:fill="auto"/>
          </w:tcPr>
          <w:p w14:paraId="01A6E5D0" w14:textId="77777777" w:rsidR="00194A19" w:rsidRPr="005B3C82" w:rsidRDefault="00194A19" w:rsidP="001C526B">
            <w:pPr>
              <w:ind w:right="-284"/>
              <w:rPr>
                <w:bCs/>
                <w:highlight w:val="green"/>
              </w:rPr>
            </w:pPr>
          </w:p>
        </w:tc>
      </w:tr>
      <w:tr w:rsidR="00A224D8" w:rsidRPr="005B3C82" w14:paraId="169DE0C4" w14:textId="77777777" w:rsidTr="00556D98">
        <w:trPr>
          <w:trHeight w:val="923"/>
        </w:trPr>
        <w:tc>
          <w:tcPr>
            <w:tcW w:w="1276" w:type="dxa"/>
            <w:shd w:val="clear" w:color="auto" w:fill="auto"/>
          </w:tcPr>
          <w:p w14:paraId="0A4982D4" w14:textId="315E4649" w:rsidR="00A224D8" w:rsidRPr="005B3C82" w:rsidRDefault="009B793E" w:rsidP="00556D98">
            <w:pPr>
              <w:spacing w:before="0"/>
              <w:jc w:val="right"/>
              <w:rPr>
                <w:szCs w:val="24"/>
              </w:rPr>
            </w:pPr>
            <w:r>
              <w:rPr>
                <w:b/>
                <w:bCs/>
              </w:rPr>
              <w:t>Télécopie</w:t>
            </w:r>
            <w:r w:rsidR="00A224D8" w:rsidRPr="005B3C82">
              <w:rPr>
                <w:bCs/>
              </w:rPr>
              <w:t>:</w:t>
            </w:r>
            <w:r w:rsidR="00A224D8" w:rsidRPr="005B3C82">
              <w:rPr>
                <w:bCs/>
              </w:rPr>
              <w:br/>
            </w:r>
            <w:r w:rsidR="00A224D8" w:rsidRPr="005B3C82">
              <w:rPr>
                <w:b/>
                <w:bCs/>
              </w:rPr>
              <w:t>Courrie</w:t>
            </w:r>
            <w:r w:rsidR="00194A19">
              <w:rPr>
                <w:b/>
                <w:bCs/>
              </w:rPr>
              <w:t>l</w:t>
            </w:r>
            <w:r w:rsidR="00A224D8" w:rsidRPr="005B3C82">
              <w:rPr>
                <w:bCs/>
              </w:rPr>
              <w:t>:</w:t>
            </w:r>
          </w:p>
        </w:tc>
        <w:tc>
          <w:tcPr>
            <w:tcW w:w="3827" w:type="dxa"/>
            <w:tcBorders>
              <w:right w:val="single" w:sz="8" w:space="0" w:color="auto"/>
            </w:tcBorders>
            <w:shd w:val="clear" w:color="auto" w:fill="auto"/>
          </w:tcPr>
          <w:p w14:paraId="412CAFCB" w14:textId="77777777" w:rsidR="00A224D8" w:rsidRPr="005B3C82" w:rsidRDefault="00A224D8" w:rsidP="001C526B">
            <w:pPr>
              <w:spacing w:before="0"/>
              <w:rPr>
                <w:szCs w:val="24"/>
              </w:rPr>
            </w:pPr>
            <w:r w:rsidRPr="005B3C82">
              <w:rPr>
                <w:bCs/>
              </w:rPr>
              <w:t>+41-22-730-5853</w:t>
            </w:r>
            <w:r w:rsidRPr="005B3C82">
              <w:rPr>
                <w:bCs/>
              </w:rPr>
              <w:br/>
            </w:r>
            <w:hyperlink r:id="rId12" w:history="1">
              <w:r w:rsidRPr="005B3C82">
                <w:rPr>
                  <w:rStyle w:val="Hyperlink"/>
                  <w:bCs/>
                </w:rPr>
                <w:t>tsbdir@itu.int</w:t>
              </w:r>
            </w:hyperlink>
            <w:r w:rsidRPr="005B3C82">
              <w:rPr>
                <w:bCs/>
              </w:rPr>
              <w:t xml:space="preserve"> </w:t>
            </w:r>
          </w:p>
        </w:tc>
        <w:tc>
          <w:tcPr>
            <w:tcW w:w="1276" w:type="dxa"/>
            <w:tcBorders>
              <w:left w:val="single" w:sz="8" w:space="0" w:color="auto"/>
            </w:tcBorders>
            <w:shd w:val="clear" w:color="auto" w:fill="auto"/>
          </w:tcPr>
          <w:p w14:paraId="6A60E219" w14:textId="77777777" w:rsidR="00A224D8" w:rsidRPr="005B3C82" w:rsidRDefault="00A224D8" w:rsidP="001C526B">
            <w:pPr>
              <w:spacing w:before="0"/>
              <w:jc w:val="right"/>
              <w:rPr>
                <w:szCs w:val="24"/>
              </w:rPr>
            </w:pPr>
            <w:r w:rsidRPr="005B3C82">
              <w:rPr>
                <w:b/>
                <w:bCs/>
              </w:rPr>
              <w:t>Télécopie:</w:t>
            </w:r>
            <w:r w:rsidRPr="005B3C82">
              <w:rPr>
                <w:b/>
                <w:bCs/>
              </w:rPr>
              <w:br/>
              <w:t>Courriel</w:t>
            </w:r>
            <w:r w:rsidRPr="005B3C82">
              <w:rPr>
                <w:bCs/>
              </w:rPr>
              <w:t>:</w:t>
            </w:r>
          </w:p>
        </w:tc>
        <w:tc>
          <w:tcPr>
            <w:tcW w:w="3260" w:type="dxa"/>
            <w:shd w:val="clear" w:color="auto" w:fill="auto"/>
          </w:tcPr>
          <w:p w14:paraId="21CED3BE" w14:textId="77777777" w:rsidR="00A224D8" w:rsidRPr="005B3C82" w:rsidRDefault="00A224D8" w:rsidP="001C526B">
            <w:pPr>
              <w:spacing w:before="0"/>
              <w:rPr>
                <w:szCs w:val="24"/>
              </w:rPr>
            </w:pPr>
          </w:p>
        </w:tc>
      </w:tr>
      <w:tr w:rsidR="00A224D8" w:rsidRPr="005B3C82" w14:paraId="047F04F3" w14:textId="77777777" w:rsidTr="00556D98">
        <w:trPr>
          <w:trHeight w:val="301"/>
        </w:trPr>
        <w:tc>
          <w:tcPr>
            <w:tcW w:w="1276" w:type="dxa"/>
            <w:shd w:val="clear" w:color="auto" w:fill="auto"/>
          </w:tcPr>
          <w:p w14:paraId="41C47048" w14:textId="77777777" w:rsidR="00A224D8" w:rsidRPr="005B3C82" w:rsidRDefault="00A224D8" w:rsidP="00EF6E77">
            <w:pPr>
              <w:spacing w:before="0" w:line="480" w:lineRule="auto"/>
              <w:jc w:val="right"/>
              <w:rPr>
                <w:szCs w:val="24"/>
              </w:rPr>
            </w:pPr>
          </w:p>
        </w:tc>
        <w:tc>
          <w:tcPr>
            <w:tcW w:w="3827" w:type="dxa"/>
            <w:tcBorders>
              <w:right w:val="single" w:sz="8" w:space="0" w:color="auto"/>
            </w:tcBorders>
            <w:shd w:val="clear" w:color="auto" w:fill="auto"/>
          </w:tcPr>
          <w:p w14:paraId="28145306" w14:textId="77777777" w:rsidR="00A224D8" w:rsidRPr="005B3C82" w:rsidRDefault="00A224D8" w:rsidP="001C526B">
            <w:pPr>
              <w:spacing w:before="0"/>
              <w:rPr>
                <w:szCs w:val="24"/>
              </w:rPr>
            </w:pPr>
          </w:p>
        </w:tc>
        <w:tc>
          <w:tcPr>
            <w:tcW w:w="1276" w:type="dxa"/>
            <w:tcBorders>
              <w:left w:val="single" w:sz="8" w:space="0" w:color="auto"/>
            </w:tcBorders>
            <w:shd w:val="clear" w:color="auto" w:fill="auto"/>
          </w:tcPr>
          <w:p w14:paraId="2EC1D0FE" w14:textId="77777777" w:rsidR="00A224D8" w:rsidRPr="005B3C82" w:rsidRDefault="00A224D8" w:rsidP="001C526B">
            <w:pPr>
              <w:spacing w:before="0"/>
              <w:jc w:val="right"/>
              <w:rPr>
                <w:szCs w:val="24"/>
              </w:rPr>
            </w:pPr>
            <w:r w:rsidRPr="005B3C82">
              <w:rPr>
                <w:b/>
                <w:bCs/>
              </w:rPr>
              <w:t>Date</w:t>
            </w:r>
            <w:r w:rsidRPr="005B3C82">
              <w:rPr>
                <w:bCs/>
              </w:rPr>
              <w:t>:</w:t>
            </w:r>
          </w:p>
        </w:tc>
        <w:tc>
          <w:tcPr>
            <w:tcW w:w="3260" w:type="dxa"/>
            <w:shd w:val="clear" w:color="auto" w:fill="auto"/>
          </w:tcPr>
          <w:p w14:paraId="5C7B6282" w14:textId="175B8D9C" w:rsidR="00A224D8" w:rsidRPr="005B3C82" w:rsidRDefault="00A224D8" w:rsidP="001C526B">
            <w:pPr>
              <w:spacing w:before="0"/>
              <w:rPr>
                <w:szCs w:val="24"/>
              </w:rPr>
            </w:pPr>
            <w:r w:rsidRPr="005B3C82">
              <w:rPr>
                <w:bCs/>
                <w:highlight w:val="green"/>
              </w:rPr>
              <w:t>[Lieu,] [Date]</w:t>
            </w:r>
          </w:p>
        </w:tc>
      </w:tr>
    </w:tbl>
    <w:p w14:paraId="17ED8B16" w14:textId="77777777" w:rsidR="00A224D8" w:rsidRPr="005B3C82" w:rsidRDefault="00A224D8" w:rsidP="00846EDA">
      <w:r w:rsidRPr="005B3C82">
        <w:t>Madame, Monsieur,</w:t>
      </w:r>
    </w:p>
    <w:p w14:paraId="0EFD964C" w14:textId="73291C16" w:rsidR="00A224D8" w:rsidRPr="005B3C82" w:rsidRDefault="00A224D8" w:rsidP="00194A19">
      <w:pPr>
        <w:spacing w:after="120"/>
      </w:pPr>
      <w:r w:rsidRPr="005B3C82">
        <w:t>Dans le cadre de la consultation des Etats Membres au sujet des projets de document déterminés dont il est question dans la Circulaire 86 du TSB,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A224D8" w:rsidRPr="00B84394" w14:paraId="21A2146D" w14:textId="77777777" w:rsidTr="00EF6E77">
        <w:trPr>
          <w:tblHeader/>
        </w:trPr>
        <w:tc>
          <w:tcPr>
            <w:tcW w:w="2067" w:type="dxa"/>
            <w:shd w:val="clear" w:color="auto" w:fill="auto"/>
            <w:vAlign w:val="center"/>
          </w:tcPr>
          <w:p w14:paraId="317BAA24" w14:textId="77777777" w:rsidR="00A224D8" w:rsidRPr="005B3C82" w:rsidRDefault="00A224D8" w:rsidP="00EF6E77">
            <w:pPr>
              <w:spacing w:after="120" w:line="480" w:lineRule="auto"/>
              <w:jc w:val="center"/>
              <w:rPr>
                <w:b/>
                <w:bCs/>
                <w:szCs w:val="24"/>
              </w:rPr>
            </w:pPr>
          </w:p>
        </w:tc>
        <w:tc>
          <w:tcPr>
            <w:tcW w:w="7652" w:type="dxa"/>
            <w:shd w:val="clear" w:color="auto" w:fill="auto"/>
            <w:vAlign w:val="center"/>
          </w:tcPr>
          <w:p w14:paraId="703AFA52" w14:textId="77777777" w:rsidR="00A224D8" w:rsidRPr="005B3C82" w:rsidRDefault="00A224D8" w:rsidP="001C526B">
            <w:pPr>
              <w:pStyle w:val="TableHead"/>
            </w:pPr>
            <w:r w:rsidRPr="005B3C82">
              <w:t>Cochez l'une des deux cases</w:t>
            </w:r>
          </w:p>
        </w:tc>
      </w:tr>
      <w:tr w:rsidR="00A224D8" w:rsidRPr="00B84394" w14:paraId="0E8BB058" w14:textId="77777777" w:rsidTr="00EF6E77">
        <w:trPr>
          <w:trHeight w:val="748"/>
        </w:trPr>
        <w:tc>
          <w:tcPr>
            <w:tcW w:w="2067" w:type="dxa"/>
            <w:vMerge w:val="restart"/>
            <w:shd w:val="clear" w:color="auto" w:fill="auto"/>
            <w:vAlign w:val="center"/>
          </w:tcPr>
          <w:p w14:paraId="61F65E28" w14:textId="77777777" w:rsidR="00A224D8" w:rsidRPr="005B3C82" w:rsidRDefault="00A224D8" w:rsidP="001C526B">
            <w:pPr>
              <w:pStyle w:val="TableHead"/>
            </w:pPr>
            <w:r w:rsidRPr="005B3C82">
              <w:t>Projet de</w:t>
            </w:r>
            <w:r w:rsidRPr="005B3C82">
              <w:br/>
              <w:t>Recommandation UIT-T X.1249</w:t>
            </w:r>
            <w:r w:rsidRPr="005B3C82">
              <w:br/>
              <w:t>(anciennement X.tfcma)</w:t>
            </w:r>
          </w:p>
        </w:tc>
        <w:tc>
          <w:tcPr>
            <w:tcW w:w="7652" w:type="dxa"/>
            <w:shd w:val="clear" w:color="auto" w:fill="auto"/>
            <w:vAlign w:val="center"/>
          </w:tcPr>
          <w:p w14:paraId="43870617" w14:textId="59D12374" w:rsidR="00A224D8" w:rsidRPr="005B3C82" w:rsidRDefault="00A224D8" w:rsidP="00264F93">
            <w:pPr>
              <w:pStyle w:val="TableText"/>
              <w:spacing w:before="120" w:after="120"/>
              <w:ind w:left="567" w:hanging="567"/>
            </w:pPr>
            <w:r w:rsidRPr="005B3C82">
              <w:rPr>
                <w:szCs w:val="22"/>
              </w:rPr>
              <w:fldChar w:fldCharType="begin">
                <w:ffData>
                  <w:name w:val="Check1"/>
                  <w:enabled/>
                  <w:calcOnExit w:val="0"/>
                  <w:checkBox>
                    <w:sizeAuto/>
                    <w:default w:val="0"/>
                  </w:checkBox>
                </w:ffData>
              </w:fldChar>
            </w:r>
            <w:r w:rsidRPr="005B3C82">
              <w:rPr>
                <w:szCs w:val="22"/>
              </w:rPr>
              <w:instrText xml:space="preserve"> FORMCHECKBOX </w:instrText>
            </w:r>
            <w:r w:rsidR="007E5E9E">
              <w:rPr>
                <w:szCs w:val="22"/>
              </w:rPr>
            </w:r>
            <w:r w:rsidR="007E5E9E">
              <w:rPr>
                <w:szCs w:val="22"/>
              </w:rPr>
              <w:fldChar w:fldCharType="separate"/>
            </w:r>
            <w:r w:rsidRPr="005B3C82">
              <w:rPr>
                <w:szCs w:val="22"/>
              </w:rPr>
              <w:fldChar w:fldCharType="end"/>
            </w:r>
            <w:r w:rsidR="001C526B">
              <w:rPr>
                <w:szCs w:val="22"/>
              </w:rPr>
              <w:tab/>
            </w:r>
            <w:r w:rsidRPr="005B3C82">
              <w:rPr>
                <w:sz w:val="20"/>
              </w:rPr>
              <w:tab/>
            </w:r>
            <w:r w:rsidRPr="005B3C82">
              <w:rPr>
                <w:b/>
                <w:bCs/>
              </w:rPr>
              <w:t>autorise</w:t>
            </w:r>
            <w:r w:rsidRPr="005B3C82">
              <w:t xml:space="preserve"> la Commission d'études 17 à procéder à l'examen de ce document en vue de son approbation (dans ce cas, sélectionnez l'une des deux options ⃝):</w:t>
            </w:r>
          </w:p>
          <w:p w14:paraId="2E0166DD" w14:textId="474A0D21" w:rsidR="00A224D8" w:rsidRPr="005B3C82" w:rsidRDefault="001C526B" w:rsidP="001C526B">
            <w:pPr>
              <w:pStyle w:val="TableText"/>
            </w:pPr>
            <w:r>
              <w:rPr>
                <w:sz w:val="20"/>
              </w:rPr>
              <w:tab/>
            </w:r>
            <w:r w:rsidR="00A224D8" w:rsidRPr="005B3C82">
              <w:rPr>
                <w:sz w:val="20"/>
              </w:rPr>
              <w:t>⃝</w:t>
            </w:r>
            <w:r w:rsidR="00A224D8" w:rsidRPr="005B3C82">
              <w:rPr>
                <w:sz w:val="20"/>
              </w:rPr>
              <w:tab/>
            </w:r>
            <w:r w:rsidR="00A224D8" w:rsidRPr="005B3C82">
              <w:t>Pas de commentaire ou de proposition de modification</w:t>
            </w:r>
          </w:p>
          <w:p w14:paraId="06D40335" w14:textId="7EE68BB8" w:rsidR="00A224D8" w:rsidRPr="005B3C82" w:rsidRDefault="001C526B" w:rsidP="00194A19">
            <w:pPr>
              <w:pStyle w:val="TableText"/>
              <w:spacing w:after="120"/>
            </w:pPr>
            <w:r>
              <w:rPr>
                <w:sz w:val="20"/>
              </w:rPr>
              <w:tab/>
            </w:r>
            <w:r w:rsidR="00A224D8" w:rsidRPr="005B3C82">
              <w:rPr>
                <w:sz w:val="20"/>
              </w:rPr>
              <w:t>⃝</w:t>
            </w:r>
            <w:r w:rsidR="00A224D8" w:rsidRPr="005B3C82">
              <w:rPr>
                <w:sz w:val="20"/>
              </w:rPr>
              <w:tab/>
            </w:r>
            <w:r w:rsidR="00A224D8" w:rsidRPr="005B3C82">
              <w:t>Des commentaires ou propositions de modification sont joints à la présente</w:t>
            </w:r>
          </w:p>
        </w:tc>
      </w:tr>
      <w:tr w:rsidR="00A224D8" w:rsidRPr="00B84394" w14:paraId="53635F6E" w14:textId="77777777" w:rsidTr="00EF6E77">
        <w:trPr>
          <w:trHeight w:val="747"/>
        </w:trPr>
        <w:tc>
          <w:tcPr>
            <w:tcW w:w="2067" w:type="dxa"/>
            <w:vMerge/>
            <w:shd w:val="clear" w:color="auto" w:fill="auto"/>
            <w:vAlign w:val="center"/>
          </w:tcPr>
          <w:p w14:paraId="1FF8DA44" w14:textId="77777777" w:rsidR="00A224D8" w:rsidRPr="005B3C82" w:rsidRDefault="00A224D8" w:rsidP="00EF6E77">
            <w:pPr>
              <w:spacing w:before="60" w:after="60" w:line="480" w:lineRule="auto"/>
              <w:jc w:val="center"/>
              <w:rPr>
                <w:b/>
                <w:bCs/>
                <w:szCs w:val="24"/>
              </w:rPr>
            </w:pPr>
          </w:p>
        </w:tc>
        <w:tc>
          <w:tcPr>
            <w:tcW w:w="7652" w:type="dxa"/>
            <w:shd w:val="clear" w:color="auto" w:fill="auto"/>
            <w:vAlign w:val="center"/>
          </w:tcPr>
          <w:p w14:paraId="28DA2252" w14:textId="2844BD28" w:rsidR="00A224D8" w:rsidRPr="005B3C82" w:rsidRDefault="00A224D8" w:rsidP="00264F93">
            <w:pPr>
              <w:pStyle w:val="TableText"/>
              <w:spacing w:before="120" w:after="120"/>
              <w:ind w:left="567" w:hanging="567"/>
              <w:rPr>
                <w:sz w:val="20"/>
              </w:rPr>
            </w:pPr>
            <w:r w:rsidRPr="005B3C82">
              <w:rPr>
                <w:szCs w:val="22"/>
              </w:rPr>
              <w:fldChar w:fldCharType="begin">
                <w:ffData>
                  <w:name w:val="Check1"/>
                  <w:enabled/>
                  <w:calcOnExit w:val="0"/>
                  <w:checkBox>
                    <w:sizeAuto/>
                    <w:default w:val="0"/>
                  </w:checkBox>
                </w:ffData>
              </w:fldChar>
            </w:r>
            <w:r w:rsidRPr="005B3C82">
              <w:rPr>
                <w:szCs w:val="22"/>
              </w:rPr>
              <w:instrText xml:space="preserve"> FORMCHECKBOX </w:instrText>
            </w:r>
            <w:r w:rsidR="007E5E9E">
              <w:rPr>
                <w:szCs w:val="22"/>
              </w:rPr>
            </w:r>
            <w:r w:rsidR="007E5E9E">
              <w:rPr>
                <w:szCs w:val="22"/>
              </w:rPr>
              <w:fldChar w:fldCharType="separate"/>
            </w:r>
            <w:r w:rsidRPr="005B3C82">
              <w:rPr>
                <w:szCs w:val="22"/>
              </w:rPr>
              <w:fldChar w:fldCharType="end"/>
            </w:r>
            <w:r w:rsidRPr="005B3C82">
              <w:rPr>
                <w:szCs w:val="22"/>
              </w:rPr>
              <w:tab/>
            </w:r>
            <w:r w:rsidR="001C526B">
              <w:rPr>
                <w:szCs w:val="22"/>
              </w:rPr>
              <w:tab/>
            </w:r>
            <w:r w:rsidRPr="005B3C82">
              <w:rPr>
                <w:b/>
                <w:bCs/>
              </w:rPr>
              <w:t>n'autorise pas</w:t>
            </w:r>
            <w:r w:rsidRPr="005B3C82">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bl>
    <w:p w14:paraId="25B2A901" w14:textId="77777777" w:rsidR="00264F93" w:rsidRDefault="00264F9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264F93" w:rsidRPr="00B84394" w14:paraId="3E3E54CE" w14:textId="77777777" w:rsidTr="004C58C1">
        <w:trPr>
          <w:tblHeader/>
        </w:trPr>
        <w:tc>
          <w:tcPr>
            <w:tcW w:w="2067" w:type="dxa"/>
            <w:shd w:val="clear" w:color="auto" w:fill="auto"/>
            <w:vAlign w:val="center"/>
          </w:tcPr>
          <w:p w14:paraId="4F168CBB" w14:textId="77777777" w:rsidR="00264F93" w:rsidRPr="005B3C82" w:rsidRDefault="00264F93" w:rsidP="004C58C1">
            <w:pPr>
              <w:spacing w:after="120" w:line="480" w:lineRule="auto"/>
              <w:jc w:val="center"/>
              <w:rPr>
                <w:b/>
                <w:bCs/>
                <w:szCs w:val="24"/>
              </w:rPr>
            </w:pPr>
          </w:p>
        </w:tc>
        <w:tc>
          <w:tcPr>
            <w:tcW w:w="7652" w:type="dxa"/>
            <w:shd w:val="clear" w:color="auto" w:fill="auto"/>
            <w:vAlign w:val="center"/>
          </w:tcPr>
          <w:p w14:paraId="2F21C990" w14:textId="77777777" w:rsidR="00264F93" w:rsidRPr="005B3C82" w:rsidRDefault="00264F93" w:rsidP="004C58C1">
            <w:pPr>
              <w:pStyle w:val="TableHead"/>
            </w:pPr>
            <w:r w:rsidRPr="005B3C82">
              <w:t>Cochez l'une des deux cases</w:t>
            </w:r>
          </w:p>
        </w:tc>
      </w:tr>
      <w:tr w:rsidR="00A224D8" w:rsidRPr="00B84394" w14:paraId="6C2C2BC2" w14:textId="77777777" w:rsidTr="00EF6E77">
        <w:trPr>
          <w:trHeight w:val="748"/>
        </w:trPr>
        <w:tc>
          <w:tcPr>
            <w:tcW w:w="2067" w:type="dxa"/>
            <w:vMerge w:val="restart"/>
            <w:shd w:val="clear" w:color="auto" w:fill="auto"/>
            <w:vAlign w:val="center"/>
          </w:tcPr>
          <w:p w14:paraId="2650EF48" w14:textId="4033FE61" w:rsidR="00A224D8" w:rsidRPr="005B3C82" w:rsidRDefault="00A224D8" w:rsidP="00264F93">
            <w:pPr>
              <w:spacing w:before="60" w:after="60"/>
              <w:jc w:val="center"/>
              <w:rPr>
                <w:b/>
                <w:bCs/>
                <w:szCs w:val="24"/>
              </w:rPr>
            </w:pPr>
            <w:r w:rsidRPr="001C526B">
              <w:rPr>
                <w:b/>
                <w:sz w:val="22"/>
              </w:rPr>
              <w:t>Projet de</w:t>
            </w:r>
            <w:r w:rsidRPr="001C526B">
              <w:rPr>
                <w:b/>
                <w:sz w:val="22"/>
              </w:rPr>
              <w:br/>
              <w:t>Recommandation</w:t>
            </w:r>
            <w:r w:rsidRPr="005B3C82">
              <w:rPr>
                <w:b/>
              </w:rPr>
              <w:br/>
            </w:r>
            <w:r w:rsidRPr="001C526B">
              <w:rPr>
                <w:b/>
                <w:sz w:val="22"/>
              </w:rPr>
              <w:t>UIT-T X.1361 (X.iotsec-2)</w:t>
            </w:r>
          </w:p>
        </w:tc>
        <w:tc>
          <w:tcPr>
            <w:tcW w:w="7652" w:type="dxa"/>
            <w:shd w:val="clear" w:color="auto" w:fill="auto"/>
            <w:vAlign w:val="center"/>
          </w:tcPr>
          <w:p w14:paraId="09F85B5A" w14:textId="27C50BA0" w:rsidR="00A224D8" w:rsidRPr="005B3C82" w:rsidRDefault="00A224D8" w:rsidP="00264F93">
            <w:pPr>
              <w:pStyle w:val="TableText"/>
              <w:spacing w:before="120" w:after="120"/>
              <w:ind w:left="567" w:hanging="567"/>
            </w:pPr>
            <w:r w:rsidRPr="005B3C82">
              <w:rPr>
                <w:szCs w:val="22"/>
              </w:rPr>
              <w:fldChar w:fldCharType="begin">
                <w:ffData>
                  <w:name w:val="Check1"/>
                  <w:enabled/>
                  <w:calcOnExit w:val="0"/>
                  <w:checkBox>
                    <w:sizeAuto/>
                    <w:default w:val="0"/>
                  </w:checkBox>
                </w:ffData>
              </w:fldChar>
            </w:r>
            <w:r w:rsidRPr="005B3C82">
              <w:rPr>
                <w:szCs w:val="22"/>
              </w:rPr>
              <w:instrText xml:space="preserve"> FORMCHECKBOX </w:instrText>
            </w:r>
            <w:r w:rsidR="007E5E9E">
              <w:rPr>
                <w:szCs w:val="22"/>
              </w:rPr>
            </w:r>
            <w:r w:rsidR="007E5E9E">
              <w:rPr>
                <w:szCs w:val="22"/>
              </w:rPr>
              <w:fldChar w:fldCharType="separate"/>
            </w:r>
            <w:r w:rsidRPr="005B3C82">
              <w:rPr>
                <w:szCs w:val="22"/>
              </w:rPr>
              <w:fldChar w:fldCharType="end"/>
            </w:r>
            <w:r w:rsidR="001C526B">
              <w:rPr>
                <w:szCs w:val="22"/>
              </w:rPr>
              <w:tab/>
            </w:r>
            <w:r w:rsidRPr="005B3C82">
              <w:rPr>
                <w:sz w:val="20"/>
              </w:rPr>
              <w:tab/>
            </w:r>
            <w:r w:rsidRPr="005B3C82">
              <w:rPr>
                <w:b/>
                <w:bCs/>
              </w:rPr>
              <w:t xml:space="preserve">autorise </w:t>
            </w:r>
            <w:r w:rsidRPr="005B3C82">
              <w:t>la Commission d'études 17 à procéder à l'examen de ce document en vue de son approbation (dans ce cas, sélectionnez l'une des deux options ⃝):</w:t>
            </w:r>
          </w:p>
          <w:p w14:paraId="17D53608" w14:textId="4D5BBE5C" w:rsidR="00A224D8" w:rsidRPr="005B3C82" w:rsidRDefault="001C526B" w:rsidP="001C526B">
            <w:pPr>
              <w:pStyle w:val="TableText"/>
            </w:pPr>
            <w:r>
              <w:rPr>
                <w:sz w:val="20"/>
              </w:rPr>
              <w:tab/>
            </w:r>
            <w:r w:rsidR="00A224D8" w:rsidRPr="005B3C82">
              <w:rPr>
                <w:sz w:val="20"/>
              </w:rPr>
              <w:t>⃝</w:t>
            </w:r>
            <w:r w:rsidR="00A224D8" w:rsidRPr="005B3C82">
              <w:rPr>
                <w:sz w:val="20"/>
              </w:rPr>
              <w:tab/>
            </w:r>
            <w:r w:rsidR="00A224D8" w:rsidRPr="005B3C82">
              <w:t>Pas de commentaire ou de proposition de modification</w:t>
            </w:r>
          </w:p>
          <w:p w14:paraId="69869C6F" w14:textId="53A2A2F7" w:rsidR="00A224D8" w:rsidRPr="005B3C82" w:rsidRDefault="001C526B" w:rsidP="00194A19">
            <w:pPr>
              <w:pStyle w:val="TableText"/>
              <w:spacing w:after="120"/>
            </w:pPr>
            <w:r>
              <w:rPr>
                <w:sz w:val="20"/>
              </w:rPr>
              <w:tab/>
            </w:r>
            <w:r w:rsidR="00A224D8" w:rsidRPr="005B3C82">
              <w:rPr>
                <w:sz w:val="20"/>
              </w:rPr>
              <w:t>⃝</w:t>
            </w:r>
            <w:r w:rsidR="00A224D8" w:rsidRPr="005B3C82">
              <w:rPr>
                <w:sz w:val="20"/>
              </w:rPr>
              <w:tab/>
            </w:r>
            <w:r w:rsidR="00A224D8" w:rsidRPr="005B3C82">
              <w:t>Des commentaires ou propositions de modification sont joints à la présente</w:t>
            </w:r>
          </w:p>
        </w:tc>
      </w:tr>
      <w:tr w:rsidR="00A224D8" w:rsidRPr="00B84394" w14:paraId="235D9DF9" w14:textId="77777777" w:rsidTr="00EF6E77">
        <w:trPr>
          <w:trHeight w:val="747"/>
        </w:trPr>
        <w:tc>
          <w:tcPr>
            <w:tcW w:w="2067" w:type="dxa"/>
            <w:vMerge/>
            <w:shd w:val="clear" w:color="auto" w:fill="auto"/>
            <w:vAlign w:val="center"/>
          </w:tcPr>
          <w:p w14:paraId="75979EB8" w14:textId="77777777" w:rsidR="00A224D8" w:rsidRPr="005B3C82" w:rsidRDefault="00A224D8" w:rsidP="00EF6E77">
            <w:pPr>
              <w:spacing w:before="60" w:after="60" w:line="480" w:lineRule="auto"/>
              <w:jc w:val="center"/>
              <w:rPr>
                <w:b/>
                <w:bCs/>
                <w:szCs w:val="24"/>
              </w:rPr>
            </w:pPr>
          </w:p>
        </w:tc>
        <w:tc>
          <w:tcPr>
            <w:tcW w:w="7652" w:type="dxa"/>
            <w:shd w:val="clear" w:color="auto" w:fill="auto"/>
            <w:vAlign w:val="center"/>
          </w:tcPr>
          <w:p w14:paraId="54B0F2C0" w14:textId="36337F7A" w:rsidR="00A224D8" w:rsidRPr="005B3C82" w:rsidRDefault="00A224D8" w:rsidP="00264F93">
            <w:pPr>
              <w:pStyle w:val="TableText"/>
              <w:spacing w:before="120" w:after="120"/>
              <w:ind w:left="567" w:hanging="567"/>
              <w:rPr>
                <w:sz w:val="20"/>
              </w:rPr>
            </w:pPr>
            <w:r w:rsidRPr="005B3C82">
              <w:rPr>
                <w:szCs w:val="22"/>
              </w:rPr>
              <w:fldChar w:fldCharType="begin">
                <w:ffData>
                  <w:name w:val="Check1"/>
                  <w:enabled/>
                  <w:calcOnExit w:val="0"/>
                  <w:checkBox>
                    <w:sizeAuto/>
                    <w:default w:val="0"/>
                  </w:checkBox>
                </w:ffData>
              </w:fldChar>
            </w:r>
            <w:r w:rsidRPr="005B3C82">
              <w:rPr>
                <w:szCs w:val="22"/>
              </w:rPr>
              <w:instrText xml:space="preserve"> FORMCHECKBOX </w:instrText>
            </w:r>
            <w:r w:rsidR="007E5E9E">
              <w:rPr>
                <w:szCs w:val="22"/>
              </w:rPr>
            </w:r>
            <w:r w:rsidR="007E5E9E">
              <w:rPr>
                <w:szCs w:val="22"/>
              </w:rPr>
              <w:fldChar w:fldCharType="separate"/>
            </w:r>
            <w:r w:rsidRPr="005B3C82">
              <w:rPr>
                <w:szCs w:val="22"/>
              </w:rPr>
              <w:fldChar w:fldCharType="end"/>
            </w:r>
            <w:r w:rsidR="001C526B">
              <w:rPr>
                <w:szCs w:val="22"/>
              </w:rPr>
              <w:tab/>
            </w:r>
            <w:r w:rsidR="001C526B">
              <w:rPr>
                <w:szCs w:val="22"/>
              </w:rPr>
              <w:tab/>
            </w:r>
            <w:r w:rsidRPr="005B3C82">
              <w:rPr>
                <w:b/>
                <w:bCs/>
              </w:rPr>
              <w:t xml:space="preserve">n'autorise pas </w:t>
            </w:r>
            <w:r w:rsidRPr="005B3C82">
              <w:t>la Commission d'études 17 à procéder à l'examen de ce document en vue de son approbation (les motifs de cette décision et une description des éventuelles modifications qui permettraient la poursuite des travaux sont joints à la présente)</w:t>
            </w:r>
          </w:p>
        </w:tc>
      </w:tr>
    </w:tbl>
    <w:p w14:paraId="6E5391B1" w14:textId="77777777" w:rsidR="00A224D8" w:rsidRPr="005B3C82" w:rsidRDefault="00A224D8" w:rsidP="00194A19">
      <w:r w:rsidRPr="005B3C82">
        <w:t>Veuillez agréer, Madame, Monsieur, l'assurance de ma considération distinguée.</w:t>
      </w:r>
    </w:p>
    <w:p w14:paraId="14331D3C" w14:textId="07F5533A" w:rsidR="00762CEA" w:rsidRPr="005B3C82" w:rsidRDefault="00A224D8" w:rsidP="00762CEA">
      <w:pPr>
        <w:rPr>
          <w:szCs w:val="24"/>
          <w:highlight w:val="green"/>
        </w:rPr>
      </w:pPr>
      <w:r w:rsidRPr="005B3C82">
        <w:rPr>
          <w:szCs w:val="24"/>
          <w:highlight w:val="green"/>
        </w:rPr>
        <w:t>[Nom]</w:t>
      </w:r>
    </w:p>
    <w:p w14:paraId="53523857" w14:textId="77777777" w:rsidR="00A224D8" w:rsidRPr="005B3C82" w:rsidRDefault="00A224D8" w:rsidP="00762CEA">
      <w:pPr>
        <w:spacing w:after="120"/>
        <w:rPr>
          <w:szCs w:val="24"/>
        </w:rPr>
      </w:pPr>
      <w:r w:rsidRPr="005B3C82">
        <w:rPr>
          <w:szCs w:val="24"/>
          <w:highlight w:val="green"/>
        </w:rPr>
        <w:t>[Rôle/titre officiel]</w:t>
      </w:r>
    </w:p>
    <w:p w14:paraId="3E075D9C" w14:textId="07943BC8" w:rsidR="001C526B" w:rsidRDefault="00A224D8" w:rsidP="00264F93">
      <w:pPr>
        <w:spacing w:before="0"/>
      </w:pPr>
      <w:r w:rsidRPr="005B3C82">
        <w:t xml:space="preserve">Administration de </w:t>
      </w:r>
      <w:r w:rsidRPr="005B3C82">
        <w:rPr>
          <w:highlight w:val="green"/>
        </w:rPr>
        <w:t>[</w:t>
      </w:r>
      <w:r w:rsidR="00264F93">
        <w:rPr>
          <w:highlight w:val="green"/>
        </w:rPr>
        <w:t>E</w:t>
      </w:r>
      <w:r w:rsidRPr="005B3C82">
        <w:rPr>
          <w:highlight w:val="green"/>
        </w:rPr>
        <w:t>tat Membre]</w:t>
      </w:r>
    </w:p>
    <w:p w14:paraId="06128EBA" w14:textId="5DFD6E45" w:rsidR="00517A03" w:rsidRPr="001C526B" w:rsidRDefault="001C526B" w:rsidP="001C526B">
      <w:pPr>
        <w:jc w:val="center"/>
      </w:pPr>
      <w:r>
        <w:t>______________</w:t>
      </w:r>
    </w:p>
    <w:sectPr w:rsidR="00517A03" w:rsidRPr="001C526B"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10D02" w14:textId="77777777" w:rsidR="000F65FB" w:rsidRDefault="000F65FB">
      <w:r>
        <w:separator/>
      </w:r>
    </w:p>
  </w:endnote>
  <w:endnote w:type="continuationSeparator" w:id="0">
    <w:p w14:paraId="0D1C5A6B" w14:textId="77777777" w:rsidR="000F65FB" w:rsidRDefault="000F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AD340" w14:textId="77777777" w:rsidR="005120A2" w:rsidRPr="00C134B1"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C134B1">
      <w:rPr>
        <w:color w:val="0070C0"/>
        <w:sz w:val="18"/>
        <w:szCs w:val="18"/>
        <w:lang w:val="fr-CH"/>
      </w:rPr>
      <w:t>Union internationale des télécommunications • Place des Nations, CH</w:t>
    </w:r>
    <w:r w:rsidRPr="00C134B1">
      <w:rPr>
        <w:color w:val="0070C0"/>
        <w:sz w:val="18"/>
        <w:szCs w:val="18"/>
        <w:lang w:val="fr-CH"/>
      </w:rPr>
      <w:noBreakHyphen/>
      <w:t xml:space="preserve">1211 Genève 20, Suisse </w:t>
    </w:r>
    <w:r w:rsidRPr="00C134B1">
      <w:rPr>
        <w:color w:val="0070C0"/>
        <w:sz w:val="18"/>
        <w:szCs w:val="18"/>
        <w:lang w:val="fr-CH"/>
      </w:rPr>
      <w:br/>
      <w:t xml:space="preserve">Tél: +41 22 730 5111 • Fax: +41 22 733 7256 • courriel: </w:t>
    </w:r>
    <w:hyperlink r:id="rId1" w:history="1">
      <w:r w:rsidRPr="00C134B1">
        <w:rPr>
          <w:rStyle w:val="Hyperlink"/>
          <w:color w:val="0070C0"/>
          <w:sz w:val="18"/>
          <w:szCs w:val="18"/>
        </w:rPr>
        <w:t>itumail@itu.int</w:t>
      </w:r>
    </w:hyperlink>
    <w:r w:rsidRPr="00C134B1">
      <w:rPr>
        <w:color w:val="0070C0"/>
        <w:sz w:val="18"/>
        <w:szCs w:val="18"/>
        <w:lang w:val="fr-CH"/>
      </w:rPr>
      <w:t xml:space="preserve"> • </w:t>
    </w:r>
    <w:hyperlink r:id="rId2" w:history="1">
      <w:r w:rsidRPr="00C134B1">
        <w:rPr>
          <w:rStyle w:val="Hyperlink"/>
          <w:color w:val="0070C0"/>
          <w:sz w:val="18"/>
          <w:szCs w:val="18"/>
        </w:rPr>
        <w:t>www.itu.int</w:t>
      </w:r>
    </w:hyperlink>
    <w:r w:rsidRPr="00C134B1">
      <w:rPr>
        <w:color w:val="0070C0"/>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D34E2" w14:textId="77777777" w:rsidR="000F65FB" w:rsidRDefault="000F65FB">
      <w:r>
        <w:t>____________________</w:t>
      </w:r>
    </w:p>
  </w:footnote>
  <w:footnote w:type="continuationSeparator" w:id="0">
    <w:p w14:paraId="78EFA9FD" w14:textId="77777777" w:rsidR="000F65FB" w:rsidRDefault="000F6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6267" w14:textId="33C09806" w:rsidR="00697BC1" w:rsidRDefault="007E5E9E" w:rsidP="00697BC1">
    <w:pPr>
      <w:pStyle w:val="Header"/>
      <w:rPr>
        <w:noProof/>
        <w:sz w:val="18"/>
        <w:szCs w:val="16"/>
      </w:rPr>
    </w:pPr>
    <w:sdt>
      <w:sdtPr>
        <w:rPr>
          <w:sz w:val="18"/>
          <w:szCs w:val="16"/>
        </w:rPr>
        <w:id w:val="-1787727355"/>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5</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58218A2D" w14:textId="19BEBF36" w:rsidR="00846EDA" w:rsidRPr="00697BC1" w:rsidRDefault="00846EDA" w:rsidP="00AE0B5F">
    <w:pPr>
      <w:pStyle w:val="Header"/>
      <w:spacing w:after="360"/>
      <w:rPr>
        <w:sz w:val="18"/>
        <w:szCs w:val="16"/>
      </w:rPr>
    </w:pPr>
    <w:r>
      <w:rPr>
        <w:noProof/>
        <w:sz w:val="18"/>
        <w:szCs w:val="16"/>
      </w:rPr>
      <w:t>Circulaire TSB 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644F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21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6A0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FAF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94D1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011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48D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9CD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2A6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E8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FB"/>
    <w:rsid w:val="000039EE"/>
    <w:rsid w:val="00005622"/>
    <w:rsid w:val="0002519E"/>
    <w:rsid w:val="00035B43"/>
    <w:rsid w:val="000758B3"/>
    <w:rsid w:val="000B0D96"/>
    <w:rsid w:val="000B59D8"/>
    <w:rsid w:val="000C1F6B"/>
    <w:rsid w:val="000C56BE"/>
    <w:rsid w:val="000F65FB"/>
    <w:rsid w:val="001026FD"/>
    <w:rsid w:val="001077FD"/>
    <w:rsid w:val="0011545F"/>
    <w:rsid w:val="00115DD7"/>
    <w:rsid w:val="001225AE"/>
    <w:rsid w:val="00167472"/>
    <w:rsid w:val="00167F92"/>
    <w:rsid w:val="00173738"/>
    <w:rsid w:val="00194A19"/>
    <w:rsid w:val="001B79A3"/>
    <w:rsid w:val="001C2839"/>
    <w:rsid w:val="001C526B"/>
    <w:rsid w:val="002152A3"/>
    <w:rsid w:val="00264F93"/>
    <w:rsid w:val="002E395D"/>
    <w:rsid w:val="003131F0"/>
    <w:rsid w:val="00333A80"/>
    <w:rsid w:val="00341117"/>
    <w:rsid w:val="00364E95"/>
    <w:rsid w:val="00372875"/>
    <w:rsid w:val="003B1E80"/>
    <w:rsid w:val="003B66E8"/>
    <w:rsid w:val="003D60EC"/>
    <w:rsid w:val="004033F1"/>
    <w:rsid w:val="00414B0C"/>
    <w:rsid w:val="00423C21"/>
    <w:rsid w:val="004257AC"/>
    <w:rsid w:val="0043711B"/>
    <w:rsid w:val="004977C9"/>
    <w:rsid w:val="004B732E"/>
    <w:rsid w:val="004D51F4"/>
    <w:rsid w:val="004D64E0"/>
    <w:rsid w:val="005120A2"/>
    <w:rsid w:val="0051210D"/>
    <w:rsid w:val="005136D2"/>
    <w:rsid w:val="00517A03"/>
    <w:rsid w:val="00556D98"/>
    <w:rsid w:val="005A3DD9"/>
    <w:rsid w:val="005B1DFC"/>
    <w:rsid w:val="00601682"/>
    <w:rsid w:val="00625E79"/>
    <w:rsid w:val="006333F7"/>
    <w:rsid w:val="006427A1"/>
    <w:rsid w:val="00644741"/>
    <w:rsid w:val="00697BC1"/>
    <w:rsid w:val="006A6FFE"/>
    <w:rsid w:val="006C5A91"/>
    <w:rsid w:val="00716BBC"/>
    <w:rsid w:val="007321BC"/>
    <w:rsid w:val="00760063"/>
    <w:rsid w:val="00762CEA"/>
    <w:rsid w:val="00775E4B"/>
    <w:rsid w:val="0079553B"/>
    <w:rsid w:val="00795679"/>
    <w:rsid w:val="007A40FE"/>
    <w:rsid w:val="007E5E9E"/>
    <w:rsid w:val="00810105"/>
    <w:rsid w:val="008157E0"/>
    <w:rsid w:val="00846EDA"/>
    <w:rsid w:val="00854E1D"/>
    <w:rsid w:val="00887FA6"/>
    <w:rsid w:val="008C4397"/>
    <w:rsid w:val="008C465A"/>
    <w:rsid w:val="008F2C9B"/>
    <w:rsid w:val="00915362"/>
    <w:rsid w:val="00923CD6"/>
    <w:rsid w:val="00935AA8"/>
    <w:rsid w:val="00971C9A"/>
    <w:rsid w:val="009735EF"/>
    <w:rsid w:val="009B793E"/>
    <w:rsid w:val="009D51FA"/>
    <w:rsid w:val="009E3A90"/>
    <w:rsid w:val="009F1E23"/>
    <w:rsid w:val="00A15179"/>
    <w:rsid w:val="00A224D8"/>
    <w:rsid w:val="00A421F2"/>
    <w:rsid w:val="00A51537"/>
    <w:rsid w:val="00A5280F"/>
    <w:rsid w:val="00A60FC1"/>
    <w:rsid w:val="00A96C87"/>
    <w:rsid w:val="00A97C37"/>
    <w:rsid w:val="00AC37B5"/>
    <w:rsid w:val="00AD752F"/>
    <w:rsid w:val="00AE0B5F"/>
    <w:rsid w:val="00AF08A4"/>
    <w:rsid w:val="00B27B41"/>
    <w:rsid w:val="00B42659"/>
    <w:rsid w:val="00B77C9E"/>
    <w:rsid w:val="00B8573E"/>
    <w:rsid w:val="00BB24C0"/>
    <w:rsid w:val="00BD6ECF"/>
    <w:rsid w:val="00C134B1"/>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A21217"/>
  <w15:docId w15:val="{603B4A4E-0F1E-488A-9891-0C044D02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rsid w:val="000F65FB"/>
    <w:rPr>
      <w:sz w:val="16"/>
      <w:szCs w:val="16"/>
    </w:rPr>
  </w:style>
  <w:style w:type="paragraph" w:styleId="CommentText">
    <w:name w:val="annotation text"/>
    <w:basedOn w:val="Normal"/>
    <w:link w:val="CommentTextChar"/>
    <w:rsid w:val="000F65FB"/>
    <w:rPr>
      <w:rFonts w:ascii="Calibri" w:hAnsi="Calibri"/>
      <w:sz w:val="20"/>
      <w:lang w:val="en-GB"/>
    </w:rPr>
  </w:style>
  <w:style w:type="character" w:customStyle="1" w:styleId="CommentTextChar">
    <w:name w:val="Comment Text Char"/>
    <w:basedOn w:val="DefaultParagraphFont"/>
    <w:link w:val="CommentText"/>
    <w:rsid w:val="000F65FB"/>
    <w:rPr>
      <w:rFonts w:ascii="Calibri" w:hAnsi="Calibri"/>
      <w:lang w:val="en-GB" w:eastAsia="en-US"/>
    </w:rPr>
  </w:style>
  <w:style w:type="paragraph" w:customStyle="1" w:styleId="Rectitle0">
    <w:name w:val="Rec_title"/>
    <w:basedOn w:val="Normal"/>
    <w:next w:val="Normal"/>
    <w:rsid w:val="00A224D8"/>
    <w:pPr>
      <w:keepNext/>
      <w:keepLines/>
      <w:spacing w:before="240"/>
      <w:jc w:val="center"/>
    </w:pPr>
    <w:rPr>
      <w:rFonts w:ascii="Calibri" w:hAnsi="Calibri"/>
      <w:b/>
      <w:sz w:val="28"/>
      <w:lang w:val="en-GB"/>
    </w:rPr>
  </w:style>
  <w:style w:type="paragraph" w:customStyle="1" w:styleId="Headingb0">
    <w:name w:val="Heading_b"/>
    <w:basedOn w:val="Normal"/>
    <w:next w:val="Normal"/>
    <w:qFormat/>
    <w:rsid w:val="00A224D8"/>
    <w:pPr>
      <w:keepNext/>
      <w:spacing w:before="160"/>
    </w:pPr>
    <w:rPr>
      <w:rFonts w:ascii="Calibri" w:hAnsi="Calibri"/>
      <w:b/>
      <w:lang w:val="en-GB"/>
    </w:rPr>
  </w:style>
  <w:style w:type="paragraph" w:customStyle="1" w:styleId="Annextitle0">
    <w:name w:val="Annex_title"/>
    <w:basedOn w:val="Normal"/>
    <w:next w:val="Normal"/>
    <w:rsid w:val="00A224D8"/>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846EDA"/>
    <w:rPr>
      <w:color w:val="800080" w:themeColor="followedHyperlink"/>
      <w:u w:val="single"/>
    </w:rPr>
  </w:style>
  <w:style w:type="character" w:customStyle="1" w:styleId="BodyTextChar">
    <w:name w:val="Body Text Char"/>
    <w:basedOn w:val="DefaultParagraphFont"/>
    <w:link w:val="BodyText"/>
    <w:rsid w:val="00846EDA"/>
    <w:rPr>
      <w:rFonts w:asciiTheme="minorHAnsi" w:hAnsiTheme="minorHAnsi"/>
      <w:sz w:val="24"/>
      <w:lang w:val="fr-FR" w:eastAsia="en-US"/>
    </w:rPr>
  </w:style>
  <w:style w:type="paragraph" w:customStyle="1" w:styleId="Reasons">
    <w:name w:val="Reasons"/>
    <w:basedOn w:val="Normal"/>
    <w:qFormat/>
    <w:rsid w:val="001C526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Tabletext0">
    <w:name w:val="Table_text"/>
    <w:basedOn w:val="Normal"/>
    <w:rsid w:val="001C28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7-R-0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17-R-0020" TargetMode="External"/><Relationship Id="rId4" Type="http://schemas.openxmlformats.org/officeDocument/2006/relationships/settings" Target="settings.xml"/><Relationship Id="rId9" Type="http://schemas.openxmlformats.org/officeDocument/2006/relationships/hyperlink" Target="tsbsg17@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E185A-ADB6-434B-AB4C-B85C1342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131</TotalTime>
  <Pages>5</Pages>
  <Words>1118</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7718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Da Silva, Margaux</dc:creator>
  <cp:lastModifiedBy>Millet, Lia</cp:lastModifiedBy>
  <cp:revision>13</cp:revision>
  <cp:lastPrinted>2018-04-20T16:21:00Z</cp:lastPrinted>
  <dcterms:created xsi:type="dcterms:W3CDTF">2018-04-17T14:19:00Z</dcterms:created>
  <dcterms:modified xsi:type="dcterms:W3CDTF">2018-04-20T16:21:00Z</dcterms:modified>
</cp:coreProperties>
</file>