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CB091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8F3374">
              <w:t>8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454069">
              <w:rPr>
                <w:lang w:eastAsia="zh-CN"/>
              </w:rPr>
              <w:t>5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454069">
              <w:t>16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D31AE5" w:rsidRDefault="00017004" w:rsidP="00454069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454069">
              <w:rPr>
                <w:rFonts w:hint="eastAsia"/>
                <w:b/>
                <w:bCs/>
                <w:lang w:eastAsia="zh-CN"/>
              </w:rPr>
              <w:t>91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454069" w:rsidRPr="00454069">
              <w:rPr>
                <w:lang w:eastAsia="zh-CN"/>
              </w:rPr>
              <w:t>SG20/CB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:rsidR="00834349" w:rsidRPr="0055099D" w:rsidRDefault="00834349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22386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8F3374">
              <w:rPr>
                <w:lang w:val="en-US" w:eastAsia="zh-CN"/>
              </w:rPr>
              <w:t>6</w:t>
            </w:r>
            <w:r w:rsidR="00454069">
              <w:rPr>
                <w:lang w:val="en-US" w:eastAsia="zh-CN"/>
              </w:rPr>
              <w:t>301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017004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81007A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454069" w:rsidRPr="00454069">
                <w:rPr>
                  <w:rFonts w:ascii="Calibri" w:hAnsi="Calibri"/>
                  <w:color w:val="0000FF"/>
                  <w:u w:val="single"/>
                </w:rPr>
                <w:t>tsbsg20@itu.int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EC4B70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="00223861" w:rsidRPr="00E02380">
              <w:rPr>
                <w:rFonts w:ascii="Calibri" w:hAnsi="Calibri"/>
                <w:lang w:eastAsia="zh-CN"/>
              </w:rPr>
              <w:t>ITU-T</w:t>
            </w:r>
            <w:r w:rsidR="00223861">
              <w:rPr>
                <w:rFonts w:ascii="Calibri" w:hAnsi="Calibri"/>
                <w:lang w:eastAsia="zh-CN"/>
              </w:rPr>
              <w:t>部门成员</w:t>
            </w:r>
            <w:r w:rsidR="0085525D" w:rsidRPr="0055099D">
              <w:rPr>
                <w:rFonts w:ascii="Calibri" w:hAnsi="Calibri" w:hint="eastAsia"/>
                <w:lang w:eastAsia="zh-CN"/>
              </w:rPr>
              <w:t>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E02380">
              <w:rPr>
                <w:rFonts w:ascii="Calibri" w:hAnsi="Calibri"/>
                <w:lang w:eastAsia="zh-CN"/>
              </w:rPr>
              <w:t>ITU-T</w:t>
            </w:r>
            <w:r w:rsidR="00223861" w:rsidRPr="00E02380">
              <w:rPr>
                <w:rFonts w:ascii="Calibri" w:hAnsi="Calibri"/>
                <w:lang w:eastAsia="zh-CN"/>
              </w:rPr>
              <w:t>部门准成员；</w:t>
            </w:r>
          </w:p>
          <w:p w:rsidR="00955904" w:rsidRDefault="0085525D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223861"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223861"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="00223861" w:rsidRPr="00E02380">
              <w:rPr>
                <w:rFonts w:ascii="Calibri" w:hAnsi="Calibri"/>
                <w:lang w:eastAsia="zh-CN"/>
              </w:rPr>
              <w:t>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="00454069">
              <w:rPr>
                <w:rFonts w:ascii="Calibri" w:hAnsi="Calibri"/>
                <w:lang w:eastAsia="zh-CN"/>
              </w:rPr>
              <w:t>20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714A1B" w:rsidRPr="00714A1B" w:rsidRDefault="00223861" w:rsidP="008100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BF1960" w:rsidP="00BF1960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454069">
              <w:rPr>
                <w:b/>
                <w:lang w:eastAsia="zh-CN"/>
              </w:rPr>
              <w:t>ITU-T Y.4500.2</w:t>
            </w:r>
            <w:r>
              <w:rPr>
                <w:b/>
                <w:lang w:eastAsia="zh-CN"/>
              </w:rPr>
              <w:t>建议书</w:t>
            </w:r>
            <w:r>
              <w:rPr>
                <w:b/>
                <w:lang w:eastAsia="zh-CN"/>
              </w:rPr>
              <w:t>ITU-T</w:t>
            </w:r>
            <w:r>
              <w:rPr>
                <w:rFonts w:hint="eastAsia"/>
                <w:b/>
                <w:lang w:eastAsia="zh-CN"/>
              </w:rPr>
              <w:t>在</w:t>
            </w:r>
            <w:r w:rsidR="00223861" w:rsidRPr="008B1EB3">
              <w:rPr>
                <w:rFonts w:hint="eastAsia"/>
                <w:b/>
                <w:lang w:eastAsia="zh-CN"/>
              </w:rPr>
              <w:t>第</w:t>
            </w:r>
            <w:r w:rsidR="00454069">
              <w:rPr>
                <w:b/>
                <w:lang w:eastAsia="zh-CN"/>
              </w:rPr>
              <w:t>20</w:t>
            </w:r>
            <w:r w:rsidR="00223861" w:rsidRPr="008B1EB3">
              <w:rPr>
                <w:rFonts w:hint="eastAsia"/>
                <w:b/>
                <w:lang w:eastAsia="zh-CN"/>
              </w:rPr>
              <w:t>研究组</w:t>
            </w:r>
            <w:r w:rsidR="00223861">
              <w:rPr>
                <w:rFonts w:hint="eastAsia"/>
                <w:b/>
                <w:lang w:eastAsia="zh-CN"/>
              </w:rPr>
              <w:t>会议</w:t>
            </w:r>
            <w:r w:rsidR="00223861">
              <w:rPr>
                <w:b/>
                <w:lang w:eastAsia="zh-CN"/>
              </w:rPr>
              <w:t>（</w:t>
            </w:r>
            <w:r w:rsidR="00223861" w:rsidRPr="00935751">
              <w:rPr>
                <w:b/>
                <w:lang w:eastAsia="zh-CN"/>
              </w:rPr>
              <w:t>201</w:t>
            </w:r>
            <w:r w:rsidR="008F3374">
              <w:rPr>
                <w:b/>
                <w:lang w:eastAsia="zh-CN"/>
              </w:rPr>
              <w:t>8</w:t>
            </w:r>
            <w:r w:rsidR="00223861">
              <w:rPr>
                <w:rFonts w:hint="eastAsia"/>
                <w:b/>
                <w:lang w:eastAsia="zh-CN"/>
              </w:rPr>
              <w:t>年</w:t>
            </w:r>
            <w:r w:rsidR="00454069">
              <w:rPr>
                <w:b/>
                <w:lang w:eastAsia="zh-CN"/>
              </w:rPr>
              <w:t>5</w:t>
            </w:r>
            <w:r w:rsidR="00223861">
              <w:rPr>
                <w:rFonts w:hint="eastAsia"/>
                <w:b/>
                <w:lang w:eastAsia="zh-CN"/>
              </w:rPr>
              <w:t>月</w:t>
            </w:r>
            <w:r w:rsidR="00454069">
              <w:rPr>
                <w:b/>
                <w:lang w:eastAsia="zh-CN"/>
              </w:rPr>
              <w:t>6</w:t>
            </w:r>
            <w:r w:rsidR="00223861">
              <w:rPr>
                <w:rFonts w:hint="eastAsia"/>
                <w:b/>
                <w:lang w:eastAsia="zh-CN"/>
              </w:rPr>
              <w:t>日</w:t>
            </w:r>
            <w:r w:rsidR="00223861">
              <w:rPr>
                <w:b/>
                <w:lang w:eastAsia="zh-CN"/>
              </w:rPr>
              <w:t>，</w:t>
            </w:r>
            <w:r w:rsidR="00454069">
              <w:rPr>
                <w:rFonts w:hint="eastAsia"/>
                <w:b/>
                <w:lang w:eastAsia="zh-CN"/>
              </w:rPr>
              <w:t>埃及开罗</w:t>
            </w:r>
            <w:r w:rsidR="00223861">
              <w:rPr>
                <w:b/>
                <w:lang w:eastAsia="zh-CN"/>
              </w:rPr>
              <w:t>）</w:t>
            </w:r>
            <w:r w:rsidR="00454069">
              <w:rPr>
                <w:rFonts w:hint="eastAsia"/>
                <w:b/>
                <w:lang w:eastAsia="zh-CN"/>
              </w:rPr>
              <w:t>上</w:t>
            </w:r>
            <w:r w:rsidR="00223861" w:rsidRPr="00223861">
              <w:rPr>
                <w:rFonts w:hint="eastAsia"/>
                <w:b/>
                <w:lang w:eastAsia="zh-CN"/>
              </w:rPr>
              <w:t>的</w:t>
            </w:r>
            <w:r w:rsidR="00223861" w:rsidRPr="00223861">
              <w:rPr>
                <w:b/>
                <w:lang w:eastAsia="zh-CN"/>
              </w:rPr>
              <w:t>状态</w:t>
            </w:r>
          </w:p>
        </w:tc>
      </w:tr>
    </w:tbl>
    <w:p w:rsidR="00017004" w:rsidRPr="00DD5635" w:rsidRDefault="00017004" w:rsidP="0081007A">
      <w:pPr>
        <w:spacing w:before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223861" w:rsidRDefault="00223861" w:rsidP="0081007A">
      <w:pPr>
        <w:spacing w:before="240" w:after="240"/>
        <w:rPr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 w:rsidR="00454069">
        <w:rPr>
          <w:rFonts w:hint="eastAsia"/>
          <w:spacing w:val="-6"/>
          <w:szCs w:val="22"/>
          <w:lang w:eastAsia="zh-CN"/>
        </w:rPr>
        <w:t>2018</w:t>
      </w:r>
      <w:r w:rsidR="00454069">
        <w:rPr>
          <w:rFonts w:hint="eastAsia"/>
          <w:spacing w:val="-6"/>
          <w:szCs w:val="22"/>
          <w:lang w:eastAsia="zh-CN"/>
        </w:rPr>
        <w:t>年</w:t>
      </w:r>
      <w:r w:rsidR="00454069">
        <w:rPr>
          <w:lang w:eastAsia="zh-CN"/>
        </w:rPr>
        <w:t>2</w:t>
      </w:r>
      <w:r>
        <w:rPr>
          <w:rFonts w:hint="eastAsia"/>
          <w:lang w:eastAsia="zh-CN"/>
        </w:rPr>
        <w:t>月</w:t>
      </w:r>
      <w:r w:rsidR="00454069">
        <w:rPr>
          <w:lang w:eastAsia="zh-CN"/>
        </w:rPr>
        <w:t>13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</w:t>
      </w:r>
      <w:r w:rsidRPr="00454069">
        <w:rPr>
          <w:lang w:eastAsia="zh-CN"/>
        </w:rPr>
        <w:t>电信标准化局</w:t>
      </w:r>
      <w:hyperlink r:id="rId10" w:history="1">
        <w:r w:rsidRPr="0081007A">
          <w:rPr>
            <w:rStyle w:val="Hyperlink"/>
            <w:lang w:eastAsia="zh-CN"/>
          </w:rPr>
          <w:t>第</w:t>
        </w:r>
        <w:r w:rsidR="00454069" w:rsidRPr="0081007A">
          <w:rPr>
            <w:rStyle w:val="Hyperlink"/>
            <w:lang w:eastAsia="zh-CN"/>
          </w:rPr>
          <w:t>72</w:t>
        </w:r>
        <w:r w:rsidRPr="0081007A">
          <w:rPr>
            <w:rStyle w:val="Hyperlink"/>
            <w:lang w:eastAsia="zh-CN"/>
          </w:rPr>
          <w:t>号通函</w:t>
        </w:r>
      </w:hyperlink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 w:rsidR="00454069">
        <w:rPr>
          <w:lang w:eastAsia="zh-CN"/>
        </w:rPr>
        <w:t>20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 w:rsidR="008F3374">
        <w:rPr>
          <w:lang w:eastAsia="zh-CN"/>
        </w:rPr>
        <w:t>2018</w:t>
      </w:r>
      <w:r>
        <w:rPr>
          <w:rFonts w:hint="eastAsia"/>
          <w:lang w:eastAsia="zh-CN"/>
        </w:rPr>
        <w:t>年</w:t>
      </w:r>
      <w:r w:rsidR="00454069">
        <w:rPr>
          <w:lang w:eastAsia="zh-CN"/>
        </w:rPr>
        <w:t>5</w:t>
      </w:r>
      <w:r>
        <w:rPr>
          <w:rFonts w:hint="eastAsia"/>
          <w:lang w:eastAsia="zh-CN"/>
        </w:rPr>
        <w:t>月</w:t>
      </w:r>
      <w:r w:rsidR="00454069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45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5104"/>
        <w:gridCol w:w="1134"/>
      </w:tblGrid>
      <w:tr w:rsidR="008F3374" w:rsidRPr="00D31AE5" w:rsidTr="0081007A">
        <w:trPr>
          <w:cantSplit/>
          <w:tblHeader/>
          <w:jc w:val="center"/>
        </w:trPr>
        <w:tc>
          <w:tcPr>
            <w:tcW w:w="1446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908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46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8F3374" w:rsidRPr="00D31AE5" w:rsidTr="0081007A">
        <w:trPr>
          <w:cantSplit/>
          <w:jc w:val="center"/>
        </w:trPr>
        <w:tc>
          <w:tcPr>
            <w:tcW w:w="1446" w:type="pct"/>
          </w:tcPr>
          <w:p w:rsidR="008F3374" w:rsidRPr="005D5CF2" w:rsidRDefault="0081007A" w:rsidP="008E1E6E">
            <w:pPr>
              <w:pStyle w:val="Tabletext"/>
              <w:rPr>
                <w:rFonts w:ascii="Calibri" w:eastAsiaTheme="minorEastAsia" w:hAnsi="Calibri" w:cs="Calibri"/>
                <w:lang w:val="fr-CH" w:eastAsia="zh-CN"/>
              </w:rPr>
            </w:pPr>
            <w:hyperlink r:id="rId11" w:history="1">
              <w:r w:rsidR="008E1E6E" w:rsidRPr="005D5CF2">
                <w:rPr>
                  <w:rFonts w:ascii="Calibri" w:hAnsi="Calibri"/>
                  <w:color w:val="0000FF"/>
                  <w:u w:val="single"/>
                  <w:lang w:val="fr-CH"/>
                </w:rPr>
                <w:t>ITU-T Y.4500.2</w:t>
              </w:r>
              <w:r w:rsidR="008E1E6E" w:rsidRPr="005D5CF2">
                <w:rPr>
                  <w:rFonts w:ascii="Calibri" w:hAnsi="Calibri"/>
                  <w:color w:val="0000FF"/>
                  <w:u w:val="single"/>
                  <w:lang w:val="fr-CH"/>
                </w:rPr>
                <w:br/>
              </w:r>
              <w:r w:rsidR="008E1E6E" w:rsidRPr="005D5CF2">
                <w:rPr>
                  <w:rFonts w:ascii="Calibri" w:eastAsiaTheme="minorEastAsia" w:hAnsi="Calibri" w:hint="eastAsia"/>
                  <w:color w:val="0000FF"/>
                  <w:u w:val="single"/>
                  <w:lang w:val="fr-CH" w:eastAsia="zh-CN"/>
                </w:rPr>
                <w:t>（</w:t>
              </w:r>
              <w:r w:rsidR="008E1E6E">
                <w:rPr>
                  <w:rFonts w:ascii="Calibri" w:eastAsiaTheme="minorEastAsia" w:hAnsi="Calibri" w:hint="eastAsia"/>
                  <w:color w:val="0000FF"/>
                  <w:u w:val="single"/>
                  <w:lang w:val="fr-CH" w:eastAsia="zh-CN"/>
                </w:rPr>
                <w:t>原</w:t>
              </w:r>
              <w:r w:rsidR="008E1E6E" w:rsidRPr="005D5CF2">
                <w:rPr>
                  <w:rFonts w:ascii="Calibri" w:hAnsi="Calibri"/>
                  <w:color w:val="0000FF"/>
                  <w:u w:val="single"/>
                  <w:lang w:val="fr-CH"/>
                </w:rPr>
                <w:t>Y.oneM2M.REQ</w:t>
              </w:r>
            </w:hyperlink>
            <w:r w:rsidR="008E1E6E" w:rsidRPr="005D5CF2">
              <w:rPr>
                <w:rFonts w:ascii="Calibri" w:eastAsiaTheme="minorEastAsia" w:hAnsi="Calibri" w:hint="eastAsia"/>
                <w:lang w:val="fr-CH" w:eastAsia="zh-CN"/>
              </w:rPr>
              <w:t>）</w:t>
            </w:r>
          </w:p>
        </w:tc>
        <w:tc>
          <w:tcPr>
            <w:tcW w:w="2908" w:type="pct"/>
          </w:tcPr>
          <w:p w:rsidR="008F3374" w:rsidRPr="00D31AE5" w:rsidRDefault="005D5CF2" w:rsidP="00284EDD">
            <w:pPr>
              <w:pStyle w:val="Tabletext"/>
              <w:rPr>
                <w:rFonts w:ascii="Calibri" w:eastAsia="SimSun" w:hAnsi="Calibri" w:cs="Calibri"/>
                <w:szCs w:val="24"/>
                <w:lang w:eastAsia="zh-CN"/>
              </w:rPr>
            </w:pPr>
            <w:r>
              <w:rPr>
                <w:rFonts w:ascii="Calibri" w:eastAsia="SimSun" w:hAnsi="Calibri" w:cs="Calibri" w:hint="eastAsia"/>
                <w:szCs w:val="24"/>
                <w:lang w:eastAsia="zh-CN"/>
              </w:rPr>
              <w:t>oneM2M</w:t>
            </w:r>
            <w:r w:rsidR="0081007A">
              <w:rPr>
                <w:rFonts w:ascii="Calibri" w:eastAsia="SimSun" w:hAnsi="Calibri" w:cs="Calibri"/>
                <w:szCs w:val="24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szCs w:val="24"/>
                <w:lang w:eastAsia="zh-CN"/>
              </w:rPr>
              <w:t>-</w:t>
            </w:r>
            <w:r w:rsidR="0081007A">
              <w:rPr>
                <w:rFonts w:ascii="Calibri" w:eastAsia="SimSun" w:hAnsi="Calibri" w:cs="Calibri"/>
                <w:szCs w:val="24"/>
                <w:lang w:eastAsia="zh-CN"/>
              </w:rPr>
              <w:t xml:space="preserve"> </w:t>
            </w:r>
            <w:r>
              <w:rPr>
                <w:rFonts w:ascii="Calibri" w:eastAsia="SimSun" w:hAnsi="Calibri" w:cs="Calibri" w:hint="eastAsia"/>
                <w:szCs w:val="24"/>
                <w:lang w:eastAsia="zh-CN"/>
              </w:rPr>
              <w:t>需求</w:t>
            </w:r>
          </w:p>
        </w:tc>
        <w:tc>
          <w:tcPr>
            <w:tcW w:w="646" w:type="pct"/>
          </w:tcPr>
          <w:p w:rsidR="008F3374" w:rsidRPr="00D31AE5" w:rsidRDefault="008F3374" w:rsidP="00284EDD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:rsidR="00223861" w:rsidRDefault="00223861" w:rsidP="0081007A">
      <w:pPr>
        <w:spacing w:before="240" w:after="12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2" w:history="1">
        <w:r>
          <w:rPr>
            <w:rStyle w:val="Hyperlink"/>
            <w:lang w:eastAsia="zh-CN"/>
          </w:rPr>
          <w:t>ITU-T</w:t>
        </w:r>
        <w:r w:rsidRPr="00A576E2">
          <w:rPr>
            <w:rFonts w:hint="eastAsia"/>
            <w:lang w:eastAsia="zh-CN"/>
          </w:rPr>
          <w:t>网</w:t>
        </w:r>
        <w:bookmarkStart w:id="2" w:name="_GoBack"/>
        <w:bookmarkEnd w:id="2"/>
        <w:r w:rsidRPr="00A576E2">
          <w:rPr>
            <w:rFonts w:hint="eastAsia"/>
            <w:lang w:eastAsia="zh-CN"/>
          </w:rPr>
          <w:t>站</w:t>
        </w:r>
      </w:hyperlink>
      <w:r w:rsidRPr="00A576E2">
        <w:rPr>
          <w:rFonts w:hint="eastAsia"/>
          <w:lang w:eastAsia="zh-CN"/>
        </w:rPr>
        <w:t>可以在线查到已公布的专利信息</w:t>
      </w:r>
      <w:r>
        <w:rPr>
          <w:rFonts w:hint="eastAsia"/>
          <w:lang w:eastAsia="zh-CN"/>
        </w:rPr>
        <w:t>。</w:t>
      </w:r>
    </w:p>
    <w:p w:rsidR="00223861" w:rsidRDefault="00223861" w:rsidP="00A576E2">
      <w:pPr>
        <w:spacing w:after="120"/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3" w:history="1">
        <w:r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223861" w:rsidRDefault="00223861" w:rsidP="00A576E2">
      <w:pPr>
        <w:spacing w:after="120"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="005D5CF2">
        <w:rPr>
          <w:rFonts w:hint="eastAsia"/>
          <w:lang w:eastAsia="zh-CN"/>
        </w:rPr>
        <w:t>国际电联将尽快</w:t>
      </w:r>
      <w:r w:rsidR="00BF1960">
        <w:rPr>
          <w:rFonts w:hint="eastAsia"/>
          <w:lang w:eastAsia="zh-CN"/>
        </w:rPr>
        <w:t>公布</w:t>
      </w:r>
      <w:r w:rsidR="005D5CF2">
        <w:rPr>
          <w:rFonts w:hint="eastAsia"/>
          <w:lang w:eastAsia="zh-CN"/>
        </w:rPr>
        <w:t>此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:rsidR="00B37BD9" w:rsidRDefault="00B37BD9" w:rsidP="00D5081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p w:rsidR="00714A1B" w:rsidRPr="00714A1B" w:rsidRDefault="00B37BD9" w:rsidP="0081007A">
      <w:pPr>
        <w:tabs>
          <w:tab w:val="left" w:pos="1418"/>
          <w:tab w:val="left" w:pos="1702"/>
          <w:tab w:val="left" w:pos="2160"/>
        </w:tabs>
        <w:spacing w:before="36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D50818" w:rsidRDefault="00B37BD9" w:rsidP="0081007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Sect="00B37BD9">
      <w:headerReference w:type="even" r:id="rId14"/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08" w:rsidRDefault="00280608">
      <w:r>
        <w:separator/>
      </w:r>
    </w:p>
  </w:endnote>
  <w:endnote w:type="continuationSeparator" w:id="0">
    <w:p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08" w:rsidRDefault="00280608">
      <w:r>
        <w:separator/>
      </w:r>
    </w:p>
  </w:footnote>
  <w:footnote w:type="continuationSeparator" w:id="0">
    <w:p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81007A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81007A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A576E2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A576E2">
      <w:rPr>
        <w:rFonts w:eastAsiaTheme="minorEastAsia" w:cs="Microsoft YaHei"/>
        <w:noProof/>
        <w:sz w:val="18"/>
      </w:rPr>
      <w:t>85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088F"/>
    <w:rsid w:val="003E52C9"/>
    <w:rsid w:val="003F1CCA"/>
    <w:rsid w:val="003F27BD"/>
    <w:rsid w:val="00406625"/>
    <w:rsid w:val="00422060"/>
    <w:rsid w:val="00422E08"/>
    <w:rsid w:val="00433B71"/>
    <w:rsid w:val="00442B64"/>
    <w:rsid w:val="00454069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D5CF2"/>
    <w:rsid w:val="005F0821"/>
    <w:rsid w:val="006024E6"/>
    <w:rsid w:val="00610326"/>
    <w:rsid w:val="00621618"/>
    <w:rsid w:val="00626613"/>
    <w:rsid w:val="00627AE8"/>
    <w:rsid w:val="0063445E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1007A"/>
    <w:rsid w:val="00825A1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1E6E"/>
    <w:rsid w:val="008E7931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F1960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33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17-TSB-CIR-007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9E47-7797-48B7-8E84-0C056011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1</Pages>
  <Words>365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914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Tang, Ting</cp:lastModifiedBy>
  <cp:revision>4</cp:revision>
  <cp:lastPrinted>2016-10-20T10:48:00Z</cp:lastPrinted>
  <dcterms:created xsi:type="dcterms:W3CDTF">2018-05-11T15:11:00Z</dcterms:created>
  <dcterms:modified xsi:type="dcterms:W3CDTF">2018-05-11T15:16:00Z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