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A4008A" w:rsidRPr="001A21A2" w:rsidTr="00A4008A">
        <w:trPr>
          <w:cantSplit/>
          <w:trHeight w:val="402"/>
        </w:trPr>
        <w:tc>
          <w:tcPr>
            <w:tcW w:w="5104" w:type="dxa"/>
            <w:vAlign w:val="center"/>
          </w:tcPr>
          <w:p w:rsidR="00A4008A" w:rsidRPr="001A21A2" w:rsidRDefault="00A4008A" w:rsidP="00A4008A">
            <w:pPr>
              <w:spacing w:before="160" w:line="280" w:lineRule="exact"/>
              <w:rPr>
                <w:rFonts w:cs="Arial"/>
              </w:rPr>
            </w:pPr>
            <w:r w:rsidRPr="001A21A2">
              <w:rPr>
                <w:rFonts w:ascii="Calibri" w:hAnsi="Calibri" w:cs="Times New Roman Bold"/>
                <w:b/>
                <w:bCs/>
                <w:color w:val="808080"/>
                <w:sz w:val="28"/>
              </w:rPr>
              <w:t xml:space="preserve">Oficina de Normalización </w:t>
            </w:r>
            <w:r w:rsidRPr="001A21A2">
              <w:rPr>
                <w:rFonts w:ascii="Calibri" w:hAnsi="Calibri" w:cs="Times New Roman Bold"/>
                <w:b/>
                <w:bCs/>
                <w:color w:val="808080"/>
                <w:sz w:val="28"/>
              </w:rPr>
              <w:br/>
              <w:t>de las Telecomunicaciones (TSB)</w:t>
            </w:r>
          </w:p>
        </w:tc>
        <w:tc>
          <w:tcPr>
            <w:tcW w:w="5244" w:type="dxa"/>
            <w:vAlign w:val="center"/>
          </w:tcPr>
          <w:p w:rsidR="00A4008A" w:rsidRPr="001A21A2" w:rsidRDefault="00A4008A" w:rsidP="00A4008A">
            <w:pPr>
              <w:spacing w:before="160" w:line="280" w:lineRule="exact"/>
              <w:rPr>
                <w:rFonts w:cs="Arial"/>
              </w:rPr>
            </w:pPr>
            <w:r w:rsidRPr="001A21A2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 xml:space="preserve">Oficina de Desarrollo </w:t>
            </w:r>
            <w:r w:rsidRPr="001A21A2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br/>
              <w:t>de las Telecomunicaciones (BDT)</w:t>
            </w:r>
          </w:p>
        </w:tc>
      </w:tr>
    </w:tbl>
    <w:p w:rsidR="00C34772" w:rsidRPr="001A21A2" w:rsidRDefault="00C34772" w:rsidP="00A4008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120"/>
      </w:pPr>
      <w:r w:rsidRPr="001A21A2">
        <w:tab/>
        <w:t xml:space="preserve">Ginebra, </w:t>
      </w:r>
      <w:r w:rsidR="0047161F" w:rsidRPr="001A21A2">
        <w:t>6 de junio</w:t>
      </w:r>
      <w:r w:rsidR="0094637C" w:rsidRPr="001A21A2">
        <w:t xml:space="preserve"> de 201</w:t>
      </w:r>
      <w:r w:rsidR="008F5DB4" w:rsidRPr="001A21A2">
        <w:t>8</w:t>
      </w:r>
    </w:p>
    <w:p w:rsidR="00C34772" w:rsidRPr="001A21A2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1A21A2" w:rsidTr="008A5CFA">
        <w:trPr>
          <w:cantSplit/>
          <w:trHeight w:val="340"/>
        </w:trPr>
        <w:tc>
          <w:tcPr>
            <w:tcW w:w="1182" w:type="dxa"/>
          </w:tcPr>
          <w:p w:rsidR="00CC5ACE" w:rsidRPr="001A21A2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A21A2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1A21A2" w:rsidRDefault="0047161F" w:rsidP="0047161F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1A21A2">
              <w:rPr>
                <w:b/>
              </w:rPr>
              <w:t>Circular BDT CL005 y</w:t>
            </w:r>
            <w:r w:rsidRPr="001A21A2">
              <w:rPr>
                <w:b/>
              </w:rPr>
              <w:br/>
            </w:r>
            <w:r w:rsidR="00CC5ACE" w:rsidRPr="001A21A2">
              <w:rPr>
                <w:b/>
              </w:rPr>
              <w:t xml:space="preserve">Circular TSB </w:t>
            </w:r>
            <w:r w:rsidRPr="001A21A2">
              <w:rPr>
                <w:b/>
              </w:rPr>
              <w:t>95</w:t>
            </w:r>
          </w:p>
        </w:tc>
        <w:tc>
          <w:tcPr>
            <w:tcW w:w="5329" w:type="dxa"/>
            <w:vMerge w:val="restart"/>
          </w:tcPr>
          <w:p w:rsidR="00701574" w:rsidRPr="001A21A2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1A21A2">
              <w:rPr>
                <w:b/>
                <w:bCs/>
              </w:rPr>
              <w:t>A:</w:t>
            </w:r>
          </w:p>
          <w:p w:rsidR="00CC5ACE" w:rsidRPr="001A21A2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Pr="001A21A2">
              <w:tab/>
            </w:r>
            <w:r w:rsidR="00CC5ACE" w:rsidRPr="001A21A2">
              <w:t xml:space="preserve">las Administraciones de los Estados Miembros </w:t>
            </w:r>
            <w:r w:rsidR="00252227" w:rsidRPr="001A21A2">
              <w:br/>
            </w:r>
            <w:r w:rsidR="00CC5ACE" w:rsidRPr="001A21A2">
              <w:t>de la Unión;</w:t>
            </w:r>
          </w:p>
          <w:p w:rsidR="0047161F" w:rsidRPr="001A21A2" w:rsidRDefault="0047161F" w:rsidP="00580D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Pr="001A21A2">
              <w:tab/>
            </w:r>
            <w:r w:rsidR="000351E8" w:rsidRPr="001A21A2">
              <w:t xml:space="preserve">los </w:t>
            </w:r>
            <w:r w:rsidRPr="001A21A2">
              <w:t>Minist</w:t>
            </w:r>
            <w:r w:rsidR="00580D03" w:rsidRPr="001A21A2">
              <w:t>erios y Organismos Reguladores</w:t>
            </w:r>
            <w:r w:rsidRPr="001A21A2">
              <w:t>;</w:t>
            </w:r>
          </w:p>
          <w:p w:rsidR="00CC5ACE" w:rsidRPr="001A21A2" w:rsidRDefault="00701574" w:rsidP="003117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Pr="001A21A2">
              <w:tab/>
            </w:r>
            <w:r w:rsidR="00CC5ACE" w:rsidRPr="001A21A2">
              <w:t xml:space="preserve">los Miembros de Sector </w:t>
            </w:r>
            <w:r w:rsidR="002836A3" w:rsidRPr="001A21A2">
              <w:t xml:space="preserve">del </w:t>
            </w:r>
            <w:r w:rsidR="00CC5ACE" w:rsidRPr="001A21A2">
              <w:t>UIT-</w:t>
            </w:r>
            <w:r w:rsidR="00311719" w:rsidRPr="001A21A2">
              <w:t>T</w:t>
            </w:r>
            <w:r w:rsidR="0047161F" w:rsidRPr="001A21A2">
              <w:t xml:space="preserve"> y del UIT</w:t>
            </w:r>
            <w:r w:rsidR="0047161F" w:rsidRPr="001A21A2">
              <w:noBreakHyphen/>
            </w:r>
            <w:r w:rsidR="00311719" w:rsidRPr="001A21A2">
              <w:t>D</w:t>
            </w:r>
            <w:r w:rsidR="00CC5ACE" w:rsidRPr="001A21A2">
              <w:t>;</w:t>
            </w:r>
          </w:p>
          <w:p w:rsidR="00CC5ACE" w:rsidRPr="001A21A2" w:rsidRDefault="00701574" w:rsidP="003117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Pr="001A21A2">
              <w:tab/>
            </w:r>
            <w:r w:rsidR="00CC5ACE" w:rsidRPr="001A21A2">
              <w:t xml:space="preserve">los Asociados </w:t>
            </w:r>
            <w:r w:rsidR="0047161F" w:rsidRPr="001A21A2">
              <w:t>del UIT-</w:t>
            </w:r>
            <w:r w:rsidR="00311719" w:rsidRPr="001A21A2">
              <w:t>T</w:t>
            </w:r>
            <w:r w:rsidR="0047161F" w:rsidRPr="001A21A2">
              <w:t xml:space="preserve"> y del UIT</w:t>
            </w:r>
            <w:r w:rsidR="0047161F" w:rsidRPr="001A21A2">
              <w:noBreakHyphen/>
            </w:r>
            <w:r w:rsidR="00311719" w:rsidRPr="001A21A2">
              <w:t>D</w:t>
            </w:r>
            <w:r w:rsidR="00CC5ACE" w:rsidRPr="001A21A2">
              <w:t>;</w:t>
            </w:r>
          </w:p>
          <w:p w:rsidR="002836A3" w:rsidRPr="001A21A2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Pr="001A21A2">
              <w:tab/>
            </w:r>
            <w:r w:rsidR="00CC5ACE" w:rsidRPr="001A21A2">
              <w:t>las Instituciones Académicas de la UIT</w:t>
            </w:r>
          </w:p>
        </w:tc>
      </w:tr>
      <w:tr w:rsidR="00CC5ACE" w:rsidRPr="001A21A2" w:rsidTr="008A5CFA">
        <w:trPr>
          <w:cantSplit/>
          <w:trHeight w:val="340"/>
        </w:trPr>
        <w:tc>
          <w:tcPr>
            <w:tcW w:w="1182" w:type="dxa"/>
          </w:tcPr>
          <w:p w:rsidR="00CC5ACE" w:rsidRPr="001A21A2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695" w:type="dxa"/>
          </w:tcPr>
          <w:p w:rsidR="00CC5ACE" w:rsidRPr="001A21A2" w:rsidRDefault="00CC5ACE" w:rsidP="00D13B6E">
            <w:pPr>
              <w:tabs>
                <w:tab w:val="left" w:pos="4111"/>
              </w:tabs>
              <w:spacing w:before="40" w:after="40"/>
              <w:ind w:left="57" w:firstLine="720"/>
              <w:rPr>
                <w:b/>
              </w:rPr>
            </w:pPr>
          </w:p>
        </w:tc>
        <w:tc>
          <w:tcPr>
            <w:tcW w:w="5329" w:type="dxa"/>
            <w:vMerge/>
          </w:tcPr>
          <w:p w:rsidR="00CC5ACE" w:rsidRPr="001A21A2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1A21A2" w:rsidTr="008A5CFA">
        <w:trPr>
          <w:cantSplit/>
          <w:trHeight w:val="340"/>
        </w:trPr>
        <w:tc>
          <w:tcPr>
            <w:tcW w:w="1182" w:type="dxa"/>
          </w:tcPr>
          <w:p w:rsidR="00CC5ACE" w:rsidRPr="001A21A2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695" w:type="dxa"/>
          </w:tcPr>
          <w:p w:rsidR="00CC5ACE" w:rsidRPr="001A21A2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</w:p>
        </w:tc>
        <w:tc>
          <w:tcPr>
            <w:tcW w:w="5329" w:type="dxa"/>
            <w:vMerge/>
          </w:tcPr>
          <w:p w:rsidR="00CC5ACE" w:rsidRPr="001A21A2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1A21A2" w:rsidTr="008A5CFA">
        <w:trPr>
          <w:cantSplit/>
        </w:trPr>
        <w:tc>
          <w:tcPr>
            <w:tcW w:w="1182" w:type="dxa"/>
          </w:tcPr>
          <w:p w:rsidR="00C34772" w:rsidRPr="001A21A2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695" w:type="dxa"/>
          </w:tcPr>
          <w:p w:rsidR="00C34772" w:rsidRPr="001A21A2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5329" w:type="dxa"/>
          </w:tcPr>
          <w:p w:rsidR="00C34772" w:rsidRPr="001A21A2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1A21A2">
              <w:rPr>
                <w:b/>
              </w:rPr>
              <w:t>Copia</w:t>
            </w:r>
            <w:r w:rsidRPr="001A21A2">
              <w:t>:</w:t>
            </w:r>
          </w:p>
          <w:p w:rsidR="0094637C" w:rsidRPr="001A21A2" w:rsidRDefault="008A5CFA" w:rsidP="009958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="0094637C" w:rsidRPr="001A21A2">
              <w:tab/>
            </w:r>
            <w:r w:rsidR="004F3318" w:rsidRPr="001A21A2">
              <w:t xml:space="preserve">a </w:t>
            </w:r>
            <w:r w:rsidR="0094637C" w:rsidRPr="001A21A2">
              <w:t xml:space="preserve">los Presidentes y Vicepresidentes de las Comisiones de Estudio </w:t>
            </w:r>
            <w:r w:rsidR="0047161F" w:rsidRPr="001A21A2">
              <w:t>del UIT-</w:t>
            </w:r>
            <w:r w:rsidR="009958DE" w:rsidRPr="001A21A2">
              <w:t>T</w:t>
            </w:r>
            <w:r w:rsidR="0047161F" w:rsidRPr="001A21A2">
              <w:t xml:space="preserve"> y del UIT</w:t>
            </w:r>
            <w:r w:rsidR="0047161F" w:rsidRPr="001A21A2">
              <w:noBreakHyphen/>
            </w:r>
            <w:r w:rsidR="009958DE" w:rsidRPr="001A21A2">
              <w:t>D</w:t>
            </w:r>
            <w:r w:rsidR="0094637C" w:rsidRPr="001A21A2">
              <w:t>;</w:t>
            </w:r>
          </w:p>
          <w:p w:rsidR="00EA0E30" w:rsidRPr="001A21A2" w:rsidRDefault="008A5CFA" w:rsidP="00471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A21A2">
              <w:t>–</w:t>
            </w:r>
            <w:r w:rsidR="0094637C" w:rsidRPr="001A21A2">
              <w:tab/>
            </w:r>
            <w:r w:rsidR="00696783" w:rsidRPr="001A21A2">
              <w:t>a</w:t>
            </w:r>
            <w:r w:rsidR="0094637C" w:rsidRPr="001A21A2">
              <w:t>l Director de la Oficina de Radiocomunicaciones</w:t>
            </w:r>
          </w:p>
        </w:tc>
      </w:tr>
      <w:tr w:rsidR="00CC5ACE" w:rsidRPr="001A21A2" w:rsidTr="00B80E33">
        <w:trPr>
          <w:cantSplit/>
        </w:trPr>
        <w:tc>
          <w:tcPr>
            <w:tcW w:w="1182" w:type="dxa"/>
          </w:tcPr>
          <w:p w:rsidR="00CC5ACE" w:rsidRPr="001A21A2" w:rsidRDefault="00CC5ACE" w:rsidP="003B7220">
            <w:pPr>
              <w:spacing w:before="240" w:after="120"/>
              <w:ind w:left="57"/>
            </w:pPr>
            <w:r w:rsidRPr="001A21A2">
              <w:t>Asunto:</w:t>
            </w:r>
          </w:p>
        </w:tc>
        <w:tc>
          <w:tcPr>
            <w:tcW w:w="9024" w:type="dxa"/>
            <w:gridSpan w:val="2"/>
          </w:tcPr>
          <w:p w:rsidR="00CC5ACE" w:rsidRPr="001A21A2" w:rsidRDefault="00CB0EB5" w:rsidP="008F5DB4">
            <w:pPr>
              <w:spacing w:before="240" w:after="120"/>
              <w:ind w:left="57"/>
              <w:rPr>
                <w:b/>
                <w:bCs/>
              </w:rPr>
            </w:pPr>
            <w:r w:rsidRPr="001A21A2">
              <w:rPr>
                <w:b/>
                <w:bCs/>
                <w:szCs w:val="24"/>
              </w:rPr>
              <w:t>Taller de la UIT sobre "Aplicaciones multimedios y el futuro de la sociedad digital"</w:t>
            </w:r>
            <w:r w:rsidRPr="001A21A2">
              <w:rPr>
                <w:b/>
                <w:bCs/>
                <w:szCs w:val="24"/>
              </w:rPr>
              <w:br/>
              <w:t>Liubliana (Eslovenia), 9 de julio de 2018</w:t>
            </w:r>
          </w:p>
        </w:tc>
      </w:tr>
    </w:tbl>
    <w:p w:rsidR="00C34772" w:rsidRPr="001A21A2" w:rsidRDefault="003F6326" w:rsidP="00612032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A21A2">
        <w:t>Muy Señora mía</w:t>
      </w:r>
      <w:r w:rsidR="0094637C" w:rsidRPr="001A21A2">
        <w:t>/</w:t>
      </w:r>
      <w:r w:rsidR="00B80E33" w:rsidRPr="001A21A2">
        <w:t>Muy Señor mío</w:t>
      </w:r>
      <w:r w:rsidR="00612032">
        <w:t>,</w:t>
      </w:r>
    </w:p>
    <w:p w:rsidR="0094637C" w:rsidRPr="001A21A2" w:rsidRDefault="0094637C" w:rsidP="00580D03">
      <w:r w:rsidRPr="001A21A2">
        <w:rPr>
          <w:bCs/>
        </w:rPr>
        <w:t>1</w:t>
      </w:r>
      <w:r w:rsidRPr="001A21A2">
        <w:tab/>
      </w:r>
      <w:r w:rsidR="00580D03" w:rsidRPr="001A21A2">
        <w:t xml:space="preserve">Deseamos informarle que </w:t>
      </w:r>
      <w:r w:rsidR="00653CB8" w:rsidRPr="001A21A2">
        <w:t>la Unión Internacional de Telecomunicaciones</w:t>
      </w:r>
      <w:r w:rsidR="003E287F" w:rsidRPr="001A21A2">
        <w:t xml:space="preserve"> </w:t>
      </w:r>
      <w:r w:rsidR="00653CB8" w:rsidRPr="001A21A2">
        <w:t>está organizando el</w:t>
      </w:r>
      <w:r w:rsidR="003E287F" w:rsidRPr="001A21A2">
        <w:t xml:space="preserve"> </w:t>
      </w:r>
      <w:r w:rsidR="003E287F" w:rsidRPr="001A21A2">
        <w:rPr>
          <w:b/>
          <w:bCs/>
          <w:szCs w:val="24"/>
        </w:rPr>
        <w:t>Taller de la UIT sobre "Aplicaciones multimedios y el futuro de la sociedad digital"</w:t>
      </w:r>
      <w:r w:rsidR="003E287F" w:rsidRPr="001A21A2">
        <w:t xml:space="preserve">, </w:t>
      </w:r>
      <w:r w:rsidR="00653CB8" w:rsidRPr="001A21A2">
        <w:t xml:space="preserve">que se celebrará el </w:t>
      </w:r>
      <w:r w:rsidR="003E287F" w:rsidRPr="001A21A2">
        <w:t>9 de julio de 2018</w:t>
      </w:r>
      <w:r w:rsidR="00653CB8" w:rsidRPr="001A21A2">
        <w:t xml:space="preserve"> en el</w:t>
      </w:r>
      <w:r w:rsidR="003E287F" w:rsidRPr="001A21A2">
        <w:t xml:space="preserve"> Ljubljana Exhibition and Convention Centre, Dunajska cesta 18, Liubliana (Eslovenia).</w:t>
      </w:r>
    </w:p>
    <w:p w:rsidR="002F1242" w:rsidRPr="001A21A2" w:rsidRDefault="00D56605" w:rsidP="004A3698">
      <w:r w:rsidRPr="001A21A2">
        <w:t xml:space="preserve">El evento se celebrará de manera coordinada con la reunión de la </w:t>
      </w:r>
      <w:hyperlink r:id="rId8" w:history="1">
        <w:r w:rsidRPr="001A21A2">
          <w:rPr>
            <w:rStyle w:val="Hyperlink"/>
          </w:rPr>
          <w:t>Comisión de Estudio 16 del UIT</w:t>
        </w:r>
        <w:r w:rsidRPr="001A21A2">
          <w:rPr>
            <w:rStyle w:val="Hyperlink"/>
          </w:rPr>
          <w:noBreakHyphen/>
          <w:t>T</w:t>
        </w:r>
      </w:hyperlink>
      <w:r w:rsidRPr="001A21A2">
        <w:t xml:space="preserve"> sobre Multimedios que se celebrará en ese mismo lugar del 9 al 20 de julio de 2018.</w:t>
      </w:r>
    </w:p>
    <w:p w:rsidR="005727E9" w:rsidRPr="001A21A2" w:rsidRDefault="00580D03" w:rsidP="00580D03">
      <w:r w:rsidRPr="001A21A2">
        <w:t xml:space="preserve">Este Taller también se celebrará en el contexto de la Iniciativa Regional europea aprobada por la CMDT-17 sobre </w:t>
      </w:r>
      <w:r w:rsidR="00FC4848" w:rsidRPr="001A21A2">
        <w:t>"Un enfoque orientado a los ciudadanos en el desarrollo de servicios para las administraciones nacionales"</w:t>
      </w:r>
      <w:r w:rsidR="005727E9" w:rsidRPr="001A21A2">
        <w:t xml:space="preserve">, </w:t>
      </w:r>
      <w:r w:rsidR="00FC4848" w:rsidRPr="001A21A2">
        <w:t xml:space="preserve">con el objetivo de facilitar el desarrollo de servicios </w:t>
      </w:r>
      <w:r w:rsidRPr="001A21A2">
        <w:t>transformadores y</w:t>
      </w:r>
      <w:r w:rsidR="00FC4848" w:rsidRPr="001A21A2">
        <w:t xml:space="preserve"> sin </w:t>
      </w:r>
      <w:r w:rsidRPr="001A21A2">
        <w:t xml:space="preserve">hacer uso del </w:t>
      </w:r>
      <w:r w:rsidR="00FC4848" w:rsidRPr="001A21A2">
        <w:t>papel centrados en el usuario, accesibles y disponibles para todos los miembros de la sociedad</w:t>
      </w:r>
      <w:r w:rsidR="005727E9" w:rsidRPr="001A21A2">
        <w:t>.</w:t>
      </w:r>
    </w:p>
    <w:p w:rsidR="005727E9" w:rsidRPr="001A21A2" w:rsidRDefault="005727E9" w:rsidP="00580D03">
      <w:pPr>
        <w:rPr>
          <w:bCs/>
        </w:rPr>
      </w:pPr>
      <w:r w:rsidRPr="001A21A2">
        <w:t>2</w:t>
      </w:r>
      <w:r w:rsidRPr="001A21A2">
        <w:tab/>
      </w:r>
      <w:r w:rsidR="00580D03" w:rsidRPr="001A21A2">
        <w:t>El Taller se celebrará únicamente en inglés, y se facilitará la participación a distanc</w:t>
      </w:r>
      <w:r w:rsidR="00341AA4" w:rsidRPr="001A21A2">
        <w:t>ia.</w:t>
      </w:r>
    </w:p>
    <w:p w:rsidR="005727E9" w:rsidRPr="001A21A2" w:rsidRDefault="005727E9" w:rsidP="00A21EB9">
      <w:r w:rsidRPr="001A21A2">
        <w:rPr>
          <w:bCs/>
        </w:rPr>
        <w:t>3</w:t>
      </w:r>
      <w:r w:rsidRPr="001A21A2">
        <w:tab/>
      </w:r>
      <w:r w:rsidR="00580D03" w:rsidRPr="001A21A2">
        <w:t xml:space="preserve">Este Taller se centrará en la manera en que las aplicaciones multimedios afectan a la cultura y los estilos de vida, y cómo pueden mejorar los resultados vitales en nuestras vidas cada vez más digitales, tratando de las tecnologías multimedios nuevas y existentes incluidas la inteligencia artificial para la salud, los multimedios a bordo de vehículos, la experiencia inmersiva en vivo y las nuevas tendencias </w:t>
      </w:r>
      <w:r w:rsidR="00A21EB9" w:rsidRPr="001A21A2">
        <w:t>d</w:t>
      </w:r>
      <w:r w:rsidR="00580D03" w:rsidRPr="001A21A2">
        <w:t>e los ciberservicios que incluyen la entrega de contenidos, la cadena de bloques y la ciberagricultu</w:t>
      </w:r>
      <w:r w:rsidR="00A21EB9" w:rsidRPr="001A21A2">
        <w:t>ra.</w:t>
      </w:r>
    </w:p>
    <w:p w:rsidR="00F67B77" w:rsidRPr="001A21A2" w:rsidRDefault="00F67B77" w:rsidP="00DB5C37">
      <w:r w:rsidRPr="001A21A2">
        <w:br w:type="page"/>
      </w:r>
    </w:p>
    <w:p w:rsidR="005727E9" w:rsidRPr="001A21A2" w:rsidRDefault="005727E9" w:rsidP="00DB5C37">
      <w:r w:rsidRPr="001A21A2">
        <w:lastRenderedPageBreak/>
        <w:t>4</w:t>
      </w:r>
      <w:r w:rsidRPr="001A21A2">
        <w:tab/>
      </w:r>
      <w:r w:rsidR="00DB5C37" w:rsidRPr="001A21A2">
        <w:t>La participación en el Taller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</w:t>
      </w:r>
      <w:r w:rsidRPr="001A21A2">
        <w:t xml:space="preserve">. </w:t>
      </w:r>
      <w:bookmarkStart w:id="4" w:name="lt_pId071"/>
      <w:r w:rsidR="00DB5C37" w:rsidRPr="001A21A2">
        <w:t>La participación es gratuita, pero no se concederán becas</w:t>
      </w:r>
      <w:bookmarkEnd w:id="4"/>
      <w:r w:rsidRPr="001A21A2">
        <w:t>.</w:t>
      </w:r>
    </w:p>
    <w:p w:rsidR="005727E9" w:rsidRPr="001A21A2" w:rsidRDefault="005727E9" w:rsidP="006111CB">
      <w:r w:rsidRPr="001A21A2">
        <w:t>5</w:t>
      </w:r>
      <w:r w:rsidRPr="001A21A2">
        <w:tab/>
      </w:r>
      <w:r w:rsidR="006111CB" w:rsidRPr="001A21A2">
        <w:t xml:space="preserve">La información relativa a este Taller, como información práctica y el programa, se publicará en el sitio web del evento: </w:t>
      </w:r>
      <w:hyperlink r:id="rId9" w:history="1">
        <w:r w:rsidRPr="001A21A2">
          <w:rPr>
            <w:rStyle w:val="Hyperlink"/>
          </w:rPr>
          <w:t>https://itu.int/en/ITU-T/Workshops-and-Seminars/20180709</w:t>
        </w:r>
      </w:hyperlink>
      <w:r w:rsidRPr="001A21A2">
        <w:t xml:space="preserve">. </w:t>
      </w:r>
      <w:r w:rsidR="006111CB" w:rsidRPr="001A21A2">
        <w:t>Este sitio web se actualizará periódicamente a medida que se disponga de información nueva o modificada. Se ruega a los participantes que consulten regularmente el sitio web</w:t>
      </w:r>
      <w:r w:rsidRPr="001A21A2">
        <w:t>.</w:t>
      </w:r>
    </w:p>
    <w:p w:rsidR="005727E9" w:rsidRPr="001A21A2" w:rsidRDefault="005727E9" w:rsidP="00BE48BB">
      <w:r w:rsidRPr="001A21A2">
        <w:t>6</w:t>
      </w:r>
      <w:r w:rsidRPr="001A21A2">
        <w:tab/>
      </w:r>
      <w:r w:rsidR="00BE48BB" w:rsidRPr="001A21A2">
        <w:t>Se dispondrá de instalaciones de red de área local inalámbrica en el lugar de celebración del evento</w:t>
      </w:r>
      <w:r w:rsidRPr="001A21A2">
        <w:t>.</w:t>
      </w:r>
    </w:p>
    <w:p w:rsidR="005727E9" w:rsidRPr="001A21A2" w:rsidRDefault="005727E9" w:rsidP="00580D03">
      <w:pPr>
        <w:rPr>
          <w:rFonts w:ascii="Calibri" w:hAnsi="Calibri"/>
          <w:sz w:val="22"/>
          <w:lang w:eastAsia="en-GB"/>
        </w:rPr>
      </w:pPr>
      <w:r w:rsidRPr="001A21A2">
        <w:t>7</w:t>
      </w:r>
      <w:r w:rsidRPr="001A21A2">
        <w:tab/>
      </w:r>
      <w:r w:rsidR="00BE48BB" w:rsidRPr="001A21A2">
        <w:t xml:space="preserve">Todos los participantes que tengan previsto asistir a la reunión deberán inscribirse previamente. A tal efecto, tenga a bien utilizar el formulario de inscripción en línea </w:t>
      </w:r>
      <w:r w:rsidR="009615DB" w:rsidRPr="001A21A2">
        <w:t>(</w:t>
      </w:r>
      <w:hyperlink r:id="rId10" w:history="1">
        <w:r w:rsidRPr="001A21A2">
          <w:rPr>
            <w:rStyle w:val="Hyperlink"/>
          </w:rPr>
          <w:t>http://itu.int/reg/tmisc/3001081</w:t>
        </w:r>
      </w:hyperlink>
      <w:r w:rsidR="009615DB" w:rsidRPr="001A21A2">
        <w:t>)</w:t>
      </w:r>
      <w:r w:rsidRPr="001A21A2">
        <w:t xml:space="preserve"> </w:t>
      </w:r>
      <w:r w:rsidR="00580D03" w:rsidRPr="001A21A2">
        <w:t>a más tardar</w:t>
      </w:r>
      <w:r w:rsidR="00BE48BB" w:rsidRPr="001A21A2">
        <w:t xml:space="preserve"> el </w:t>
      </w:r>
      <w:r w:rsidRPr="001A21A2">
        <w:rPr>
          <w:b/>
          <w:bCs/>
        </w:rPr>
        <w:t>4 </w:t>
      </w:r>
      <w:r w:rsidR="00BE48BB" w:rsidRPr="001A21A2">
        <w:rPr>
          <w:b/>
          <w:bCs/>
        </w:rPr>
        <w:t>de julio</w:t>
      </w:r>
      <w:r w:rsidRPr="001A21A2">
        <w:rPr>
          <w:b/>
          <w:bCs/>
        </w:rPr>
        <w:t xml:space="preserve"> </w:t>
      </w:r>
      <w:r w:rsidR="00BE48BB" w:rsidRPr="001A21A2">
        <w:rPr>
          <w:b/>
          <w:bCs/>
        </w:rPr>
        <w:t xml:space="preserve">de </w:t>
      </w:r>
      <w:r w:rsidRPr="001A21A2">
        <w:rPr>
          <w:b/>
          <w:bCs/>
        </w:rPr>
        <w:t>2018</w:t>
      </w:r>
      <w:r w:rsidRPr="001A21A2">
        <w:rPr>
          <w:bCs/>
        </w:rPr>
        <w:t xml:space="preserve">. </w:t>
      </w:r>
      <w:r w:rsidR="00BE48BB" w:rsidRPr="001A21A2">
        <w:rPr>
          <w:b/>
          <w:bCs/>
          <w:szCs w:val="24"/>
        </w:rPr>
        <w:t xml:space="preserve">Tenga en cuenta que la preinscripción de los participantes es obligatoria y se llevará a cabo exclusivamente </w:t>
      </w:r>
      <w:r w:rsidR="00BE48BB" w:rsidRPr="001A21A2">
        <w:rPr>
          <w:b/>
          <w:bCs/>
          <w:i/>
          <w:iCs/>
          <w:szCs w:val="24"/>
        </w:rPr>
        <w:t>en línea</w:t>
      </w:r>
      <w:r w:rsidRPr="001A21A2">
        <w:rPr>
          <w:b/>
          <w:bCs/>
        </w:rPr>
        <w:t>.</w:t>
      </w:r>
    </w:p>
    <w:p w:rsidR="005727E9" w:rsidRPr="001A21A2" w:rsidRDefault="005727E9" w:rsidP="00580D03">
      <w:pPr>
        <w:tabs>
          <w:tab w:val="left" w:pos="1080"/>
        </w:tabs>
        <w:snapToGrid w:val="0"/>
      </w:pPr>
      <w:r w:rsidRPr="001A21A2">
        <w:t>8</w:t>
      </w:r>
      <w:r w:rsidRPr="001A21A2">
        <w:tab/>
      </w:r>
      <w:r w:rsidR="00AD30A4" w:rsidRPr="001A21A2">
        <w:rPr>
          <w:rFonts w:ascii="Calibri" w:hAnsi="Calibri"/>
        </w:rPr>
        <w:t xml:space="preserve">Le recordamos que los ciudadanos procedentes de ciertos países necesitan visado para entrar y permanecer en Eslovenia. </w:t>
      </w:r>
      <w:r w:rsidR="00AD30A4" w:rsidRPr="001A21A2">
        <w:rPr>
          <w:rFonts w:ascii="Calibri" w:hAnsi="Calibri"/>
          <w:b/>
          <w:bCs/>
        </w:rPr>
        <w:t>Ese visado debe</w:t>
      </w:r>
      <w:r w:rsidR="00AD30A4" w:rsidRPr="001A21A2">
        <w:rPr>
          <w:rFonts w:ascii="Calibri" w:hAnsi="Calibri"/>
        </w:rPr>
        <w:t xml:space="preserve"> </w:t>
      </w:r>
      <w:r w:rsidR="00AD30A4" w:rsidRPr="001A21A2">
        <w:rPr>
          <w:rFonts w:ascii="Calibri" w:hAnsi="Calibri"/>
          <w:b/>
          <w:bCs/>
        </w:rPr>
        <w:t xml:space="preserve">solicitarse al menos cuatro (4) semanas antes de la fecha de inicio de la reunión </w:t>
      </w:r>
      <w:r w:rsidR="00AD30A4" w:rsidRPr="001A21A2">
        <w:rPr>
          <w:rFonts w:ascii="Calibri" w:hAnsi="Calibri"/>
        </w:rPr>
        <w:t>y obtenerse en la oficina (embajada o consulado) que representa a Eslovenia en su país. De no existir tal oficina, puede recurrir a los servicios de tramitación de visados de la embajada o consulado más cercanos a su país de partida</w:t>
      </w:r>
      <w:r w:rsidRPr="001A21A2">
        <w:t xml:space="preserve">. </w:t>
      </w:r>
      <w:r w:rsidR="00AD30A4" w:rsidRPr="001A21A2">
        <w:t xml:space="preserve">No dude en consultar la </w:t>
      </w:r>
      <w:hyperlink r:id="rId11" w:history="1">
        <w:r w:rsidR="00580D03" w:rsidRPr="001A21A2">
          <w:rPr>
            <w:rStyle w:val="Hyperlink"/>
          </w:rPr>
          <w:t>página de información</w:t>
        </w:r>
        <w:r w:rsidRPr="001A21A2">
          <w:rPr>
            <w:rStyle w:val="Hyperlink"/>
          </w:rPr>
          <w:t xml:space="preserve"> </w:t>
        </w:r>
        <w:r w:rsidR="00580D03" w:rsidRPr="001A21A2">
          <w:rPr>
            <w:rStyle w:val="Hyperlink"/>
          </w:rPr>
          <w:t>sobre visados</w:t>
        </w:r>
      </w:hyperlink>
      <w:r w:rsidRPr="001A21A2">
        <w:t xml:space="preserve"> </w:t>
      </w:r>
      <w:r w:rsidR="00AD30A4" w:rsidRPr="001A21A2">
        <w:t>si necesita información adicional.</w:t>
      </w:r>
    </w:p>
    <w:p w:rsidR="00C34772" w:rsidRPr="001A21A2" w:rsidRDefault="0094637C" w:rsidP="005727E9">
      <w:pPr>
        <w:spacing w:after="600"/>
      </w:pPr>
      <w:r w:rsidRPr="001A21A2">
        <w:t>A</w:t>
      </w:r>
      <w:r w:rsidR="00C34772" w:rsidRPr="001A21A2">
        <w:t>tentamente</w:t>
      </w:r>
      <w:r w:rsidR="00981644" w:rsidRPr="001A21A2"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2"/>
      </w:tblGrid>
      <w:tr w:rsidR="005727E9" w:rsidRPr="001A21A2" w:rsidTr="005727E9">
        <w:trPr>
          <w:trHeight w:val="1464"/>
        </w:trPr>
        <w:tc>
          <w:tcPr>
            <w:tcW w:w="4837" w:type="dxa"/>
            <w:shd w:val="clear" w:color="auto" w:fill="auto"/>
          </w:tcPr>
          <w:p w:rsidR="005727E9" w:rsidRPr="001A21A2" w:rsidRDefault="005727E9" w:rsidP="005727E9">
            <w:pPr>
              <w:tabs>
                <w:tab w:val="left" w:pos="1418"/>
                <w:tab w:val="left" w:pos="1702"/>
                <w:tab w:val="left" w:pos="2160"/>
              </w:tabs>
              <w:ind w:right="92"/>
              <w:jc w:val="both"/>
              <w:rPr>
                <w:rFonts w:ascii="Calibri" w:hAnsi="Calibri"/>
                <w:sz w:val="22"/>
                <w:szCs w:val="22"/>
              </w:rPr>
            </w:pPr>
            <w:bookmarkStart w:id="5" w:name="_GoBack" w:colFirst="0" w:colLast="0"/>
            <w:r w:rsidRPr="001A21A2">
              <w:rPr>
                <w:i/>
                <w:iCs/>
              </w:rPr>
              <w:t>(firmado)</w:t>
            </w:r>
          </w:p>
        </w:tc>
        <w:tc>
          <w:tcPr>
            <w:tcW w:w="4802" w:type="dxa"/>
            <w:shd w:val="clear" w:color="auto" w:fill="auto"/>
          </w:tcPr>
          <w:p w:rsidR="005727E9" w:rsidRPr="001A21A2" w:rsidRDefault="005727E9" w:rsidP="00895C3A">
            <w:pPr>
              <w:tabs>
                <w:tab w:val="left" w:pos="1418"/>
                <w:tab w:val="left" w:pos="1702"/>
                <w:tab w:val="left" w:pos="2160"/>
              </w:tabs>
              <w:ind w:right="92"/>
              <w:jc w:val="both"/>
              <w:rPr>
                <w:rFonts w:ascii="Calibri" w:hAnsi="Calibri"/>
                <w:sz w:val="22"/>
                <w:szCs w:val="22"/>
              </w:rPr>
            </w:pPr>
            <w:r w:rsidRPr="001A21A2">
              <w:rPr>
                <w:i/>
                <w:iCs/>
              </w:rPr>
              <w:t>(firmado)</w:t>
            </w:r>
          </w:p>
        </w:tc>
      </w:tr>
      <w:bookmarkEnd w:id="5"/>
      <w:tr w:rsidR="005727E9" w:rsidRPr="001A21A2" w:rsidTr="005727E9">
        <w:tc>
          <w:tcPr>
            <w:tcW w:w="4837" w:type="dxa"/>
            <w:shd w:val="clear" w:color="auto" w:fill="auto"/>
          </w:tcPr>
          <w:p w:rsidR="005727E9" w:rsidRPr="001A21A2" w:rsidRDefault="005727E9" w:rsidP="00BD0C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right="91"/>
              <w:rPr>
                <w:rFonts w:ascii="Calibri" w:hAnsi="Calibri" w:cs="Calibri"/>
                <w:sz w:val="22"/>
                <w:szCs w:val="22"/>
              </w:rPr>
            </w:pPr>
            <w:r w:rsidRPr="001A21A2">
              <w:rPr>
                <w:rFonts w:ascii="Calibri" w:hAnsi="Calibri" w:cs="Arial"/>
                <w:szCs w:val="24"/>
                <w:lang w:eastAsia="zh-CN"/>
              </w:rPr>
              <w:t>Chaesub Lee</w:t>
            </w:r>
            <w:r w:rsidR="00E93441" w:rsidRPr="001A21A2">
              <w:rPr>
                <w:rFonts w:ascii="Calibri" w:hAnsi="Calibri" w:cs="Arial"/>
                <w:szCs w:val="24"/>
                <w:lang w:eastAsia="zh-CN"/>
              </w:rPr>
              <w:br/>
            </w:r>
            <w:r w:rsidRPr="001A21A2">
              <w:rPr>
                <w:rFonts w:ascii="Calibri" w:hAnsi="Calibri" w:cs="Arial"/>
                <w:szCs w:val="24"/>
                <w:lang w:eastAsia="zh-CN"/>
              </w:rPr>
              <w:t>Director de la Oficina de</w:t>
            </w:r>
            <w:r w:rsidR="00BD0CB0" w:rsidRPr="001A21A2">
              <w:rPr>
                <w:rFonts w:ascii="Calibri" w:hAnsi="Calibri" w:cs="Arial"/>
                <w:szCs w:val="24"/>
                <w:lang w:eastAsia="zh-CN"/>
              </w:rPr>
              <w:t xml:space="preserve"> </w:t>
            </w:r>
            <w:r w:rsidRPr="001A21A2">
              <w:rPr>
                <w:rFonts w:ascii="Calibri" w:hAnsi="Calibri" w:cs="Arial"/>
                <w:szCs w:val="24"/>
                <w:lang w:eastAsia="zh-CN"/>
              </w:rPr>
              <w:t xml:space="preserve">Normalización </w:t>
            </w:r>
            <w:r w:rsidR="00BD0CB0" w:rsidRPr="001A21A2">
              <w:rPr>
                <w:rFonts w:ascii="Calibri" w:hAnsi="Calibri" w:cs="Arial"/>
                <w:szCs w:val="24"/>
                <w:lang w:eastAsia="zh-CN"/>
              </w:rPr>
              <w:br/>
            </w:r>
            <w:r w:rsidRPr="001A21A2">
              <w:rPr>
                <w:rFonts w:ascii="Calibri" w:hAnsi="Calibri" w:cs="Arial"/>
                <w:szCs w:val="24"/>
                <w:lang w:eastAsia="zh-CN"/>
              </w:rPr>
              <w:t>de las Telecomunicaciones (TSB)</w:t>
            </w:r>
          </w:p>
        </w:tc>
        <w:tc>
          <w:tcPr>
            <w:tcW w:w="4802" w:type="dxa"/>
            <w:shd w:val="clear" w:color="auto" w:fill="auto"/>
          </w:tcPr>
          <w:p w:rsidR="005727E9" w:rsidRPr="001A21A2" w:rsidRDefault="005727E9" w:rsidP="00BD0C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right="91"/>
              <w:rPr>
                <w:rFonts w:ascii="Calibri" w:hAnsi="Calibri"/>
                <w:sz w:val="22"/>
                <w:szCs w:val="22"/>
              </w:rPr>
            </w:pPr>
            <w:r w:rsidRPr="001A21A2">
              <w:rPr>
                <w:rFonts w:ascii="Calibri" w:hAnsi="Calibri" w:cs="Arial"/>
                <w:szCs w:val="24"/>
                <w:lang w:eastAsia="zh-CN"/>
              </w:rPr>
              <w:t>Brahima Sanou</w:t>
            </w:r>
            <w:r w:rsidRPr="001A21A2">
              <w:rPr>
                <w:rFonts w:ascii="Calibri" w:hAnsi="Calibri" w:cs="Arial"/>
                <w:szCs w:val="24"/>
                <w:lang w:eastAsia="zh-CN"/>
              </w:rPr>
              <w:br/>
              <w:t xml:space="preserve">Director de la Oficina de Desarrollo </w:t>
            </w:r>
            <w:r w:rsidR="00BD0CB0" w:rsidRPr="001A21A2">
              <w:rPr>
                <w:rFonts w:ascii="Calibri" w:hAnsi="Calibri" w:cs="Arial"/>
                <w:szCs w:val="24"/>
                <w:lang w:eastAsia="zh-CN"/>
              </w:rPr>
              <w:br/>
            </w:r>
            <w:r w:rsidRPr="001A21A2">
              <w:rPr>
                <w:rFonts w:ascii="Calibri" w:hAnsi="Calibri" w:cs="Arial"/>
                <w:szCs w:val="24"/>
                <w:lang w:eastAsia="zh-CN"/>
              </w:rPr>
              <w:t>de las Telecomunicaciones (BDT)</w:t>
            </w:r>
          </w:p>
        </w:tc>
      </w:tr>
    </w:tbl>
    <w:p w:rsidR="005727E9" w:rsidRPr="001A21A2" w:rsidRDefault="005727E9" w:rsidP="00BD0C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Cs w:val="24"/>
        </w:rPr>
      </w:pPr>
    </w:p>
    <w:sectPr w:rsidR="005727E9" w:rsidRPr="001A21A2" w:rsidSect="00EC73F3">
      <w:headerReference w:type="default" r:id="rId12"/>
      <w:headerReference w:type="first" r:id="rId13"/>
      <w:footerReference w:type="first" r:id="rId14"/>
      <w:pgSz w:w="11907" w:h="16834" w:code="9"/>
      <w:pgMar w:top="1021" w:right="1134" w:bottom="1077" w:left="1134" w:header="624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E8" w:rsidRDefault="00D639E8">
      <w:r>
        <w:separator/>
      </w:r>
    </w:p>
  </w:endnote>
  <w:endnote w:type="continuationSeparator" w:id="0">
    <w:p w:rsidR="00D639E8" w:rsidRDefault="00D6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0" w:rsidRPr="003F05C4" w:rsidRDefault="00410F50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E8" w:rsidRDefault="00D639E8">
      <w:r>
        <w:t>____________________</w:t>
      </w:r>
    </w:p>
  </w:footnote>
  <w:footnote w:type="continuationSeparator" w:id="0">
    <w:p w:rsidR="00D639E8" w:rsidRDefault="00D6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0" w:rsidRPr="00451511" w:rsidRDefault="00410F50" w:rsidP="00EC73F3">
    <w:pPr>
      <w:spacing w:before="0" w:after="480"/>
      <w:jc w:val="center"/>
      <w:rPr>
        <w:rFonts w:ascii="Calibri" w:hAnsi="Calibri"/>
        <w:noProof/>
        <w:sz w:val="18"/>
        <w:lang w:val="en-GB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EF7F63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F67B77">
      <w:rPr>
        <w:rFonts w:ascii="Calibri" w:hAnsi="Calibri"/>
        <w:noProof/>
        <w:sz w:val="18"/>
        <w:lang w:val="en-GB"/>
      </w:rPr>
      <w:t xml:space="preserve">95 | </w:t>
    </w:r>
    <w:r w:rsidR="00451511">
      <w:rPr>
        <w:rFonts w:ascii="Calibri" w:hAnsi="Calibri"/>
        <w:noProof/>
        <w:sz w:val="18"/>
        <w:lang w:val="en-GB"/>
      </w:rPr>
      <w:t>Circular BDT CL005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B5" w:rsidRPr="00084512" w:rsidRDefault="00CB0EB5" w:rsidP="00CB0EB5">
    <w:pPr>
      <w:pStyle w:val="Header"/>
      <w:tabs>
        <w:tab w:val="left" w:pos="4185"/>
      </w:tabs>
      <w:spacing w:before="160" w:after="120" w:line="360" w:lineRule="auto"/>
      <w:rPr>
        <w:sz w:val="24"/>
        <w:szCs w:val="24"/>
      </w:rPr>
    </w:pPr>
    <w:r>
      <w:rPr>
        <w:noProof/>
        <w:lang w:val="en-GB" w:eastAsia="zh-CN"/>
      </w:rPr>
      <w:drawing>
        <wp:inline distT="0" distB="0" distL="0" distR="0" wp14:anchorId="13D9EA78" wp14:editId="2A04BD5C">
          <wp:extent cx="647700" cy="733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351E8"/>
    <w:rsid w:val="00074E76"/>
    <w:rsid w:val="00085662"/>
    <w:rsid w:val="000A337B"/>
    <w:rsid w:val="000B72F8"/>
    <w:rsid w:val="000C331B"/>
    <w:rsid w:val="000C382F"/>
    <w:rsid w:val="000E53D0"/>
    <w:rsid w:val="000F0D53"/>
    <w:rsid w:val="00101640"/>
    <w:rsid w:val="001173CC"/>
    <w:rsid w:val="00137448"/>
    <w:rsid w:val="00140DC9"/>
    <w:rsid w:val="00143C4B"/>
    <w:rsid w:val="0014464D"/>
    <w:rsid w:val="00145E28"/>
    <w:rsid w:val="00162E19"/>
    <w:rsid w:val="00177D81"/>
    <w:rsid w:val="001A21A2"/>
    <w:rsid w:val="001A54CC"/>
    <w:rsid w:val="001A746E"/>
    <w:rsid w:val="001F17D2"/>
    <w:rsid w:val="001F62D1"/>
    <w:rsid w:val="001F74EA"/>
    <w:rsid w:val="00227F6A"/>
    <w:rsid w:val="00231A3B"/>
    <w:rsid w:val="00235C3D"/>
    <w:rsid w:val="00252227"/>
    <w:rsid w:val="00257FB4"/>
    <w:rsid w:val="002836A3"/>
    <w:rsid w:val="002E496E"/>
    <w:rsid w:val="002F1242"/>
    <w:rsid w:val="002F4583"/>
    <w:rsid w:val="00303D62"/>
    <w:rsid w:val="00311719"/>
    <w:rsid w:val="0032761A"/>
    <w:rsid w:val="00335367"/>
    <w:rsid w:val="00341AA4"/>
    <w:rsid w:val="00343BBB"/>
    <w:rsid w:val="00370C2D"/>
    <w:rsid w:val="003769F2"/>
    <w:rsid w:val="00381555"/>
    <w:rsid w:val="003B0864"/>
    <w:rsid w:val="003B7220"/>
    <w:rsid w:val="003D1E8D"/>
    <w:rsid w:val="003D673B"/>
    <w:rsid w:val="003E287F"/>
    <w:rsid w:val="003F05C4"/>
    <w:rsid w:val="003F2855"/>
    <w:rsid w:val="003F6326"/>
    <w:rsid w:val="00400C94"/>
    <w:rsid w:val="00401C20"/>
    <w:rsid w:val="00410F50"/>
    <w:rsid w:val="00416D9A"/>
    <w:rsid w:val="00437D85"/>
    <w:rsid w:val="00451511"/>
    <w:rsid w:val="0047161F"/>
    <w:rsid w:val="004A1426"/>
    <w:rsid w:val="004A3698"/>
    <w:rsid w:val="004A74D6"/>
    <w:rsid w:val="004A7957"/>
    <w:rsid w:val="004C4144"/>
    <w:rsid w:val="004D6B4C"/>
    <w:rsid w:val="004F0D34"/>
    <w:rsid w:val="004F2479"/>
    <w:rsid w:val="004F3318"/>
    <w:rsid w:val="005464DB"/>
    <w:rsid w:val="00565D71"/>
    <w:rsid w:val="005727E9"/>
    <w:rsid w:val="00580D03"/>
    <w:rsid w:val="00581C9B"/>
    <w:rsid w:val="005856B1"/>
    <w:rsid w:val="0058597C"/>
    <w:rsid w:val="005B7FB6"/>
    <w:rsid w:val="005D3C59"/>
    <w:rsid w:val="005E7102"/>
    <w:rsid w:val="006111CB"/>
    <w:rsid w:val="00612032"/>
    <w:rsid w:val="0062151E"/>
    <w:rsid w:val="00653CB8"/>
    <w:rsid w:val="00655A05"/>
    <w:rsid w:val="00696783"/>
    <w:rsid w:val="006969B4"/>
    <w:rsid w:val="006A4F9F"/>
    <w:rsid w:val="006B1EC3"/>
    <w:rsid w:val="006D109A"/>
    <w:rsid w:val="006D23CC"/>
    <w:rsid w:val="006D675D"/>
    <w:rsid w:val="006E4F7B"/>
    <w:rsid w:val="00701574"/>
    <w:rsid w:val="00735E0B"/>
    <w:rsid w:val="007560D7"/>
    <w:rsid w:val="00781E2A"/>
    <w:rsid w:val="007933A2"/>
    <w:rsid w:val="007C43DA"/>
    <w:rsid w:val="007D4290"/>
    <w:rsid w:val="007E1FEF"/>
    <w:rsid w:val="007F406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8E26E9"/>
    <w:rsid w:val="008F5DB4"/>
    <w:rsid w:val="0090137A"/>
    <w:rsid w:val="00912126"/>
    <w:rsid w:val="0092348E"/>
    <w:rsid w:val="0093316C"/>
    <w:rsid w:val="0094637C"/>
    <w:rsid w:val="0095172A"/>
    <w:rsid w:val="00952B26"/>
    <w:rsid w:val="00957320"/>
    <w:rsid w:val="009615DB"/>
    <w:rsid w:val="00963BBE"/>
    <w:rsid w:val="00973CF1"/>
    <w:rsid w:val="0097405D"/>
    <w:rsid w:val="009762DA"/>
    <w:rsid w:val="00981644"/>
    <w:rsid w:val="00993D80"/>
    <w:rsid w:val="0099524A"/>
    <w:rsid w:val="009958DE"/>
    <w:rsid w:val="009A0BA0"/>
    <w:rsid w:val="009B4A41"/>
    <w:rsid w:val="009B7FCB"/>
    <w:rsid w:val="009C5099"/>
    <w:rsid w:val="00A0760C"/>
    <w:rsid w:val="00A21EB9"/>
    <w:rsid w:val="00A4008A"/>
    <w:rsid w:val="00A42768"/>
    <w:rsid w:val="00A54E47"/>
    <w:rsid w:val="00A71D8D"/>
    <w:rsid w:val="00A770C2"/>
    <w:rsid w:val="00A93E3B"/>
    <w:rsid w:val="00AA3CBA"/>
    <w:rsid w:val="00AB6E3A"/>
    <w:rsid w:val="00AC16C0"/>
    <w:rsid w:val="00AD123E"/>
    <w:rsid w:val="00AD30A4"/>
    <w:rsid w:val="00AE0269"/>
    <w:rsid w:val="00AE7093"/>
    <w:rsid w:val="00B00651"/>
    <w:rsid w:val="00B14BE9"/>
    <w:rsid w:val="00B211AC"/>
    <w:rsid w:val="00B312DA"/>
    <w:rsid w:val="00B422BC"/>
    <w:rsid w:val="00B43F77"/>
    <w:rsid w:val="00B4561D"/>
    <w:rsid w:val="00B55A3E"/>
    <w:rsid w:val="00B80E33"/>
    <w:rsid w:val="00B82F7D"/>
    <w:rsid w:val="00B87E9E"/>
    <w:rsid w:val="00B95F0A"/>
    <w:rsid w:val="00B96180"/>
    <w:rsid w:val="00BA3874"/>
    <w:rsid w:val="00BC7582"/>
    <w:rsid w:val="00BD0876"/>
    <w:rsid w:val="00BD0CB0"/>
    <w:rsid w:val="00BD7629"/>
    <w:rsid w:val="00BE48BB"/>
    <w:rsid w:val="00C116FE"/>
    <w:rsid w:val="00C17AC0"/>
    <w:rsid w:val="00C20E01"/>
    <w:rsid w:val="00C31108"/>
    <w:rsid w:val="00C34772"/>
    <w:rsid w:val="00C47C70"/>
    <w:rsid w:val="00C5465A"/>
    <w:rsid w:val="00C57F94"/>
    <w:rsid w:val="00CA4DAA"/>
    <w:rsid w:val="00CB0EB5"/>
    <w:rsid w:val="00CC07F0"/>
    <w:rsid w:val="00CC5ACE"/>
    <w:rsid w:val="00CD75AB"/>
    <w:rsid w:val="00CE6747"/>
    <w:rsid w:val="00D13B6E"/>
    <w:rsid w:val="00D17F39"/>
    <w:rsid w:val="00D263D6"/>
    <w:rsid w:val="00D54642"/>
    <w:rsid w:val="00D56605"/>
    <w:rsid w:val="00D639E8"/>
    <w:rsid w:val="00D7168B"/>
    <w:rsid w:val="00D7517D"/>
    <w:rsid w:val="00D9747C"/>
    <w:rsid w:val="00DB5C37"/>
    <w:rsid w:val="00DC10A8"/>
    <w:rsid w:val="00DC4421"/>
    <w:rsid w:val="00DD77C9"/>
    <w:rsid w:val="00DE1AF7"/>
    <w:rsid w:val="00DF3538"/>
    <w:rsid w:val="00DF7D57"/>
    <w:rsid w:val="00E26E73"/>
    <w:rsid w:val="00E3747D"/>
    <w:rsid w:val="00E7319E"/>
    <w:rsid w:val="00E734C3"/>
    <w:rsid w:val="00E839B0"/>
    <w:rsid w:val="00E92C09"/>
    <w:rsid w:val="00E93441"/>
    <w:rsid w:val="00EA0E30"/>
    <w:rsid w:val="00EC73F3"/>
    <w:rsid w:val="00EF4AA6"/>
    <w:rsid w:val="00EF6CD1"/>
    <w:rsid w:val="00EF7F63"/>
    <w:rsid w:val="00F14380"/>
    <w:rsid w:val="00F24208"/>
    <w:rsid w:val="00F275A7"/>
    <w:rsid w:val="00F43A6B"/>
    <w:rsid w:val="00F6461F"/>
    <w:rsid w:val="00F67B77"/>
    <w:rsid w:val="00FA1594"/>
    <w:rsid w:val="00FA4B9E"/>
    <w:rsid w:val="00FC4848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character" w:customStyle="1" w:styleId="BDTName">
    <w:name w:val="BDT_Name"/>
    <w:basedOn w:val="DefaultParagraphFont"/>
    <w:uiPriority w:val="99"/>
    <w:rsid w:val="00CB0EB5"/>
    <w:rPr>
      <w:rFonts w:cs="Times New Roman"/>
      <w:b/>
      <w:color w:val="808080"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T/studygroups/2017-2020/16/Pages/default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mweb.de/conferences/ITU_SG16alias/visa-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reg/tmisc/30010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2018070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C935-3C83-4BC4-815E-0F36CF4C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24</TotalTime>
  <Pages>2</Pages>
  <Words>661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4516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30</cp:revision>
  <cp:lastPrinted>2018-06-19T17:54:00Z</cp:lastPrinted>
  <dcterms:created xsi:type="dcterms:W3CDTF">2018-06-15T09:08:00Z</dcterms:created>
  <dcterms:modified xsi:type="dcterms:W3CDTF">2018-06-19T17:55:00Z</dcterms:modified>
</cp:coreProperties>
</file>