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884D12" w:rsidRPr="00921413" w14:paraId="4DD2687C" w14:textId="77777777" w:rsidTr="00B80E33">
        <w:trPr>
          <w:cantSplit/>
        </w:trPr>
        <w:tc>
          <w:tcPr>
            <w:tcW w:w="1418" w:type="dxa"/>
            <w:vAlign w:val="center"/>
          </w:tcPr>
          <w:p w14:paraId="5E3458DF" w14:textId="2A2636B9" w:rsidR="00884D12" w:rsidRPr="00921413" w:rsidRDefault="00A81225" w:rsidP="00B80E33">
            <w:pPr>
              <w:tabs>
                <w:tab w:val="right" w:pos="8732"/>
              </w:tabs>
              <w:spacing w:before="0"/>
              <w:rPr>
                <w:b/>
                <w:bCs/>
                <w:iCs/>
                <w:color w:val="FFFFFF"/>
                <w:sz w:val="30"/>
                <w:szCs w:val="30"/>
              </w:rPr>
            </w:pPr>
            <w:r>
              <w:rPr>
                <w:rFonts w:cs="Calibri"/>
                <w:b/>
                <w:bCs/>
                <w:noProof/>
                <w:lang w:val="en-US" w:eastAsia="zh-CN"/>
              </w:rPr>
              <w:drawing>
                <wp:inline distT="0" distB="0" distL="0" distR="0" wp14:anchorId="170E22AA" wp14:editId="145483DD">
                  <wp:extent cx="806400" cy="807656"/>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Documents\Project_Manager_Delegate_Relations\TSB_templates\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6400" cy="807656"/>
                          </a:xfrm>
                          <a:prstGeom prst="rect">
                            <a:avLst/>
                          </a:prstGeom>
                          <a:noFill/>
                          <a:ln>
                            <a:noFill/>
                          </a:ln>
                        </pic:spPr>
                      </pic:pic>
                    </a:graphicData>
                  </a:graphic>
                </wp:inline>
              </w:drawing>
            </w:r>
          </w:p>
        </w:tc>
        <w:tc>
          <w:tcPr>
            <w:tcW w:w="6379" w:type="dxa"/>
            <w:vAlign w:val="center"/>
          </w:tcPr>
          <w:p w14:paraId="19425342" w14:textId="77777777" w:rsidR="00884D12" w:rsidRPr="00921413" w:rsidRDefault="00884D12" w:rsidP="00884D12">
            <w:pPr>
              <w:spacing w:before="0"/>
              <w:rPr>
                <w:rFonts w:cs="Times New Roman Bold"/>
                <w:b/>
                <w:bCs/>
                <w:smallCaps/>
                <w:sz w:val="26"/>
                <w:szCs w:val="26"/>
              </w:rPr>
            </w:pPr>
            <w:r w:rsidRPr="00921413">
              <w:rPr>
                <w:rFonts w:cs="Times New Roman Bold"/>
                <w:b/>
                <w:bCs/>
                <w:smallCaps/>
                <w:sz w:val="36"/>
                <w:szCs w:val="36"/>
              </w:rPr>
              <w:t>Unión Internacional de Telecomunicaciones</w:t>
            </w:r>
          </w:p>
          <w:p w14:paraId="2080C233" w14:textId="77777777" w:rsidR="00884D12" w:rsidRPr="00921413" w:rsidRDefault="00884D12" w:rsidP="00884D12">
            <w:pPr>
              <w:tabs>
                <w:tab w:val="right" w:pos="8732"/>
              </w:tabs>
              <w:spacing w:before="0"/>
              <w:rPr>
                <w:b/>
                <w:bCs/>
                <w:iCs/>
                <w:color w:val="FFFFFF"/>
                <w:sz w:val="30"/>
                <w:szCs w:val="30"/>
              </w:rPr>
            </w:pPr>
            <w:r w:rsidRPr="00921413">
              <w:rPr>
                <w:rFonts w:cs="Times New Roman Bold"/>
                <w:b/>
                <w:bCs/>
                <w:iCs/>
                <w:smallCaps/>
                <w:sz w:val="28"/>
                <w:szCs w:val="28"/>
              </w:rPr>
              <w:t>Oficina de Normalización de las Telecomunicaciones</w:t>
            </w:r>
          </w:p>
        </w:tc>
        <w:tc>
          <w:tcPr>
            <w:tcW w:w="1984" w:type="dxa"/>
            <w:vAlign w:val="center"/>
          </w:tcPr>
          <w:p w14:paraId="06A6F35A" w14:textId="77777777" w:rsidR="00884D12" w:rsidRPr="00921413" w:rsidRDefault="00884D12" w:rsidP="00B80E33">
            <w:pPr>
              <w:spacing w:before="0"/>
              <w:jc w:val="right"/>
              <w:rPr>
                <w:color w:val="FFFFFF"/>
                <w:sz w:val="26"/>
                <w:szCs w:val="26"/>
              </w:rPr>
            </w:pPr>
          </w:p>
        </w:tc>
      </w:tr>
    </w:tbl>
    <w:p w14:paraId="1BFF3E02" w14:textId="77777777" w:rsidR="00C34772" w:rsidRPr="00921413" w:rsidRDefault="00C34772" w:rsidP="00303D62">
      <w:pPr>
        <w:tabs>
          <w:tab w:val="clear" w:pos="794"/>
          <w:tab w:val="clear" w:pos="1191"/>
          <w:tab w:val="clear" w:pos="1588"/>
          <w:tab w:val="clear" w:pos="1985"/>
          <w:tab w:val="left" w:pos="4962"/>
        </w:tabs>
      </w:pPr>
    </w:p>
    <w:p w14:paraId="29FA87DA" w14:textId="05050B36" w:rsidR="00C34772" w:rsidRPr="00921413" w:rsidRDefault="00C34772" w:rsidP="00E66D05">
      <w:pPr>
        <w:tabs>
          <w:tab w:val="clear" w:pos="794"/>
          <w:tab w:val="clear" w:pos="1191"/>
          <w:tab w:val="clear" w:pos="1588"/>
          <w:tab w:val="clear" w:pos="1985"/>
          <w:tab w:val="left" w:pos="4962"/>
        </w:tabs>
      </w:pPr>
      <w:r w:rsidRPr="00921413">
        <w:tab/>
        <w:t xml:space="preserve">Ginebra, </w:t>
      </w:r>
      <w:r w:rsidR="00E66D05" w:rsidRPr="00921413">
        <w:t>5</w:t>
      </w:r>
      <w:r w:rsidR="00C711E0" w:rsidRPr="00921413">
        <w:t xml:space="preserve"> de </w:t>
      </w:r>
      <w:r w:rsidR="00E66D05" w:rsidRPr="00921413">
        <w:t>septiembre</w:t>
      </w:r>
      <w:r w:rsidR="006D7DB2" w:rsidRPr="00921413">
        <w:t xml:space="preserve"> </w:t>
      </w:r>
      <w:r w:rsidR="0094637C" w:rsidRPr="00921413">
        <w:t>de 201</w:t>
      </w:r>
      <w:r w:rsidR="006D7DB2" w:rsidRPr="00921413">
        <w:t>8</w:t>
      </w:r>
    </w:p>
    <w:p w14:paraId="0B3A87B9" w14:textId="77777777" w:rsidR="00C34772" w:rsidRPr="00921413" w:rsidRDefault="00C34772" w:rsidP="00303D62">
      <w:pPr>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1182"/>
        <w:gridCol w:w="3488"/>
        <w:gridCol w:w="5536"/>
      </w:tblGrid>
      <w:tr w:rsidR="00CC5ACE" w:rsidRPr="00921413" w14:paraId="01404E9B" w14:textId="77777777" w:rsidTr="00133025">
        <w:trPr>
          <w:cantSplit/>
          <w:trHeight w:val="340"/>
        </w:trPr>
        <w:tc>
          <w:tcPr>
            <w:tcW w:w="1182" w:type="dxa"/>
          </w:tcPr>
          <w:p w14:paraId="5F75694C" w14:textId="77777777" w:rsidR="00CC5ACE" w:rsidRPr="00921413" w:rsidRDefault="00CC5ACE" w:rsidP="00CC5ACE">
            <w:pPr>
              <w:tabs>
                <w:tab w:val="left" w:pos="4111"/>
              </w:tabs>
              <w:spacing w:before="0"/>
              <w:ind w:left="57"/>
              <w:rPr>
                <w:szCs w:val="24"/>
              </w:rPr>
            </w:pPr>
            <w:r w:rsidRPr="00921413">
              <w:rPr>
                <w:szCs w:val="24"/>
              </w:rPr>
              <w:t>Ref.:</w:t>
            </w:r>
          </w:p>
        </w:tc>
        <w:tc>
          <w:tcPr>
            <w:tcW w:w="3488" w:type="dxa"/>
          </w:tcPr>
          <w:p w14:paraId="36555F14" w14:textId="68337C9C" w:rsidR="00CC5ACE" w:rsidRPr="00921413" w:rsidRDefault="00CC5ACE" w:rsidP="00E66D05">
            <w:pPr>
              <w:tabs>
                <w:tab w:val="left" w:pos="4111"/>
              </w:tabs>
              <w:spacing w:before="0"/>
              <w:ind w:left="57"/>
              <w:rPr>
                <w:b/>
              </w:rPr>
            </w:pPr>
            <w:r w:rsidRPr="00921413">
              <w:rPr>
                <w:b/>
              </w:rPr>
              <w:t xml:space="preserve">Circular TSB </w:t>
            </w:r>
            <w:r w:rsidR="00130E65" w:rsidRPr="00921413">
              <w:rPr>
                <w:b/>
              </w:rPr>
              <w:t>10</w:t>
            </w:r>
            <w:r w:rsidR="00E66D05" w:rsidRPr="00921413">
              <w:rPr>
                <w:b/>
              </w:rPr>
              <w:t>5</w:t>
            </w:r>
          </w:p>
          <w:p w14:paraId="042D4D46" w14:textId="33F126CF" w:rsidR="00CC5ACE" w:rsidRPr="00921413" w:rsidRDefault="00E66D05" w:rsidP="00F31E73">
            <w:pPr>
              <w:tabs>
                <w:tab w:val="left" w:pos="4111"/>
              </w:tabs>
              <w:spacing w:before="0"/>
              <w:ind w:left="57"/>
              <w:rPr>
                <w:b/>
              </w:rPr>
            </w:pPr>
            <w:r w:rsidRPr="00921413">
              <w:t>SG11/DA</w:t>
            </w:r>
          </w:p>
        </w:tc>
        <w:tc>
          <w:tcPr>
            <w:tcW w:w="5536" w:type="dxa"/>
            <w:vMerge w:val="restart"/>
          </w:tcPr>
          <w:p w14:paraId="41E4CAAE" w14:textId="0029D6C5" w:rsidR="002836A3" w:rsidRPr="00921413" w:rsidRDefault="00C711E0" w:rsidP="00B13033">
            <w:pPr>
              <w:tabs>
                <w:tab w:val="clear" w:pos="794"/>
                <w:tab w:val="clear" w:pos="1191"/>
                <w:tab w:val="clear" w:pos="1588"/>
                <w:tab w:val="clear" w:pos="1985"/>
                <w:tab w:val="left" w:pos="284"/>
              </w:tabs>
              <w:spacing w:before="0"/>
              <w:ind w:left="284" w:hanging="227"/>
            </w:pPr>
            <w:bookmarkStart w:id="0" w:name="Addressee_S"/>
            <w:bookmarkEnd w:id="0"/>
            <w:r w:rsidRPr="00921413">
              <w:t>–</w:t>
            </w:r>
            <w:r w:rsidRPr="00921413">
              <w:tab/>
              <w:t xml:space="preserve">A las Administraciones de los Estados Miembros </w:t>
            </w:r>
            <w:r w:rsidRPr="00921413">
              <w:br/>
              <w:t>de la Unión</w:t>
            </w:r>
          </w:p>
        </w:tc>
      </w:tr>
      <w:tr w:rsidR="00CC5ACE" w:rsidRPr="00921413" w14:paraId="63289AA2" w14:textId="77777777" w:rsidTr="00133025">
        <w:trPr>
          <w:cantSplit/>
          <w:trHeight w:val="340"/>
        </w:trPr>
        <w:tc>
          <w:tcPr>
            <w:tcW w:w="1182" w:type="dxa"/>
          </w:tcPr>
          <w:p w14:paraId="349D0CC1" w14:textId="77777777" w:rsidR="00CC5ACE" w:rsidRPr="00921413" w:rsidRDefault="00CC5ACE" w:rsidP="00A04AC7">
            <w:pPr>
              <w:tabs>
                <w:tab w:val="left" w:pos="4111"/>
              </w:tabs>
              <w:spacing w:before="40" w:after="40"/>
              <w:ind w:left="57"/>
              <w:rPr>
                <w:szCs w:val="24"/>
              </w:rPr>
            </w:pPr>
            <w:r w:rsidRPr="00921413">
              <w:rPr>
                <w:szCs w:val="24"/>
              </w:rPr>
              <w:t>Tel.:</w:t>
            </w:r>
          </w:p>
        </w:tc>
        <w:tc>
          <w:tcPr>
            <w:tcW w:w="3488" w:type="dxa"/>
          </w:tcPr>
          <w:p w14:paraId="07FF1BA9" w14:textId="253B8FD0" w:rsidR="00CC5ACE" w:rsidRPr="00921413" w:rsidRDefault="00CC5ACE" w:rsidP="00E66D05">
            <w:pPr>
              <w:tabs>
                <w:tab w:val="left" w:pos="4111"/>
              </w:tabs>
              <w:spacing w:before="40" w:after="40"/>
              <w:ind w:left="57"/>
              <w:rPr>
                <w:b/>
              </w:rPr>
            </w:pPr>
            <w:r w:rsidRPr="00921413">
              <w:t xml:space="preserve">+41 22 730 </w:t>
            </w:r>
            <w:r w:rsidR="00C711E0" w:rsidRPr="00921413">
              <w:t>5</w:t>
            </w:r>
            <w:r w:rsidR="00E66D05" w:rsidRPr="00921413">
              <w:t>780</w:t>
            </w:r>
          </w:p>
        </w:tc>
        <w:tc>
          <w:tcPr>
            <w:tcW w:w="5536" w:type="dxa"/>
            <w:vMerge/>
          </w:tcPr>
          <w:p w14:paraId="60D4EA2D" w14:textId="77777777" w:rsidR="00CC5ACE" w:rsidRPr="00921413" w:rsidRDefault="00CC5ACE" w:rsidP="0094637C">
            <w:pPr>
              <w:tabs>
                <w:tab w:val="clear" w:pos="794"/>
                <w:tab w:val="clear" w:pos="1191"/>
                <w:tab w:val="clear" w:pos="1588"/>
                <w:tab w:val="clear" w:pos="1985"/>
                <w:tab w:val="left" w:pos="284"/>
              </w:tabs>
              <w:spacing w:before="0"/>
              <w:ind w:left="284" w:hanging="227"/>
            </w:pPr>
          </w:p>
        </w:tc>
      </w:tr>
      <w:tr w:rsidR="00CC5ACE" w:rsidRPr="00921413" w14:paraId="70488C19" w14:textId="77777777" w:rsidTr="00133025">
        <w:trPr>
          <w:cantSplit/>
          <w:trHeight w:val="340"/>
        </w:trPr>
        <w:tc>
          <w:tcPr>
            <w:tcW w:w="1182" w:type="dxa"/>
          </w:tcPr>
          <w:p w14:paraId="27C13456" w14:textId="77777777" w:rsidR="00CC5ACE" w:rsidRPr="00921413" w:rsidRDefault="00CC5ACE" w:rsidP="00A04AC7">
            <w:pPr>
              <w:tabs>
                <w:tab w:val="left" w:pos="4111"/>
              </w:tabs>
              <w:spacing w:before="40" w:after="40"/>
              <w:ind w:left="57"/>
              <w:rPr>
                <w:szCs w:val="24"/>
              </w:rPr>
            </w:pPr>
            <w:r w:rsidRPr="00921413">
              <w:rPr>
                <w:szCs w:val="24"/>
              </w:rPr>
              <w:t>Fax:</w:t>
            </w:r>
          </w:p>
        </w:tc>
        <w:tc>
          <w:tcPr>
            <w:tcW w:w="3488" w:type="dxa"/>
          </w:tcPr>
          <w:p w14:paraId="3A0187E8" w14:textId="77777777" w:rsidR="00CC5ACE" w:rsidRPr="00921413" w:rsidRDefault="00CC5ACE" w:rsidP="00A04AC7">
            <w:pPr>
              <w:tabs>
                <w:tab w:val="left" w:pos="4111"/>
              </w:tabs>
              <w:spacing w:before="40" w:after="40"/>
              <w:ind w:left="57"/>
              <w:rPr>
                <w:b/>
              </w:rPr>
            </w:pPr>
            <w:r w:rsidRPr="00921413">
              <w:t xml:space="preserve">+41 22 730 </w:t>
            </w:r>
            <w:r w:rsidR="004C01EE" w:rsidRPr="00921413">
              <w:t>5853</w:t>
            </w:r>
          </w:p>
        </w:tc>
        <w:tc>
          <w:tcPr>
            <w:tcW w:w="5536" w:type="dxa"/>
            <w:vMerge/>
          </w:tcPr>
          <w:p w14:paraId="67C79FC1" w14:textId="77777777" w:rsidR="00CC5ACE" w:rsidRPr="00921413" w:rsidRDefault="00CC5ACE" w:rsidP="0094637C">
            <w:pPr>
              <w:tabs>
                <w:tab w:val="clear" w:pos="794"/>
                <w:tab w:val="clear" w:pos="1191"/>
                <w:tab w:val="clear" w:pos="1588"/>
                <w:tab w:val="clear" w:pos="1985"/>
                <w:tab w:val="left" w:pos="284"/>
              </w:tabs>
              <w:spacing w:before="0"/>
              <w:ind w:left="284" w:hanging="227"/>
            </w:pPr>
          </w:p>
        </w:tc>
      </w:tr>
      <w:tr w:rsidR="00C34772" w:rsidRPr="00921413" w14:paraId="50B91444" w14:textId="77777777" w:rsidTr="00133025">
        <w:trPr>
          <w:cantSplit/>
          <w:trHeight w:val="2809"/>
        </w:trPr>
        <w:tc>
          <w:tcPr>
            <w:tcW w:w="1182" w:type="dxa"/>
          </w:tcPr>
          <w:p w14:paraId="2A3384E2" w14:textId="77777777" w:rsidR="00C34772" w:rsidRPr="00921413" w:rsidRDefault="00C34772" w:rsidP="008A5CFA">
            <w:pPr>
              <w:tabs>
                <w:tab w:val="left" w:pos="4111"/>
              </w:tabs>
              <w:spacing w:before="0"/>
              <w:ind w:left="57"/>
              <w:rPr>
                <w:szCs w:val="24"/>
              </w:rPr>
            </w:pPr>
            <w:r w:rsidRPr="00921413">
              <w:rPr>
                <w:szCs w:val="24"/>
              </w:rPr>
              <w:t>Correo-e:</w:t>
            </w:r>
          </w:p>
        </w:tc>
        <w:tc>
          <w:tcPr>
            <w:tcW w:w="3488" w:type="dxa"/>
          </w:tcPr>
          <w:p w14:paraId="157D97DD" w14:textId="316CA0F6" w:rsidR="003B2CB4" w:rsidRPr="00921413" w:rsidRDefault="009809E6" w:rsidP="00E66D05">
            <w:pPr>
              <w:tabs>
                <w:tab w:val="left" w:pos="4111"/>
              </w:tabs>
              <w:spacing w:before="0"/>
              <w:ind w:left="57"/>
            </w:pPr>
            <w:hyperlink r:id="rId9" w:history="1">
              <w:r w:rsidR="00E66D05" w:rsidRPr="00921413">
                <w:rPr>
                  <w:rStyle w:val="Hyperlink"/>
                </w:rPr>
                <w:t>tsbsg11@itu.int</w:t>
              </w:r>
            </w:hyperlink>
          </w:p>
        </w:tc>
        <w:tc>
          <w:tcPr>
            <w:tcW w:w="5536" w:type="dxa"/>
          </w:tcPr>
          <w:p w14:paraId="1A78BF12" w14:textId="287E5E13" w:rsidR="00C711E0" w:rsidRPr="00921413" w:rsidRDefault="00C711E0" w:rsidP="00C711E0">
            <w:pPr>
              <w:tabs>
                <w:tab w:val="left" w:pos="4111"/>
              </w:tabs>
              <w:spacing w:before="40" w:after="40"/>
              <w:ind w:left="57"/>
            </w:pPr>
            <w:r w:rsidRPr="00921413">
              <w:rPr>
                <w:b/>
              </w:rPr>
              <w:t>Copia</w:t>
            </w:r>
            <w:r w:rsidR="00133025" w:rsidRPr="00921413">
              <w:rPr>
                <w:b/>
              </w:rPr>
              <w:t xml:space="preserve"> a</w:t>
            </w:r>
            <w:r w:rsidRPr="00921413">
              <w:t>:</w:t>
            </w:r>
          </w:p>
          <w:p w14:paraId="2546DE85" w14:textId="59E3D766" w:rsidR="00C711E0" w:rsidRPr="00921413" w:rsidRDefault="00133025" w:rsidP="00133025">
            <w:pPr>
              <w:tabs>
                <w:tab w:val="clear" w:pos="794"/>
                <w:tab w:val="clear" w:pos="1191"/>
                <w:tab w:val="clear" w:pos="1588"/>
                <w:tab w:val="clear" w:pos="1985"/>
                <w:tab w:val="left" w:pos="284"/>
              </w:tabs>
              <w:spacing w:before="0"/>
              <w:ind w:left="284" w:hanging="227"/>
            </w:pPr>
            <w:r w:rsidRPr="00921413">
              <w:t>–</w:t>
            </w:r>
            <w:r w:rsidRPr="00921413">
              <w:tab/>
            </w:r>
            <w:r w:rsidR="00C711E0" w:rsidRPr="00921413">
              <w:t>los Miembros de Sector del UIT-T;</w:t>
            </w:r>
          </w:p>
          <w:p w14:paraId="2AD36B03" w14:textId="58341C45" w:rsidR="00C711E0" w:rsidRPr="00921413" w:rsidRDefault="00C711E0" w:rsidP="00133025">
            <w:pPr>
              <w:tabs>
                <w:tab w:val="clear" w:pos="794"/>
                <w:tab w:val="clear" w:pos="1191"/>
                <w:tab w:val="clear" w:pos="1588"/>
                <w:tab w:val="clear" w:pos="1985"/>
                <w:tab w:val="left" w:pos="284"/>
              </w:tabs>
              <w:spacing w:before="0"/>
              <w:ind w:left="284" w:hanging="227"/>
            </w:pPr>
            <w:r w:rsidRPr="00921413">
              <w:t>–</w:t>
            </w:r>
            <w:r w:rsidRPr="00921413">
              <w:tab/>
            </w:r>
            <w:r w:rsidRPr="00921413">
              <w:rPr>
                <w:szCs w:val="24"/>
              </w:rPr>
              <w:t xml:space="preserve">los Asociados de la Comisión de Estudio </w:t>
            </w:r>
            <w:r w:rsidR="00E66D05" w:rsidRPr="00921413">
              <w:rPr>
                <w:szCs w:val="24"/>
              </w:rPr>
              <w:t>11</w:t>
            </w:r>
            <w:r w:rsidRPr="00921413">
              <w:rPr>
                <w:szCs w:val="24"/>
              </w:rPr>
              <w:t xml:space="preserve"> del UIT-T</w:t>
            </w:r>
            <w:r w:rsidRPr="00921413">
              <w:t>;</w:t>
            </w:r>
          </w:p>
          <w:p w14:paraId="0BBD0BA3" w14:textId="03F2A3B2" w:rsidR="00C711E0" w:rsidRPr="00921413" w:rsidRDefault="00C711E0" w:rsidP="00133025">
            <w:pPr>
              <w:tabs>
                <w:tab w:val="clear" w:pos="794"/>
                <w:tab w:val="clear" w:pos="1191"/>
                <w:tab w:val="clear" w:pos="1588"/>
                <w:tab w:val="clear" w:pos="1985"/>
                <w:tab w:val="left" w:pos="284"/>
              </w:tabs>
              <w:spacing w:before="0"/>
              <w:ind w:left="284" w:hanging="227"/>
            </w:pPr>
            <w:r w:rsidRPr="00921413">
              <w:t>–</w:t>
            </w:r>
            <w:r w:rsidRPr="00921413">
              <w:tab/>
              <w:t>las Instituciones Académicas de la UIT;</w:t>
            </w:r>
          </w:p>
          <w:p w14:paraId="6E7432DF" w14:textId="769429FE" w:rsidR="00C711E0" w:rsidRPr="00921413" w:rsidRDefault="00C711E0" w:rsidP="00133025">
            <w:pPr>
              <w:tabs>
                <w:tab w:val="clear" w:pos="794"/>
                <w:tab w:val="clear" w:pos="1191"/>
                <w:tab w:val="clear" w:pos="1588"/>
                <w:tab w:val="clear" w:pos="1985"/>
                <w:tab w:val="left" w:pos="284"/>
              </w:tabs>
              <w:spacing w:before="0"/>
              <w:ind w:left="284" w:hanging="227"/>
            </w:pPr>
            <w:r w:rsidRPr="00921413">
              <w:t>–</w:t>
            </w:r>
            <w:r w:rsidRPr="00921413">
              <w:tab/>
            </w:r>
            <w:r w:rsidR="00133025" w:rsidRPr="00921413">
              <w:t>el</w:t>
            </w:r>
            <w:r w:rsidRPr="00921413">
              <w:rPr>
                <w:szCs w:val="24"/>
              </w:rPr>
              <w:t xml:space="preserve"> Presidente y a los Vicepresidentes de la Comisión de Estudio </w:t>
            </w:r>
            <w:r w:rsidR="00E66D05" w:rsidRPr="00921413">
              <w:rPr>
                <w:szCs w:val="24"/>
              </w:rPr>
              <w:t>11</w:t>
            </w:r>
            <w:r w:rsidRPr="00921413">
              <w:rPr>
                <w:szCs w:val="24"/>
              </w:rPr>
              <w:t xml:space="preserve"> del UIT-T</w:t>
            </w:r>
            <w:r w:rsidRPr="00921413">
              <w:t>;</w:t>
            </w:r>
          </w:p>
          <w:p w14:paraId="7AD079DD" w14:textId="23C7C51A" w:rsidR="00C711E0" w:rsidRPr="00921413" w:rsidRDefault="00C711E0" w:rsidP="00133025">
            <w:pPr>
              <w:tabs>
                <w:tab w:val="clear" w:pos="794"/>
                <w:tab w:val="clear" w:pos="1191"/>
                <w:tab w:val="clear" w:pos="1588"/>
                <w:tab w:val="clear" w:pos="1985"/>
                <w:tab w:val="left" w:pos="284"/>
              </w:tabs>
              <w:spacing w:before="0"/>
              <w:ind w:left="284" w:hanging="227"/>
            </w:pPr>
            <w:r w:rsidRPr="00921413">
              <w:t>–</w:t>
            </w:r>
            <w:r w:rsidRPr="00921413">
              <w:tab/>
            </w:r>
            <w:r w:rsidR="00133025" w:rsidRPr="00921413">
              <w:t>e</w:t>
            </w:r>
            <w:r w:rsidRPr="00921413">
              <w:t>l Director de la Oficina de Desarrollo de las Telecomunicaciones;</w:t>
            </w:r>
          </w:p>
          <w:p w14:paraId="5A5A2E8F" w14:textId="79A70B26" w:rsidR="00EA0E30" w:rsidRPr="00921413" w:rsidRDefault="00C711E0" w:rsidP="00133025">
            <w:pPr>
              <w:tabs>
                <w:tab w:val="clear" w:pos="794"/>
                <w:tab w:val="clear" w:pos="1191"/>
                <w:tab w:val="clear" w:pos="1588"/>
                <w:tab w:val="clear" w:pos="1985"/>
                <w:tab w:val="left" w:pos="284"/>
              </w:tabs>
              <w:spacing w:before="0"/>
              <w:ind w:left="284" w:hanging="227"/>
            </w:pPr>
            <w:r w:rsidRPr="00921413">
              <w:t>–</w:t>
            </w:r>
            <w:r w:rsidRPr="00921413">
              <w:tab/>
            </w:r>
            <w:r w:rsidR="00133025" w:rsidRPr="00921413">
              <w:t>e</w:t>
            </w:r>
            <w:r w:rsidRPr="00921413">
              <w:t>l Director de la Oficina de Radiocomunicaciones</w:t>
            </w:r>
          </w:p>
        </w:tc>
      </w:tr>
      <w:tr w:rsidR="00CC5ACE" w:rsidRPr="00921413" w14:paraId="72FBFD5F" w14:textId="77777777" w:rsidTr="00133025">
        <w:trPr>
          <w:cantSplit/>
          <w:trHeight w:val="1134"/>
        </w:trPr>
        <w:tc>
          <w:tcPr>
            <w:tcW w:w="1182" w:type="dxa"/>
          </w:tcPr>
          <w:p w14:paraId="674B5941" w14:textId="77777777" w:rsidR="00CC5ACE" w:rsidRPr="00921413" w:rsidRDefault="00CC5ACE" w:rsidP="00A5057D">
            <w:pPr>
              <w:spacing w:before="240"/>
              <w:ind w:left="57"/>
            </w:pPr>
            <w:r w:rsidRPr="00921413">
              <w:t>Asunto:</w:t>
            </w:r>
          </w:p>
        </w:tc>
        <w:tc>
          <w:tcPr>
            <w:tcW w:w="9024" w:type="dxa"/>
            <w:gridSpan w:val="2"/>
          </w:tcPr>
          <w:p w14:paraId="50AC09AC" w14:textId="2221EE36" w:rsidR="00CC5ACE" w:rsidRPr="00921413" w:rsidRDefault="00C711E0" w:rsidP="00F635CF">
            <w:pPr>
              <w:spacing w:before="240"/>
              <w:ind w:left="57"/>
              <w:rPr>
                <w:b/>
                <w:bCs/>
              </w:rPr>
            </w:pPr>
            <w:r w:rsidRPr="00921413">
              <w:rPr>
                <w:b/>
                <w:bCs/>
              </w:rPr>
              <w:t xml:space="preserve">Consulta a los Estados Miembros sobre </w:t>
            </w:r>
            <w:r w:rsidR="00E66D05" w:rsidRPr="00921413">
              <w:rPr>
                <w:b/>
                <w:bCs/>
              </w:rPr>
              <w:t>el</w:t>
            </w:r>
            <w:r w:rsidRPr="00921413">
              <w:rPr>
                <w:b/>
                <w:bCs/>
              </w:rPr>
              <w:t xml:space="preserve"> proyecto de nueva Recomendación determinada UIT-T </w:t>
            </w:r>
            <w:r w:rsidR="00E66D05" w:rsidRPr="00921413">
              <w:rPr>
                <w:b/>
                <w:bCs/>
              </w:rPr>
              <w:t>Q.5050</w:t>
            </w:r>
            <w:r w:rsidRPr="00921413">
              <w:rPr>
                <w:b/>
                <w:bCs/>
              </w:rPr>
              <w:t xml:space="preserve">, propuesto para aprobación en la reunión de la Comisión de Estudio </w:t>
            </w:r>
            <w:r w:rsidR="00E66D05" w:rsidRPr="00921413">
              <w:rPr>
                <w:b/>
                <w:bCs/>
              </w:rPr>
              <w:t>11</w:t>
            </w:r>
            <w:r w:rsidRPr="00921413">
              <w:rPr>
                <w:b/>
                <w:bCs/>
              </w:rPr>
              <w:t xml:space="preserve"> </w:t>
            </w:r>
            <w:r w:rsidR="00CB4E9C" w:rsidRPr="00921413">
              <w:rPr>
                <w:b/>
                <w:bCs/>
              </w:rPr>
              <w:t>del UIT</w:t>
            </w:r>
            <w:r w:rsidR="00CB4E9C" w:rsidRPr="00921413">
              <w:rPr>
                <w:b/>
                <w:bCs/>
              </w:rPr>
              <w:noBreakHyphen/>
              <w:t>T</w:t>
            </w:r>
            <w:r w:rsidR="00E66D05" w:rsidRPr="00921413">
              <w:rPr>
                <w:b/>
                <w:bCs/>
              </w:rPr>
              <w:t xml:space="preserve"> </w:t>
            </w:r>
            <w:r w:rsidRPr="00921413">
              <w:rPr>
                <w:b/>
                <w:bCs/>
              </w:rPr>
              <w:t xml:space="preserve">(Ginebra, </w:t>
            </w:r>
            <w:r w:rsidR="00E66D05" w:rsidRPr="00921413">
              <w:rPr>
                <w:b/>
                <w:bCs/>
              </w:rPr>
              <w:t>6-15 de marzo</w:t>
            </w:r>
            <w:r w:rsidRPr="00921413">
              <w:rPr>
                <w:b/>
                <w:bCs/>
              </w:rPr>
              <w:t xml:space="preserve"> de 2019)</w:t>
            </w:r>
          </w:p>
        </w:tc>
      </w:tr>
    </w:tbl>
    <w:p w14:paraId="4834294F" w14:textId="64B95131" w:rsidR="00C34772" w:rsidRPr="00921413" w:rsidRDefault="009D04B8" w:rsidP="002E40BA">
      <w:pPr>
        <w:pStyle w:val="Normalaftertitle"/>
      </w:pPr>
      <w:bookmarkStart w:id="1" w:name="StartTyping_S"/>
      <w:bookmarkStart w:id="2" w:name="suitetext"/>
      <w:bookmarkStart w:id="3" w:name="text"/>
      <w:bookmarkEnd w:id="1"/>
      <w:bookmarkEnd w:id="2"/>
      <w:bookmarkEnd w:id="3"/>
      <w:r w:rsidRPr="00921413">
        <w:t>Muy Señora mía</w:t>
      </w:r>
      <w:r w:rsidR="0094637C" w:rsidRPr="00921413">
        <w:t>/</w:t>
      </w:r>
      <w:r w:rsidR="00B80E33" w:rsidRPr="00921413">
        <w:t>Muy Señor mío</w:t>
      </w:r>
      <w:r w:rsidR="00291C9B" w:rsidRPr="00921413">
        <w:t>:</w:t>
      </w:r>
    </w:p>
    <w:p w14:paraId="3A393070" w14:textId="75D767D5" w:rsidR="00482EE0" w:rsidRPr="00921413" w:rsidRDefault="00482EE0" w:rsidP="00F635CF">
      <w:pPr>
        <w:rPr>
          <w:spacing w:val="-2"/>
        </w:rPr>
      </w:pPr>
      <w:r w:rsidRPr="00921413">
        <w:t>1</w:t>
      </w:r>
      <w:r w:rsidRPr="00921413">
        <w:tab/>
        <w:t xml:space="preserve">La Comisión de Estudio </w:t>
      </w:r>
      <w:r w:rsidR="00E66D05" w:rsidRPr="00921413">
        <w:t>11</w:t>
      </w:r>
      <w:r w:rsidRPr="00921413">
        <w:t xml:space="preserve"> </w:t>
      </w:r>
      <w:r w:rsidR="00CB4E9C" w:rsidRPr="00921413">
        <w:t>del UIT</w:t>
      </w:r>
      <w:r w:rsidR="00CB4E9C" w:rsidRPr="00921413">
        <w:noBreakHyphen/>
        <w:t xml:space="preserve">T </w:t>
      </w:r>
      <w:r w:rsidRPr="00921413">
        <w:t>(</w:t>
      </w:r>
      <w:r w:rsidR="00E66D05" w:rsidRPr="00921413">
        <w:t>Requisitos de señalización, protocolos, especificaciones de pruebas y lucha contra la falsificación de productos</w:t>
      </w:r>
      <w:r w:rsidRPr="00921413">
        <w:t xml:space="preserve">) </w:t>
      </w:r>
      <w:r w:rsidRPr="00921413">
        <w:rPr>
          <w:spacing w:val="-2"/>
        </w:rPr>
        <w:t xml:space="preserve">tiene intención de aplicar el </w:t>
      </w:r>
      <w:r w:rsidRPr="00921413">
        <w:rPr>
          <w:rFonts w:ascii="Calibri" w:hAnsi="Calibri"/>
          <w:szCs w:val="22"/>
        </w:rPr>
        <w:t>procedimiento</w:t>
      </w:r>
      <w:r w:rsidRPr="00921413">
        <w:rPr>
          <w:spacing w:val="-2"/>
        </w:rPr>
        <w:t xml:space="preserve"> de aprobación tradicional descrito en la cláusula 9 de la Resolución 1 (Rev. </w:t>
      </w:r>
      <w:proofErr w:type="spellStart"/>
      <w:r w:rsidRPr="00921413">
        <w:rPr>
          <w:spacing w:val="-2"/>
        </w:rPr>
        <w:t>Hammamet</w:t>
      </w:r>
      <w:proofErr w:type="spellEnd"/>
      <w:r w:rsidRPr="00921413">
        <w:rPr>
          <w:spacing w:val="-2"/>
        </w:rPr>
        <w:t>, 2016) de la AMNT para la aprobación de</w:t>
      </w:r>
      <w:r w:rsidR="00E66D05" w:rsidRPr="00921413">
        <w:rPr>
          <w:spacing w:val="-2"/>
        </w:rPr>
        <w:t>l</w:t>
      </w:r>
      <w:r w:rsidRPr="00921413">
        <w:rPr>
          <w:spacing w:val="-2"/>
        </w:rPr>
        <w:t xml:space="preserve"> citado proyecto de Recomendación durante su próxima reunión en Ginebra, del </w:t>
      </w:r>
      <w:r w:rsidR="00E66D05" w:rsidRPr="00921413">
        <w:rPr>
          <w:spacing w:val="-2"/>
        </w:rPr>
        <w:t>6 al 15 de marzo</w:t>
      </w:r>
      <w:r w:rsidRPr="00921413">
        <w:rPr>
          <w:spacing w:val="-2"/>
        </w:rPr>
        <w:t xml:space="preserve"> de 2019. El orden del día y toda la información pertinente sobre la reunión de la Comisión de Estudio </w:t>
      </w:r>
      <w:r w:rsidR="00F635CF">
        <w:rPr>
          <w:spacing w:val="-2"/>
        </w:rPr>
        <w:t>11</w:t>
      </w:r>
      <w:r w:rsidRPr="00921413">
        <w:rPr>
          <w:spacing w:val="-2"/>
        </w:rPr>
        <w:t xml:space="preserve"> </w:t>
      </w:r>
      <w:r w:rsidR="00F030E6" w:rsidRPr="00921413">
        <w:rPr>
          <w:spacing w:val="-2"/>
        </w:rPr>
        <w:t>del UIT-T figurarán en la Carta </w:t>
      </w:r>
      <w:r w:rsidRPr="00921413">
        <w:rPr>
          <w:spacing w:val="-2"/>
        </w:rPr>
        <w:t>Colectiva </w:t>
      </w:r>
      <w:r w:rsidR="00E66D05" w:rsidRPr="00921413">
        <w:rPr>
          <w:spacing w:val="-2"/>
        </w:rPr>
        <w:t>6</w:t>
      </w:r>
      <w:r w:rsidRPr="00921413">
        <w:rPr>
          <w:spacing w:val="-2"/>
        </w:rPr>
        <w:t>/</w:t>
      </w:r>
      <w:r w:rsidR="00E66D05" w:rsidRPr="00921413">
        <w:rPr>
          <w:spacing w:val="-2"/>
        </w:rPr>
        <w:t>11</w:t>
      </w:r>
      <w:r w:rsidRPr="00921413">
        <w:rPr>
          <w:spacing w:val="-2"/>
        </w:rPr>
        <w:t>.</w:t>
      </w:r>
    </w:p>
    <w:p w14:paraId="6456E0BD" w14:textId="63B74E0A" w:rsidR="004103FC" w:rsidRPr="00921413" w:rsidRDefault="004103FC" w:rsidP="00E66D05">
      <w:pPr>
        <w:rPr>
          <w:szCs w:val="24"/>
        </w:rPr>
      </w:pPr>
      <w:r w:rsidRPr="00921413">
        <w:rPr>
          <w:szCs w:val="24"/>
        </w:rPr>
        <w:t>2</w:t>
      </w:r>
      <w:r w:rsidRPr="00921413">
        <w:rPr>
          <w:szCs w:val="24"/>
        </w:rPr>
        <w:tab/>
        <w:t xml:space="preserve">El </w:t>
      </w:r>
      <w:r w:rsidRPr="00921413">
        <w:rPr>
          <w:b/>
          <w:bCs/>
          <w:szCs w:val="24"/>
        </w:rPr>
        <w:t>Anexo 1</w:t>
      </w:r>
      <w:r w:rsidRPr="00921413">
        <w:rPr>
          <w:szCs w:val="24"/>
        </w:rPr>
        <w:t xml:space="preserve"> contiene </w:t>
      </w:r>
      <w:r w:rsidR="00E66D05" w:rsidRPr="00921413">
        <w:rPr>
          <w:szCs w:val="24"/>
        </w:rPr>
        <w:t>el título</w:t>
      </w:r>
      <w:r w:rsidRPr="00921413">
        <w:rPr>
          <w:szCs w:val="24"/>
        </w:rPr>
        <w:t xml:space="preserve"> y </w:t>
      </w:r>
      <w:r w:rsidR="00E66D05" w:rsidRPr="00921413">
        <w:rPr>
          <w:szCs w:val="24"/>
        </w:rPr>
        <w:t>el</w:t>
      </w:r>
      <w:r w:rsidRPr="00921413">
        <w:rPr>
          <w:szCs w:val="24"/>
        </w:rPr>
        <w:t xml:space="preserve"> </w:t>
      </w:r>
      <w:r w:rsidR="00E66D05" w:rsidRPr="00921413">
        <w:rPr>
          <w:szCs w:val="24"/>
        </w:rPr>
        <w:t>resumen</w:t>
      </w:r>
      <w:r w:rsidRPr="00921413">
        <w:rPr>
          <w:szCs w:val="24"/>
        </w:rPr>
        <w:t xml:space="preserve"> de</w:t>
      </w:r>
      <w:r w:rsidR="00E66D05" w:rsidRPr="00921413">
        <w:rPr>
          <w:szCs w:val="24"/>
        </w:rPr>
        <w:t xml:space="preserve">l </w:t>
      </w:r>
      <w:r w:rsidR="00363CB7" w:rsidRPr="00921413">
        <w:rPr>
          <w:szCs w:val="24"/>
        </w:rPr>
        <w:t xml:space="preserve">proyecto de Recomendación </w:t>
      </w:r>
      <w:r w:rsidR="00F635CF">
        <w:rPr>
          <w:szCs w:val="24"/>
        </w:rPr>
        <w:t xml:space="preserve">UIT-T </w:t>
      </w:r>
      <w:r w:rsidRPr="00921413">
        <w:rPr>
          <w:szCs w:val="24"/>
        </w:rPr>
        <w:t>propuesto para aprobación, con indicación de</w:t>
      </w:r>
      <w:r w:rsidR="00E66D05" w:rsidRPr="00921413">
        <w:rPr>
          <w:szCs w:val="24"/>
        </w:rPr>
        <w:t>l</w:t>
      </w:r>
      <w:r w:rsidRPr="00921413">
        <w:rPr>
          <w:szCs w:val="24"/>
        </w:rPr>
        <w:t xml:space="preserve"> documento en que figura.</w:t>
      </w:r>
    </w:p>
    <w:p w14:paraId="73F8AA78" w14:textId="0A39B29F" w:rsidR="004103FC" w:rsidRPr="00921413" w:rsidRDefault="004103FC" w:rsidP="00E66D05">
      <w:pPr>
        <w:rPr>
          <w:szCs w:val="24"/>
        </w:rPr>
      </w:pPr>
      <w:r w:rsidRPr="00921413">
        <w:rPr>
          <w:szCs w:val="24"/>
        </w:rPr>
        <w:t>3</w:t>
      </w:r>
      <w:r w:rsidRPr="00921413">
        <w:rPr>
          <w:szCs w:val="24"/>
        </w:rPr>
        <w:tab/>
        <w:t xml:space="preserve">Con esta Circular se inicia la consulta formal con los Estados Miembros </w:t>
      </w:r>
      <w:r w:rsidR="00F635CF">
        <w:rPr>
          <w:szCs w:val="24"/>
        </w:rPr>
        <w:t xml:space="preserve">de la UIT </w:t>
      </w:r>
      <w:r w:rsidRPr="00921413">
        <w:rPr>
          <w:szCs w:val="24"/>
        </w:rPr>
        <w:t xml:space="preserve">sobre si puede considerarse </w:t>
      </w:r>
      <w:r w:rsidR="00E66D05" w:rsidRPr="00921413">
        <w:rPr>
          <w:szCs w:val="24"/>
        </w:rPr>
        <w:t>el texto</w:t>
      </w:r>
      <w:r w:rsidRPr="00921413">
        <w:rPr>
          <w:szCs w:val="24"/>
        </w:rPr>
        <w:t xml:space="preserve"> citad</w:t>
      </w:r>
      <w:r w:rsidR="00E66D05" w:rsidRPr="00921413">
        <w:rPr>
          <w:szCs w:val="24"/>
        </w:rPr>
        <w:t>o</w:t>
      </w:r>
      <w:r w:rsidRPr="00921413">
        <w:rPr>
          <w:szCs w:val="24"/>
        </w:rPr>
        <w:t xml:space="preserve"> para aprobación en la próxima reunión, de acuerdo con la cláusula 9.4 de la Resolución 1. Se ruega a los Estados Miembros que completen y devuelvan el formulario del </w:t>
      </w:r>
      <w:r w:rsidRPr="00921413">
        <w:rPr>
          <w:b/>
          <w:bCs/>
          <w:szCs w:val="24"/>
        </w:rPr>
        <w:t>Anexo 2</w:t>
      </w:r>
      <w:r w:rsidRPr="00921413">
        <w:rPr>
          <w:szCs w:val="24"/>
        </w:rPr>
        <w:t xml:space="preserve"> hasta las 23.59 horas UTC del </w:t>
      </w:r>
      <w:r w:rsidR="00E66D05" w:rsidRPr="00F635CF">
        <w:rPr>
          <w:szCs w:val="24"/>
        </w:rPr>
        <w:t>22</w:t>
      </w:r>
      <w:r w:rsidRPr="00F635CF">
        <w:rPr>
          <w:szCs w:val="24"/>
        </w:rPr>
        <w:t xml:space="preserve"> de </w:t>
      </w:r>
      <w:r w:rsidR="00E66D05" w:rsidRPr="00F635CF">
        <w:rPr>
          <w:szCs w:val="24"/>
        </w:rPr>
        <w:t>febrero</w:t>
      </w:r>
      <w:r w:rsidRPr="00F635CF">
        <w:rPr>
          <w:szCs w:val="24"/>
        </w:rPr>
        <w:t xml:space="preserve"> de 201</w:t>
      </w:r>
      <w:r w:rsidR="003307BD" w:rsidRPr="00F635CF">
        <w:rPr>
          <w:szCs w:val="24"/>
        </w:rPr>
        <w:t>9</w:t>
      </w:r>
      <w:r w:rsidRPr="00921413">
        <w:rPr>
          <w:szCs w:val="24"/>
        </w:rPr>
        <w:t>.</w:t>
      </w:r>
    </w:p>
    <w:p w14:paraId="514F9482" w14:textId="77777777" w:rsidR="00D00452" w:rsidRPr="00921413" w:rsidRDefault="00D00452" w:rsidP="009033A6">
      <w:pPr>
        <w:keepNext/>
        <w:keepLines/>
        <w:rPr>
          <w:szCs w:val="24"/>
        </w:rPr>
      </w:pPr>
      <w:r w:rsidRPr="00921413">
        <w:rPr>
          <w:szCs w:val="24"/>
        </w:rPr>
        <w:lastRenderedPageBreak/>
        <w:t>4</w:t>
      </w:r>
      <w:r w:rsidRPr="00921413">
        <w:rPr>
          <w:szCs w:val="24"/>
        </w:rPr>
        <w:tab/>
        <w:t>Si el 70% como mínimo de las respuestas de los Estados Miembros están a favor de que se consi</w:t>
      </w:r>
      <w:r w:rsidRPr="00921413">
        <w:t>d</w:t>
      </w:r>
      <w:r w:rsidRPr="00921413">
        <w:rPr>
          <w:szCs w:val="24"/>
        </w:rPr>
        <w:t xml:space="preserve">ere la aprobación de estos proyectos de Recomendación, se dedicará una Sesión Plenaria a la aplicación del </w:t>
      </w:r>
      <w:r w:rsidRPr="00921413">
        <w:t>procedimiento</w:t>
      </w:r>
      <w:r w:rsidRPr="00921413">
        <w:rPr>
          <w:szCs w:val="24"/>
        </w:rPr>
        <w:t xml:space="preserve"> de aprobación. Los Estados Miembros que no otorguen autoridad para proceder deben informar al Director de la TSB de los motivos para esta opinión e indicar los posibles cambios que harían posible que prosiguieran los trabajos.</w:t>
      </w:r>
    </w:p>
    <w:p w14:paraId="75012CFE" w14:textId="41FCF00E" w:rsidR="00D00452" w:rsidRPr="00921413" w:rsidRDefault="00D00452" w:rsidP="009033A6">
      <w:pPr>
        <w:keepNext/>
        <w:keepLines/>
      </w:pPr>
      <w:r w:rsidRPr="00921413">
        <w:t>Atentamente,</w:t>
      </w:r>
    </w:p>
    <w:p w14:paraId="49281072" w14:textId="77777777" w:rsidR="00D00452" w:rsidRPr="00921413" w:rsidRDefault="00D00452" w:rsidP="00736CC4">
      <w:pPr>
        <w:spacing w:before="720"/>
        <w:rPr>
          <w:i/>
          <w:iCs/>
        </w:rPr>
      </w:pPr>
      <w:r w:rsidRPr="00921413">
        <w:rPr>
          <w:i/>
          <w:iCs/>
        </w:rPr>
        <w:t>(</w:t>
      </w:r>
      <w:proofErr w:type="gramStart"/>
      <w:r w:rsidRPr="00921413">
        <w:rPr>
          <w:i/>
          <w:iCs/>
        </w:rPr>
        <w:t>firmado</w:t>
      </w:r>
      <w:proofErr w:type="gramEnd"/>
      <w:r w:rsidRPr="00921413">
        <w:rPr>
          <w:i/>
          <w:iCs/>
        </w:rPr>
        <w:t>)</w:t>
      </w:r>
    </w:p>
    <w:p w14:paraId="210BCF24" w14:textId="77777777" w:rsidR="00D00452" w:rsidRPr="00921413" w:rsidRDefault="00D00452" w:rsidP="00D00452">
      <w:pPr>
        <w:tabs>
          <w:tab w:val="clear" w:pos="1588"/>
          <w:tab w:val="clear" w:pos="1985"/>
          <w:tab w:val="left" w:pos="7560"/>
        </w:tabs>
        <w:spacing w:before="720"/>
        <w:ind w:right="91"/>
      </w:pPr>
      <w:proofErr w:type="spellStart"/>
      <w:r w:rsidRPr="00921413">
        <w:t>Chaesub</w:t>
      </w:r>
      <w:proofErr w:type="spellEnd"/>
      <w:r w:rsidRPr="00921413">
        <w:t xml:space="preserve"> Lee</w:t>
      </w:r>
      <w:r w:rsidRPr="00921413">
        <w:br/>
        <w:t>Director de la Oficina de</w:t>
      </w:r>
      <w:r w:rsidRPr="00921413">
        <w:br/>
        <w:t>Normalización de las Telecomunicaciones</w:t>
      </w:r>
    </w:p>
    <w:p w14:paraId="66C0B531" w14:textId="77777777" w:rsidR="00F77234" w:rsidRPr="00921413" w:rsidRDefault="00C23378" w:rsidP="00F77234">
      <w:pPr>
        <w:overflowPunct/>
        <w:autoSpaceDE/>
        <w:autoSpaceDN/>
        <w:adjustRightInd/>
        <w:spacing w:before="840"/>
        <w:textAlignment w:val="auto"/>
        <w:rPr>
          <w:szCs w:val="24"/>
        </w:rPr>
      </w:pPr>
      <w:r w:rsidRPr="00921413">
        <w:rPr>
          <w:b/>
          <w:bCs/>
          <w:szCs w:val="24"/>
        </w:rPr>
        <w:t>Anexo</w:t>
      </w:r>
      <w:r w:rsidR="006D7DB2" w:rsidRPr="00921413">
        <w:rPr>
          <w:b/>
          <w:bCs/>
          <w:szCs w:val="24"/>
        </w:rPr>
        <w:t>s</w:t>
      </w:r>
      <w:r w:rsidR="006D7DB2" w:rsidRPr="00921413">
        <w:rPr>
          <w:szCs w:val="24"/>
        </w:rPr>
        <w:t>: 2</w:t>
      </w:r>
    </w:p>
    <w:p w14:paraId="03C0437E" w14:textId="09F4054D" w:rsidR="006D7DB2" w:rsidRPr="00921413" w:rsidRDefault="006D7DB2" w:rsidP="00F77234">
      <w:pPr>
        <w:overflowPunct/>
        <w:autoSpaceDE/>
        <w:autoSpaceDN/>
        <w:adjustRightInd/>
        <w:spacing w:before="840"/>
        <w:textAlignment w:val="auto"/>
        <w:rPr>
          <w:szCs w:val="24"/>
        </w:rPr>
      </w:pPr>
      <w:r w:rsidRPr="00921413">
        <w:rPr>
          <w:szCs w:val="24"/>
        </w:rPr>
        <w:br w:type="page"/>
      </w:r>
    </w:p>
    <w:p w14:paraId="67FE9E6F" w14:textId="77777777" w:rsidR="009663AC" w:rsidRPr="009809E6" w:rsidRDefault="00A34909" w:rsidP="009663AC">
      <w:pPr>
        <w:pStyle w:val="Annex"/>
        <w:rPr>
          <w:b/>
          <w:bCs/>
          <w:sz w:val="28"/>
          <w:szCs w:val="28"/>
        </w:rPr>
      </w:pPr>
      <w:bookmarkStart w:id="4" w:name="_ANNEX"/>
      <w:bookmarkStart w:id="5" w:name="_ANNEX_A_-"/>
      <w:bookmarkStart w:id="6" w:name="_ANNEX_B"/>
      <w:bookmarkStart w:id="7" w:name="_ANNEX_B_-"/>
      <w:bookmarkEnd w:id="4"/>
      <w:bookmarkEnd w:id="5"/>
      <w:bookmarkEnd w:id="6"/>
      <w:bookmarkEnd w:id="7"/>
      <w:r w:rsidRPr="009809E6">
        <w:rPr>
          <w:b/>
          <w:bCs/>
          <w:sz w:val="28"/>
          <w:szCs w:val="28"/>
        </w:rPr>
        <w:lastRenderedPageBreak/>
        <w:t xml:space="preserve">Anexo </w:t>
      </w:r>
      <w:r w:rsidR="00A219C3" w:rsidRPr="009809E6">
        <w:rPr>
          <w:b/>
          <w:bCs/>
          <w:sz w:val="28"/>
          <w:szCs w:val="28"/>
        </w:rPr>
        <w:t>1</w:t>
      </w:r>
    </w:p>
    <w:p w14:paraId="1D148CB1" w14:textId="5E69F5BF" w:rsidR="001B4C0E" w:rsidRDefault="00E66D05" w:rsidP="009663AC">
      <w:pPr>
        <w:pStyle w:val="AnnexNotitle"/>
      </w:pPr>
      <w:r w:rsidRPr="00921413">
        <w:t xml:space="preserve">Resumen </w:t>
      </w:r>
      <w:r w:rsidR="00F31E73" w:rsidRPr="00921413">
        <w:t>y ubicación</w:t>
      </w:r>
      <w:r w:rsidR="00D15714" w:rsidRPr="00921413">
        <w:t xml:space="preserve"> de</w:t>
      </w:r>
      <w:r w:rsidRPr="00921413">
        <w:t>l</w:t>
      </w:r>
      <w:r w:rsidR="001B4C0E">
        <w:t xml:space="preserve"> proyecto de texto determinado</w:t>
      </w:r>
    </w:p>
    <w:p w14:paraId="089AEECF" w14:textId="67415185" w:rsidR="00E66D05" w:rsidRPr="00921413" w:rsidRDefault="001B4C0E" w:rsidP="001B4C0E">
      <w:pPr>
        <w:pStyle w:val="Heading1"/>
      </w:pPr>
      <w:r>
        <w:t>1</w:t>
      </w:r>
      <w:r>
        <w:tab/>
      </w:r>
      <w:r w:rsidRPr="00921413">
        <w:t xml:space="preserve">Proyecto </w:t>
      </w:r>
      <w:r w:rsidR="00D15714" w:rsidRPr="00921413">
        <w:t>de nueva Recomendación UIT</w:t>
      </w:r>
      <w:r w:rsidR="00A219C3" w:rsidRPr="00921413">
        <w:t xml:space="preserve">-T </w:t>
      </w:r>
      <w:r w:rsidR="00E66D05" w:rsidRPr="00921413">
        <w:t>Q.5050 (ex. Q.FW_CCF) [</w:t>
      </w:r>
      <w:hyperlink r:id="rId10" w:history="1">
        <w:r w:rsidR="00E66D05" w:rsidRPr="00921413">
          <w:rPr>
            <w:rStyle w:val="Hyperlink"/>
          </w:rPr>
          <w:t>R15</w:t>
        </w:r>
      </w:hyperlink>
      <w:r w:rsidR="00E66D05" w:rsidRPr="00921413">
        <w:t>]</w:t>
      </w:r>
    </w:p>
    <w:p w14:paraId="6571334F" w14:textId="34BFED7C" w:rsidR="00A219C3" w:rsidRPr="00921413" w:rsidRDefault="001916DB" w:rsidP="00F31E73">
      <w:pPr>
        <w:pStyle w:val="Headingb0"/>
        <w:rPr>
          <w:highlight w:val="yellow"/>
        </w:rPr>
      </w:pPr>
      <w:r w:rsidRPr="00921413">
        <w:t>Solución marco para luchar contra la falsificación de dispo</w:t>
      </w:r>
      <w:bookmarkStart w:id="8" w:name="_GoBack"/>
      <w:bookmarkEnd w:id="8"/>
      <w:r w:rsidRPr="00921413">
        <w:t>sitivos de TIC</w:t>
      </w:r>
    </w:p>
    <w:p w14:paraId="42CA4806" w14:textId="3FBCEF1A" w:rsidR="00A219C3" w:rsidRPr="00921413" w:rsidRDefault="00B06DF3" w:rsidP="00F31E73">
      <w:pPr>
        <w:pStyle w:val="Headingb0"/>
      </w:pPr>
      <w:r w:rsidRPr="00921413">
        <w:t>Resumen</w:t>
      </w:r>
    </w:p>
    <w:p w14:paraId="25E148B6" w14:textId="77777777" w:rsidR="001916DB" w:rsidRPr="00921413" w:rsidRDefault="001916DB" w:rsidP="001916DB">
      <w:r w:rsidRPr="00921413">
        <w:t xml:space="preserve">En los últimos años, se observa una utilización creciente de los equipos de TIC en la vida cotidiana de la gente, pero también se observan efectos colaterales no deseados relacionados con el incremento de las ventas, la circulación y la utilización de equipos de TIC falsificados en el mercado. </w:t>
      </w:r>
    </w:p>
    <w:p w14:paraId="53B3FE93" w14:textId="7D3C39C0" w:rsidR="001916DB" w:rsidRPr="00921413" w:rsidRDefault="001916DB" w:rsidP="001916DB">
      <w:r w:rsidRPr="00921413">
        <w:t>Un dispositivo de TIC falsificado es un producto que explícitamente infringe marcas registradas, copia diseños de soporte físico (hardware) o lógico (software), o infringe los derechos de marca o empaque de un producto original o auténtico y, en general, infringe normas técnicas nacionales o internacionales, requerimientos regulatorios o procesos de conformidad, acuerdos de licenciamiento de fabricación u otros requisitos legales aplicables.</w:t>
      </w:r>
    </w:p>
    <w:p w14:paraId="5753B6D0" w14:textId="77777777" w:rsidR="001916DB" w:rsidRPr="00921413" w:rsidRDefault="001916DB" w:rsidP="001916DB">
      <w:r w:rsidRPr="00921413">
        <w:t xml:space="preserve">Entre los distintos tipos de equipos de TIC que se utilizan hoy en día, los teléfonos inteligentes y otros dispositivos móviles se han convertido en artículos omnipresentes y deseables entre la población mundial y, como efecto colateral, también han llamado la atención del mercado negro/gris mundial. </w:t>
      </w:r>
    </w:p>
    <w:p w14:paraId="3509B630" w14:textId="26D71882" w:rsidR="00900CD0" w:rsidRPr="00921413" w:rsidRDefault="001916DB" w:rsidP="001916DB">
      <w:r w:rsidRPr="00921413">
        <w:t xml:space="preserve">Esto desemboca en consecuencias adversas para partes interesadas tales como los usuarios, los operadores de red, los fabricantes de dispositivos genuinos, los comerciantes y los gobiernos, </w:t>
      </w:r>
      <w:r w:rsidR="00900CD0" w:rsidRPr="00921413">
        <w:t>incluidas</w:t>
      </w:r>
      <w:r w:rsidRPr="00921413">
        <w:t xml:space="preserve"> una reducción de la protección de seguridad y de la calidad de servicio para los usuarios y una pérdida de ingresos para toda una gama de partes interesadas.</w:t>
      </w:r>
      <w:r w:rsidR="00921413" w:rsidRPr="00921413">
        <w:t xml:space="preserve"> </w:t>
      </w:r>
    </w:p>
    <w:p w14:paraId="6539DE5A" w14:textId="6811FB0D" w:rsidR="00A219C3" w:rsidRPr="00921413" w:rsidRDefault="00900CD0" w:rsidP="00900CD0">
      <w:r w:rsidRPr="00921413">
        <w:t xml:space="preserve">Dado que la economía de oferta y demanda de los productos de TIC falsificados complica los intentos de lucha contra el mercado mundial de falsificaciones, no existe una solución única que sirva para resolver el problema, y se requiere aplicar una amplia gama de medidas con un enfoque global. </w:t>
      </w:r>
    </w:p>
    <w:p w14:paraId="14D909BA" w14:textId="518A7680" w:rsidR="00900CD0" w:rsidRPr="00921413" w:rsidRDefault="00900CD0" w:rsidP="00900CD0">
      <w:r w:rsidRPr="00921413">
        <w:t xml:space="preserve">Por tanto, en esta Recomendación se trata de describir un marco de referencia con requisitos y desafíos de alto nivel, que han de tenerse presentes al implantar soluciones para luchar contra la circulación y utilización de dispositivos de TIC falsificados. </w:t>
      </w:r>
    </w:p>
    <w:p w14:paraId="0259FEA3" w14:textId="50134570" w:rsidR="00900CD0" w:rsidRPr="00921413" w:rsidRDefault="00900CD0" w:rsidP="00900CD0">
      <w:r w:rsidRPr="00921413">
        <w:t xml:space="preserve">NOTA DE LA TSB – A partir de la fecha de la presente Circular, la TSB [no] ha recibido [una o más] declaración(es) de derechos de propiedad intelectual en relación con este proyecto de texto. Para obtener información actualizada, se invita a los miembros a consultar la base de datos de DPI en la dirección </w:t>
      </w:r>
      <w:hyperlink r:id="rId11" w:history="1">
        <w:r w:rsidRPr="00921413">
          <w:rPr>
            <w:rStyle w:val="Hyperlink"/>
          </w:rPr>
          <w:t>www.itu.int/ipr/</w:t>
        </w:r>
      </w:hyperlink>
      <w:r w:rsidR="00921413" w:rsidRPr="00921413">
        <w:t>.</w:t>
      </w:r>
    </w:p>
    <w:p w14:paraId="3CF5FCBA" w14:textId="77777777" w:rsidR="00900CD0" w:rsidRPr="00921413" w:rsidRDefault="00900CD0">
      <w:pPr>
        <w:tabs>
          <w:tab w:val="clear" w:pos="794"/>
          <w:tab w:val="clear" w:pos="1191"/>
          <w:tab w:val="clear" w:pos="1588"/>
          <w:tab w:val="clear" w:pos="1985"/>
        </w:tabs>
        <w:overflowPunct/>
        <w:autoSpaceDE/>
        <w:autoSpaceDN/>
        <w:adjustRightInd/>
        <w:spacing w:before="0"/>
        <w:textAlignment w:val="auto"/>
        <w:rPr>
          <w:b/>
          <w:sz w:val="28"/>
        </w:rPr>
      </w:pPr>
      <w:bookmarkStart w:id="9" w:name="_Annex_C_–"/>
      <w:bookmarkEnd w:id="9"/>
      <w:r w:rsidRPr="00921413">
        <w:br w:type="page"/>
      </w:r>
    </w:p>
    <w:p w14:paraId="2421AC70" w14:textId="661B63B8" w:rsidR="009663AC" w:rsidRPr="00667B26" w:rsidRDefault="00A34909" w:rsidP="009663AC">
      <w:pPr>
        <w:pStyle w:val="Annex"/>
        <w:rPr>
          <w:b/>
          <w:bCs/>
          <w:sz w:val="28"/>
          <w:szCs w:val="28"/>
        </w:rPr>
      </w:pPr>
      <w:r w:rsidRPr="00667B26">
        <w:rPr>
          <w:b/>
          <w:bCs/>
          <w:sz w:val="28"/>
          <w:szCs w:val="28"/>
        </w:rPr>
        <w:lastRenderedPageBreak/>
        <w:t xml:space="preserve">Anexo </w:t>
      </w:r>
      <w:r w:rsidR="00CA53F6" w:rsidRPr="00667B26">
        <w:rPr>
          <w:b/>
          <w:bCs/>
          <w:sz w:val="28"/>
          <w:szCs w:val="28"/>
        </w:rPr>
        <w:t>2</w:t>
      </w:r>
    </w:p>
    <w:p w14:paraId="280C5B0D" w14:textId="3AE108CD" w:rsidR="00A219C3" w:rsidRPr="00921413" w:rsidRDefault="004D5073" w:rsidP="009663AC">
      <w:pPr>
        <w:pStyle w:val="AnnexNotitle"/>
        <w:spacing w:after="120"/>
      </w:pPr>
      <w:r w:rsidRPr="00921413">
        <w:t>Asunto: Respuesta de Estado Miembro a la Circular 10</w:t>
      </w:r>
      <w:r w:rsidR="00900CD0" w:rsidRPr="00921413">
        <w:t>5</w:t>
      </w:r>
      <w:r w:rsidRPr="00921413">
        <w:t xml:space="preserve"> de la TSB:</w:t>
      </w:r>
      <w:r w:rsidR="00A219C3" w:rsidRPr="00921413">
        <w:br/>
      </w:r>
      <w:r w:rsidRPr="00921413">
        <w:t xml:space="preserve">Consulta sobre </w:t>
      </w:r>
      <w:r w:rsidR="00900CD0" w:rsidRPr="00921413">
        <w:t>el proyecto de nueva Recomendación determinada UIT-T Q.5050</w:t>
      </w:r>
    </w:p>
    <w:tbl>
      <w:tblPr>
        <w:tblW w:w="9957" w:type="dxa"/>
        <w:tblInd w:w="-176" w:type="dxa"/>
        <w:tblLayout w:type="fixed"/>
        <w:tblLook w:val="04A0" w:firstRow="1" w:lastRow="0" w:firstColumn="1" w:lastColumn="0" w:noHBand="0" w:noVBand="1"/>
      </w:tblPr>
      <w:tblGrid>
        <w:gridCol w:w="1169"/>
        <w:gridCol w:w="4394"/>
        <w:gridCol w:w="1134"/>
        <w:gridCol w:w="3260"/>
      </w:tblGrid>
      <w:tr w:rsidR="00A219C3" w:rsidRPr="00921413" w14:paraId="393F5AAB" w14:textId="77777777" w:rsidTr="004D5073">
        <w:tc>
          <w:tcPr>
            <w:tcW w:w="1169" w:type="dxa"/>
            <w:shd w:val="clear" w:color="auto" w:fill="auto"/>
          </w:tcPr>
          <w:p w14:paraId="7D0DBE90" w14:textId="6E626175" w:rsidR="00A219C3" w:rsidRPr="00921413" w:rsidRDefault="004D5073" w:rsidP="004D5073">
            <w:pPr>
              <w:spacing w:before="40" w:after="40"/>
              <w:jc w:val="right"/>
              <w:rPr>
                <w:szCs w:val="24"/>
                <w:highlight w:val="yellow"/>
              </w:rPr>
            </w:pPr>
            <w:bookmarkStart w:id="10" w:name="lt_pId114"/>
            <w:r w:rsidRPr="00921413">
              <w:rPr>
                <w:b/>
                <w:bCs/>
                <w:sz w:val="22"/>
                <w:szCs w:val="22"/>
              </w:rPr>
              <w:t>A</w:t>
            </w:r>
            <w:r w:rsidRPr="00921413">
              <w:rPr>
                <w:sz w:val="22"/>
                <w:szCs w:val="22"/>
              </w:rPr>
              <w:t>:</w:t>
            </w:r>
            <w:bookmarkEnd w:id="10"/>
          </w:p>
        </w:tc>
        <w:tc>
          <w:tcPr>
            <w:tcW w:w="4394" w:type="dxa"/>
            <w:tcBorders>
              <w:right w:val="single" w:sz="8" w:space="0" w:color="auto"/>
            </w:tcBorders>
            <w:shd w:val="clear" w:color="auto" w:fill="auto"/>
          </w:tcPr>
          <w:p w14:paraId="6F1C5559" w14:textId="44380714" w:rsidR="00A219C3" w:rsidRPr="00921413" w:rsidRDefault="004D5073" w:rsidP="00FC21A2">
            <w:pPr>
              <w:spacing w:before="40" w:after="40"/>
              <w:rPr>
                <w:szCs w:val="24"/>
                <w:highlight w:val="yellow"/>
              </w:rPr>
            </w:pPr>
            <w:bookmarkStart w:id="11" w:name="lt_pId115"/>
            <w:r w:rsidRPr="00921413">
              <w:rPr>
                <w:sz w:val="22"/>
                <w:szCs w:val="22"/>
              </w:rPr>
              <w:t xml:space="preserve">Director </w:t>
            </w:r>
            <w:bookmarkStart w:id="12" w:name="lt_pId116"/>
            <w:bookmarkEnd w:id="11"/>
            <w:r w:rsidRPr="00921413">
              <w:rPr>
                <w:sz w:val="22"/>
                <w:szCs w:val="22"/>
              </w:rPr>
              <w:t xml:space="preserve">de la Oficina de </w:t>
            </w:r>
            <w:r w:rsidRPr="00921413">
              <w:rPr>
                <w:sz w:val="22"/>
                <w:szCs w:val="22"/>
              </w:rPr>
              <w:br/>
              <w:t>Normalización de las Telecomunicaciones,</w:t>
            </w:r>
            <w:bookmarkEnd w:id="12"/>
            <w:r w:rsidR="00FC21A2" w:rsidRPr="00921413">
              <w:rPr>
                <w:sz w:val="22"/>
                <w:szCs w:val="22"/>
              </w:rPr>
              <w:br/>
            </w:r>
            <w:r w:rsidRPr="00921413">
              <w:rPr>
                <w:sz w:val="22"/>
                <w:szCs w:val="22"/>
              </w:rPr>
              <w:t>Unión Internacional de Telecomunicaciones</w:t>
            </w:r>
            <w:r w:rsidR="00FC21A2" w:rsidRPr="00921413">
              <w:rPr>
                <w:sz w:val="22"/>
                <w:szCs w:val="22"/>
              </w:rPr>
              <w:br/>
            </w:r>
            <w:bookmarkStart w:id="13" w:name="lt_pId118"/>
            <w:r w:rsidRPr="00921413">
              <w:rPr>
                <w:sz w:val="22"/>
                <w:szCs w:val="22"/>
              </w:rPr>
              <w:t xml:space="preserve">Place des </w:t>
            </w:r>
            <w:proofErr w:type="spellStart"/>
            <w:r w:rsidRPr="00921413">
              <w:rPr>
                <w:sz w:val="22"/>
                <w:szCs w:val="22"/>
              </w:rPr>
              <w:t>Nations</w:t>
            </w:r>
            <w:bookmarkEnd w:id="13"/>
            <w:proofErr w:type="spellEnd"/>
            <w:r w:rsidR="00FC21A2" w:rsidRPr="00921413">
              <w:rPr>
                <w:sz w:val="22"/>
                <w:szCs w:val="22"/>
              </w:rPr>
              <w:br/>
            </w:r>
            <w:bookmarkStart w:id="14" w:name="lt_pId119"/>
            <w:r w:rsidRPr="00921413">
              <w:rPr>
                <w:sz w:val="22"/>
                <w:szCs w:val="22"/>
              </w:rPr>
              <w:t xml:space="preserve">CH 1211 Ginebra 20, </w:t>
            </w:r>
            <w:bookmarkEnd w:id="14"/>
            <w:r w:rsidRPr="00921413">
              <w:rPr>
                <w:sz w:val="22"/>
                <w:szCs w:val="22"/>
              </w:rPr>
              <w:t>Suiza</w:t>
            </w:r>
          </w:p>
        </w:tc>
        <w:tc>
          <w:tcPr>
            <w:tcW w:w="1134" w:type="dxa"/>
            <w:tcBorders>
              <w:left w:val="single" w:sz="8" w:space="0" w:color="auto"/>
            </w:tcBorders>
            <w:shd w:val="clear" w:color="auto" w:fill="auto"/>
          </w:tcPr>
          <w:p w14:paraId="2D0324BB" w14:textId="435D15B7" w:rsidR="00A219C3" w:rsidRPr="00921413" w:rsidRDefault="004D5073" w:rsidP="004D5073">
            <w:pPr>
              <w:spacing w:before="40" w:after="40"/>
              <w:jc w:val="right"/>
              <w:rPr>
                <w:szCs w:val="24"/>
                <w:highlight w:val="yellow"/>
              </w:rPr>
            </w:pPr>
            <w:bookmarkStart w:id="15" w:name="lt_pId120"/>
            <w:r w:rsidRPr="00921413">
              <w:rPr>
                <w:b/>
                <w:bCs/>
                <w:sz w:val="22"/>
                <w:szCs w:val="22"/>
              </w:rPr>
              <w:t>De</w:t>
            </w:r>
            <w:r w:rsidRPr="00921413">
              <w:rPr>
                <w:sz w:val="22"/>
                <w:szCs w:val="22"/>
              </w:rPr>
              <w:t>:</w:t>
            </w:r>
            <w:bookmarkEnd w:id="15"/>
          </w:p>
        </w:tc>
        <w:tc>
          <w:tcPr>
            <w:tcW w:w="3260" w:type="dxa"/>
            <w:shd w:val="clear" w:color="auto" w:fill="auto"/>
          </w:tcPr>
          <w:p w14:paraId="5935FFA4" w14:textId="77777777" w:rsidR="004D5073" w:rsidRPr="00921413" w:rsidRDefault="004D5073" w:rsidP="004D5073">
            <w:pPr>
              <w:spacing w:before="40" w:after="40"/>
              <w:rPr>
                <w:sz w:val="22"/>
                <w:szCs w:val="22"/>
                <w:highlight w:val="green"/>
              </w:rPr>
            </w:pPr>
            <w:bookmarkStart w:id="16" w:name="lt_pId121"/>
            <w:r w:rsidRPr="00921413">
              <w:rPr>
                <w:sz w:val="22"/>
                <w:szCs w:val="22"/>
                <w:highlight w:val="green"/>
              </w:rPr>
              <w:t>[Nombre]</w:t>
            </w:r>
            <w:bookmarkEnd w:id="16"/>
          </w:p>
          <w:p w14:paraId="079D21BB" w14:textId="77777777" w:rsidR="004D5073" w:rsidRPr="00921413" w:rsidRDefault="004D5073" w:rsidP="004D5073">
            <w:pPr>
              <w:spacing w:before="40" w:after="40"/>
              <w:rPr>
                <w:sz w:val="22"/>
                <w:szCs w:val="22"/>
                <w:highlight w:val="green"/>
              </w:rPr>
            </w:pPr>
            <w:bookmarkStart w:id="17" w:name="lt_pId122"/>
            <w:r w:rsidRPr="00921413">
              <w:rPr>
                <w:sz w:val="22"/>
                <w:szCs w:val="22"/>
                <w:highlight w:val="green"/>
              </w:rPr>
              <w:t>[Cargo oficial/Título]</w:t>
            </w:r>
            <w:bookmarkEnd w:id="17"/>
          </w:p>
          <w:p w14:paraId="30B8B688" w14:textId="3223ACAB" w:rsidR="00A219C3" w:rsidRPr="00921413" w:rsidRDefault="004D5073" w:rsidP="004D5073">
            <w:pPr>
              <w:spacing w:before="40" w:after="40"/>
              <w:rPr>
                <w:szCs w:val="24"/>
              </w:rPr>
            </w:pPr>
            <w:bookmarkStart w:id="18" w:name="lt_pId123"/>
            <w:r w:rsidRPr="00921413">
              <w:rPr>
                <w:sz w:val="22"/>
                <w:szCs w:val="22"/>
                <w:highlight w:val="green"/>
              </w:rPr>
              <w:t>[Dirección]</w:t>
            </w:r>
            <w:bookmarkEnd w:id="18"/>
          </w:p>
        </w:tc>
      </w:tr>
      <w:tr w:rsidR="00A219C3" w:rsidRPr="00921413" w14:paraId="58FB1B47" w14:textId="77777777" w:rsidTr="004D5073">
        <w:tc>
          <w:tcPr>
            <w:tcW w:w="1169" w:type="dxa"/>
            <w:shd w:val="clear" w:color="auto" w:fill="auto"/>
          </w:tcPr>
          <w:p w14:paraId="2DA073F2" w14:textId="2C45A048" w:rsidR="004D5073" w:rsidRPr="00921413" w:rsidRDefault="004D5073" w:rsidP="004D5073">
            <w:pPr>
              <w:spacing w:before="40" w:after="40"/>
              <w:jc w:val="right"/>
              <w:rPr>
                <w:sz w:val="22"/>
                <w:szCs w:val="22"/>
              </w:rPr>
            </w:pPr>
            <w:bookmarkStart w:id="19" w:name="lt_pId124"/>
            <w:r w:rsidRPr="00921413">
              <w:rPr>
                <w:b/>
                <w:bCs/>
                <w:sz w:val="22"/>
                <w:szCs w:val="22"/>
              </w:rPr>
              <w:t>Fax</w:t>
            </w:r>
            <w:r w:rsidRPr="00921413">
              <w:rPr>
                <w:sz w:val="22"/>
                <w:szCs w:val="22"/>
              </w:rPr>
              <w:t>:</w:t>
            </w:r>
            <w:bookmarkEnd w:id="19"/>
          </w:p>
          <w:p w14:paraId="0DAFFE44" w14:textId="7F8CDE15" w:rsidR="00A219C3" w:rsidRPr="00921413" w:rsidRDefault="004D5073" w:rsidP="004D5073">
            <w:pPr>
              <w:spacing w:before="40" w:after="40"/>
              <w:jc w:val="right"/>
              <w:rPr>
                <w:szCs w:val="24"/>
                <w:highlight w:val="yellow"/>
              </w:rPr>
            </w:pPr>
            <w:bookmarkStart w:id="20" w:name="lt_pId125"/>
            <w:r w:rsidRPr="00921413">
              <w:rPr>
                <w:b/>
                <w:bCs/>
                <w:sz w:val="22"/>
                <w:szCs w:val="22"/>
              </w:rPr>
              <w:t>Correo-e</w:t>
            </w:r>
            <w:r w:rsidRPr="00921413">
              <w:rPr>
                <w:sz w:val="22"/>
                <w:szCs w:val="22"/>
              </w:rPr>
              <w:t>:</w:t>
            </w:r>
            <w:bookmarkEnd w:id="20"/>
          </w:p>
        </w:tc>
        <w:tc>
          <w:tcPr>
            <w:tcW w:w="4394" w:type="dxa"/>
            <w:tcBorders>
              <w:right w:val="single" w:sz="8" w:space="0" w:color="auto"/>
            </w:tcBorders>
            <w:shd w:val="clear" w:color="auto" w:fill="auto"/>
          </w:tcPr>
          <w:p w14:paraId="319B2B8F" w14:textId="77777777" w:rsidR="004D5073" w:rsidRPr="00921413" w:rsidRDefault="004D5073" w:rsidP="004D5073">
            <w:pPr>
              <w:spacing w:before="40" w:after="40"/>
              <w:rPr>
                <w:sz w:val="22"/>
                <w:szCs w:val="22"/>
              </w:rPr>
            </w:pPr>
            <w:r w:rsidRPr="00921413">
              <w:rPr>
                <w:sz w:val="22"/>
                <w:szCs w:val="22"/>
              </w:rPr>
              <w:t>+41-22-730-5853</w:t>
            </w:r>
          </w:p>
          <w:p w14:paraId="07448025" w14:textId="28E2DB7A" w:rsidR="00A219C3" w:rsidRPr="00921413" w:rsidRDefault="009809E6" w:rsidP="004D5073">
            <w:pPr>
              <w:spacing w:before="40" w:after="40"/>
              <w:rPr>
                <w:szCs w:val="24"/>
                <w:highlight w:val="yellow"/>
              </w:rPr>
            </w:pPr>
            <w:hyperlink r:id="rId12" w:history="1">
              <w:bookmarkStart w:id="21" w:name="lt_pId127"/>
              <w:r w:rsidR="004D5073" w:rsidRPr="00921413">
                <w:rPr>
                  <w:color w:val="0000FF"/>
                  <w:sz w:val="22"/>
                  <w:szCs w:val="22"/>
                  <w:u w:val="single"/>
                </w:rPr>
                <w:t>tsbdir@itu.int</w:t>
              </w:r>
              <w:bookmarkEnd w:id="21"/>
            </w:hyperlink>
          </w:p>
        </w:tc>
        <w:tc>
          <w:tcPr>
            <w:tcW w:w="1134" w:type="dxa"/>
            <w:tcBorders>
              <w:left w:val="single" w:sz="8" w:space="0" w:color="auto"/>
            </w:tcBorders>
            <w:shd w:val="clear" w:color="auto" w:fill="auto"/>
          </w:tcPr>
          <w:p w14:paraId="13E90AB9" w14:textId="77777777" w:rsidR="004D5073" w:rsidRPr="00921413" w:rsidRDefault="004D5073" w:rsidP="004D5073">
            <w:pPr>
              <w:spacing w:before="40" w:after="40"/>
              <w:jc w:val="right"/>
              <w:rPr>
                <w:sz w:val="22"/>
                <w:szCs w:val="22"/>
              </w:rPr>
            </w:pPr>
            <w:bookmarkStart w:id="22" w:name="lt_pId128"/>
            <w:r w:rsidRPr="00921413">
              <w:rPr>
                <w:b/>
                <w:bCs/>
                <w:sz w:val="22"/>
                <w:szCs w:val="22"/>
              </w:rPr>
              <w:t>Fax</w:t>
            </w:r>
            <w:r w:rsidRPr="00921413">
              <w:rPr>
                <w:sz w:val="22"/>
                <w:szCs w:val="22"/>
              </w:rPr>
              <w:t>:</w:t>
            </w:r>
            <w:bookmarkEnd w:id="22"/>
          </w:p>
          <w:p w14:paraId="6FCB3254" w14:textId="6E4D1679" w:rsidR="00A219C3" w:rsidRPr="00921413" w:rsidRDefault="004D5073" w:rsidP="004D5073">
            <w:pPr>
              <w:spacing w:before="40" w:after="40"/>
              <w:jc w:val="right"/>
              <w:rPr>
                <w:szCs w:val="24"/>
                <w:highlight w:val="yellow"/>
              </w:rPr>
            </w:pPr>
            <w:bookmarkStart w:id="23" w:name="lt_pId129"/>
            <w:r w:rsidRPr="00921413">
              <w:rPr>
                <w:b/>
                <w:bCs/>
                <w:sz w:val="22"/>
                <w:szCs w:val="22"/>
              </w:rPr>
              <w:t>Correo-e</w:t>
            </w:r>
            <w:r w:rsidRPr="00921413">
              <w:rPr>
                <w:sz w:val="22"/>
                <w:szCs w:val="22"/>
              </w:rPr>
              <w:t>:</w:t>
            </w:r>
            <w:bookmarkEnd w:id="23"/>
          </w:p>
        </w:tc>
        <w:tc>
          <w:tcPr>
            <w:tcW w:w="3260" w:type="dxa"/>
            <w:shd w:val="clear" w:color="auto" w:fill="auto"/>
          </w:tcPr>
          <w:p w14:paraId="6156C61C" w14:textId="77777777" w:rsidR="00A219C3" w:rsidRPr="00921413" w:rsidRDefault="00A219C3" w:rsidP="004D5073">
            <w:pPr>
              <w:spacing w:before="40" w:after="40"/>
              <w:rPr>
                <w:szCs w:val="24"/>
              </w:rPr>
            </w:pPr>
          </w:p>
        </w:tc>
      </w:tr>
      <w:tr w:rsidR="00A219C3" w:rsidRPr="00921413" w14:paraId="4FB5A83E" w14:textId="77777777" w:rsidTr="004D5073">
        <w:tc>
          <w:tcPr>
            <w:tcW w:w="1169" w:type="dxa"/>
            <w:shd w:val="clear" w:color="auto" w:fill="auto"/>
          </w:tcPr>
          <w:p w14:paraId="34525D58" w14:textId="77777777" w:rsidR="00A219C3" w:rsidRPr="00921413" w:rsidRDefault="00A219C3" w:rsidP="001D0AED">
            <w:pPr>
              <w:spacing w:before="0"/>
              <w:jc w:val="right"/>
              <w:rPr>
                <w:szCs w:val="24"/>
              </w:rPr>
            </w:pPr>
          </w:p>
        </w:tc>
        <w:tc>
          <w:tcPr>
            <w:tcW w:w="4394" w:type="dxa"/>
            <w:tcBorders>
              <w:right w:val="single" w:sz="8" w:space="0" w:color="auto"/>
            </w:tcBorders>
            <w:shd w:val="clear" w:color="auto" w:fill="auto"/>
          </w:tcPr>
          <w:p w14:paraId="56D3B7AF" w14:textId="77777777" w:rsidR="00A219C3" w:rsidRPr="00921413" w:rsidRDefault="00A219C3" w:rsidP="001D0AED">
            <w:pPr>
              <w:spacing w:before="0"/>
              <w:rPr>
                <w:szCs w:val="24"/>
              </w:rPr>
            </w:pPr>
          </w:p>
        </w:tc>
        <w:tc>
          <w:tcPr>
            <w:tcW w:w="1134" w:type="dxa"/>
            <w:tcBorders>
              <w:left w:val="single" w:sz="8" w:space="0" w:color="auto"/>
            </w:tcBorders>
            <w:shd w:val="clear" w:color="auto" w:fill="auto"/>
          </w:tcPr>
          <w:p w14:paraId="133A8FB1" w14:textId="71E18A91" w:rsidR="00A219C3" w:rsidRPr="00921413" w:rsidRDefault="004D5073" w:rsidP="001D0AED">
            <w:pPr>
              <w:spacing w:before="0"/>
              <w:jc w:val="right"/>
              <w:rPr>
                <w:szCs w:val="24"/>
                <w:highlight w:val="yellow"/>
              </w:rPr>
            </w:pPr>
            <w:bookmarkStart w:id="24" w:name="lt_pId130"/>
            <w:r w:rsidRPr="00921413">
              <w:rPr>
                <w:b/>
                <w:bCs/>
                <w:sz w:val="22"/>
                <w:szCs w:val="22"/>
              </w:rPr>
              <w:t>Fecha</w:t>
            </w:r>
            <w:r w:rsidRPr="00921413">
              <w:rPr>
                <w:sz w:val="22"/>
                <w:szCs w:val="22"/>
              </w:rPr>
              <w:t>:</w:t>
            </w:r>
            <w:bookmarkEnd w:id="24"/>
          </w:p>
        </w:tc>
        <w:tc>
          <w:tcPr>
            <w:tcW w:w="3260" w:type="dxa"/>
            <w:shd w:val="clear" w:color="auto" w:fill="auto"/>
          </w:tcPr>
          <w:p w14:paraId="48A727FB" w14:textId="5ABD62BE" w:rsidR="00A219C3" w:rsidRPr="00921413" w:rsidRDefault="004D5073" w:rsidP="001D0AED">
            <w:pPr>
              <w:spacing w:before="0"/>
              <w:rPr>
                <w:szCs w:val="24"/>
              </w:rPr>
            </w:pPr>
            <w:bookmarkStart w:id="25" w:name="lt_pId131"/>
            <w:r w:rsidRPr="00921413">
              <w:rPr>
                <w:sz w:val="22"/>
                <w:szCs w:val="22"/>
                <w:highlight w:val="green"/>
              </w:rPr>
              <w:t>[Lugar,] [Fecha]</w:t>
            </w:r>
            <w:bookmarkEnd w:id="25"/>
          </w:p>
        </w:tc>
      </w:tr>
    </w:tbl>
    <w:p w14:paraId="75451DA5" w14:textId="77777777" w:rsidR="00D47D03" w:rsidRPr="00921413" w:rsidRDefault="00D47D03" w:rsidP="00CB1E52">
      <w:pPr>
        <w:pStyle w:val="Normalaftertitle"/>
        <w:spacing w:before="120"/>
      </w:pPr>
      <w:bookmarkStart w:id="26" w:name="lt_pId132"/>
      <w:r w:rsidRPr="00921413">
        <w:t>Estimado(a) Señor(a):</w:t>
      </w:r>
      <w:bookmarkEnd w:id="26"/>
    </w:p>
    <w:p w14:paraId="778F3175" w14:textId="4A4E9611" w:rsidR="00D47D03" w:rsidRPr="00921413" w:rsidRDefault="00D47D03" w:rsidP="00CA6894">
      <w:pPr>
        <w:spacing w:after="120"/>
      </w:pPr>
      <w:bookmarkStart w:id="27" w:name="lt_pId133"/>
      <w:r w:rsidRPr="00921413">
        <w:t xml:space="preserve">En lo que respecta a la Consulta a los Estados Miembros sobre </w:t>
      </w:r>
      <w:r w:rsidR="00CA6894" w:rsidRPr="00921413">
        <w:t>el</w:t>
      </w:r>
      <w:r w:rsidRPr="00921413">
        <w:t xml:space="preserve"> proyecto de texto determinado que figura en la Circular 10</w:t>
      </w:r>
      <w:r w:rsidR="00CA6894" w:rsidRPr="00921413">
        <w:t>5 de la TSB</w:t>
      </w:r>
      <w:r w:rsidRPr="00921413">
        <w:t>, deseo informarle de la opinión de esta Administración, que se refleja en el siguiente cuadro:</w:t>
      </w:r>
      <w:bookmarkEnd w:id="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7652"/>
      </w:tblGrid>
      <w:tr w:rsidR="00464D3A" w:rsidRPr="00921413" w14:paraId="6616EBD9" w14:textId="77777777" w:rsidTr="00C36DD1">
        <w:trPr>
          <w:tblHeader/>
        </w:trPr>
        <w:tc>
          <w:tcPr>
            <w:tcW w:w="2067" w:type="dxa"/>
            <w:shd w:val="clear" w:color="auto" w:fill="auto"/>
            <w:vAlign w:val="center"/>
          </w:tcPr>
          <w:p w14:paraId="52C3AF2E" w14:textId="77777777" w:rsidR="00464D3A" w:rsidRPr="00921413" w:rsidRDefault="00464D3A" w:rsidP="00C36DD1">
            <w:pPr>
              <w:spacing w:before="0"/>
              <w:jc w:val="center"/>
              <w:rPr>
                <w:b/>
                <w:bCs/>
                <w:szCs w:val="24"/>
              </w:rPr>
            </w:pPr>
            <w:bookmarkStart w:id="28" w:name="lt_pId163"/>
          </w:p>
        </w:tc>
        <w:tc>
          <w:tcPr>
            <w:tcW w:w="7652" w:type="dxa"/>
            <w:shd w:val="clear" w:color="auto" w:fill="auto"/>
            <w:vAlign w:val="center"/>
          </w:tcPr>
          <w:p w14:paraId="38245D2A" w14:textId="77777777" w:rsidR="00464D3A" w:rsidRPr="00921413" w:rsidRDefault="00464D3A" w:rsidP="00C36DD1">
            <w:pPr>
              <w:tabs>
                <w:tab w:val="clear" w:pos="794"/>
                <w:tab w:val="clear" w:pos="1191"/>
                <w:tab w:val="clear" w:pos="1588"/>
                <w:tab w:val="clear" w:pos="1985"/>
              </w:tabs>
              <w:spacing w:before="0"/>
              <w:ind w:left="939" w:hanging="459"/>
              <w:jc w:val="center"/>
              <w:rPr>
                <w:b/>
                <w:bCs/>
                <w:szCs w:val="24"/>
                <w:highlight w:val="yellow"/>
              </w:rPr>
            </w:pPr>
            <w:r w:rsidRPr="00921413">
              <w:rPr>
                <w:b/>
                <w:bCs/>
                <w:szCs w:val="24"/>
              </w:rPr>
              <w:t>Seleccione una de las dos casillas</w:t>
            </w:r>
          </w:p>
        </w:tc>
      </w:tr>
      <w:tr w:rsidR="00464D3A" w:rsidRPr="00921413" w14:paraId="6972E6F4" w14:textId="77777777" w:rsidTr="00C36DD1">
        <w:trPr>
          <w:trHeight w:val="748"/>
        </w:trPr>
        <w:tc>
          <w:tcPr>
            <w:tcW w:w="2067" w:type="dxa"/>
            <w:vMerge w:val="restart"/>
            <w:shd w:val="clear" w:color="auto" w:fill="auto"/>
            <w:vAlign w:val="center"/>
          </w:tcPr>
          <w:p w14:paraId="1862CAA3" w14:textId="77777777" w:rsidR="00464D3A" w:rsidRPr="00921413" w:rsidRDefault="00464D3A" w:rsidP="00C36DD1">
            <w:pPr>
              <w:spacing w:before="40" w:after="40"/>
              <w:jc w:val="center"/>
              <w:rPr>
                <w:b/>
                <w:bCs/>
                <w:szCs w:val="24"/>
              </w:rPr>
            </w:pPr>
            <w:r w:rsidRPr="00921413">
              <w:rPr>
                <w:b/>
                <w:bCs/>
              </w:rPr>
              <w:t xml:space="preserve">Proyecto de nueva Recomendación </w:t>
            </w:r>
            <w:r w:rsidRPr="00921413">
              <w:rPr>
                <w:b/>
                <w:bCs/>
                <w:szCs w:val="24"/>
              </w:rPr>
              <w:t>UIT-T Q.5050</w:t>
            </w:r>
          </w:p>
        </w:tc>
        <w:tc>
          <w:tcPr>
            <w:tcW w:w="7652" w:type="dxa"/>
            <w:shd w:val="clear" w:color="auto" w:fill="auto"/>
            <w:vAlign w:val="center"/>
          </w:tcPr>
          <w:p w14:paraId="21048AC9" w14:textId="77777777" w:rsidR="00464D3A" w:rsidRPr="00921413" w:rsidRDefault="00464D3A" w:rsidP="00C36DD1">
            <w:pPr>
              <w:tabs>
                <w:tab w:val="clear" w:pos="794"/>
                <w:tab w:val="clear" w:pos="1191"/>
                <w:tab w:val="clear" w:pos="1588"/>
                <w:tab w:val="clear" w:pos="1985"/>
              </w:tabs>
              <w:spacing w:before="40" w:after="40"/>
              <w:ind w:left="459" w:hanging="459"/>
              <w:rPr>
                <w:sz w:val="22"/>
                <w:szCs w:val="22"/>
              </w:rPr>
            </w:pPr>
            <w:r w:rsidRPr="00921413">
              <w:rPr>
                <w:sz w:val="20"/>
              </w:rPr>
              <w:fldChar w:fldCharType="begin">
                <w:ffData>
                  <w:name w:val="Check1"/>
                  <w:enabled/>
                  <w:calcOnExit w:val="0"/>
                  <w:checkBox>
                    <w:sizeAuto/>
                    <w:default w:val="0"/>
                  </w:checkBox>
                </w:ffData>
              </w:fldChar>
            </w:r>
            <w:r w:rsidRPr="00921413">
              <w:rPr>
                <w:sz w:val="20"/>
              </w:rPr>
              <w:instrText xml:space="preserve"> FORMCHECKBOX </w:instrText>
            </w:r>
            <w:r w:rsidR="009809E6">
              <w:rPr>
                <w:sz w:val="20"/>
              </w:rPr>
            </w:r>
            <w:r w:rsidR="009809E6">
              <w:rPr>
                <w:sz w:val="20"/>
              </w:rPr>
              <w:fldChar w:fldCharType="separate"/>
            </w:r>
            <w:r w:rsidRPr="00921413">
              <w:rPr>
                <w:sz w:val="20"/>
              </w:rPr>
              <w:fldChar w:fldCharType="end"/>
            </w:r>
            <w:r w:rsidRPr="00921413">
              <w:rPr>
                <w:sz w:val="18"/>
                <w:szCs w:val="18"/>
              </w:rPr>
              <w:tab/>
            </w:r>
            <w:bookmarkStart w:id="29" w:name="lt_pId136"/>
            <w:r w:rsidRPr="00921413">
              <w:rPr>
                <w:b/>
                <w:bCs/>
                <w:sz w:val="22"/>
                <w:szCs w:val="22"/>
              </w:rPr>
              <w:t xml:space="preserve">otorga autoridad </w:t>
            </w:r>
            <w:r w:rsidRPr="00921413">
              <w:rPr>
                <w:sz w:val="22"/>
                <w:szCs w:val="22"/>
              </w:rPr>
              <w:t xml:space="preserve">a la Comisión de Estudio 11 a fin de examinar este texto para aprobación (en cuyo caso seleccionará una de las dos opciones </w:t>
            </w:r>
            <w:r w:rsidRPr="00921413">
              <w:rPr>
                <w:sz w:val="18"/>
                <w:szCs w:val="18"/>
              </w:rPr>
              <w:t>⃝</w:t>
            </w:r>
            <w:r w:rsidRPr="00921413">
              <w:rPr>
                <w:sz w:val="22"/>
                <w:szCs w:val="22"/>
              </w:rPr>
              <w:t>):</w:t>
            </w:r>
            <w:bookmarkEnd w:id="29"/>
          </w:p>
          <w:p w14:paraId="464D0401" w14:textId="77777777" w:rsidR="00464D3A" w:rsidRPr="00921413" w:rsidRDefault="00464D3A" w:rsidP="00C36DD1">
            <w:pPr>
              <w:tabs>
                <w:tab w:val="clear" w:pos="794"/>
                <w:tab w:val="clear" w:pos="1191"/>
                <w:tab w:val="clear" w:pos="1588"/>
                <w:tab w:val="clear" w:pos="1985"/>
              </w:tabs>
              <w:spacing w:before="40" w:after="40"/>
              <w:ind w:left="939" w:hanging="459"/>
              <w:rPr>
                <w:sz w:val="22"/>
                <w:szCs w:val="22"/>
              </w:rPr>
            </w:pPr>
            <w:r w:rsidRPr="00921413">
              <w:rPr>
                <w:sz w:val="18"/>
                <w:szCs w:val="18"/>
              </w:rPr>
              <w:t>⃝</w:t>
            </w:r>
            <w:r w:rsidRPr="00921413">
              <w:rPr>
                <w:sz w:val="18"/>
                <w:szCs w:val="18"/>
              </w:rPr>
              <w:tab/>
            </w:r>
            <w:bookmarkStart w:id="30" w:name="lt_pId138"/>
            <w:r w:rsidRPr="00921413">
              <w:rPr>
                <w:sz w:val="22"/>
                <w:szCs w:val="22"/>
              </w:rPr>
              <w:t>Sin comentarios o cambios sugeridos</w:t>
            </w:r>
            <w:bookmarkEnd w:id="30"/>
          </w:p>
          <w:p w14:paraId="139F830B" w14:textId="77777777" w:rsidR="00464D3A" w:rsidRPr="00921413" w:rsidRDefault="00464D3A" w:rsidP="00C36DD1">
            <w:pPr>
              <w:tabs>
                <w:tab w:val="clear" w:pos="794"/>
                <w:tab w:val="clear" w:pos="1191"/>
                <w:tab w:val="clear" w:pos="1588"/>
                <w:tab w:val="clear" w:pos="1985"/>
              </w:tabs>
              <w:spacing w:before="40" w:after="40"/>
              <w:ind w:left="939" w:hanging="459"/>
              <w:rPr>
                <w:szCs w:val="24"/>
                <w:highlight w:val="yellow"/>
              </w:rPr>
            </w:pPr>
            <w:r w:rsidRPr="00921413">
              <w:rPr>
                <w:sz w:val="18"/>
                <w:szCs w:val="18"/>
              </w:rPr>
              <w:t>⃝</w:t>
            </w:r>
            <w:r w:rsidRPr="00921413">
              <w:rPr>
                <w:sz w:val="18"/>
                <w:szCs w:val="18"/>
              </w:rPr>
              <w:tab/>
            </w:r>
            <w:bookmarkStart w:id="31" w:name="lt_pId140"/>
            <w:r w:rsidRPr="00921413">
              <w:rPr>
                <w:sz w:val="22"/>
                <w:szCs w:val="22"/>
              </w:rPr>
              <w:t>Se adjuntan los</w:t>
            </w:r>
            <w:r w:rsidRPr="00921413">
              <w:rPr>
                <w:sz w:val="18"/>
                <w:szCs w:val="18"/>
              </w:rPr>
              <w:t xml:space="preserve"> </w:t>
            </w:r>
            <w:r w:rsidRPr="00921413">
              <w:rPr>
                <w:sz w:val="22"/>
                <w:szCs w:val="22"/>
              </w:rPr>
              <w:t>comentarios o cambios sugeridos</w:t>
            </w:r>
            <w:bookmarkEnd w:id="31"/>
          </w:p>
        </w:tc>
      </w:tr>
      <w:tr w:rsidR="00464D3A" w:rsidRPr="00921413" w14:paraId="6E29AC5C" w14:textId="77777777" w:rsidTr="00C36DD1">
        <w:trPr>
          <w:trHeight w:val="747"/>
        </w:trPr>
        <w:tc>
          <w:tcPr>
            <w:tcW w:w="2067" w:type="dxa"/>
            <w:vMerge/>
            <w:shd w:val="clear" w:color="auto" w:fill="auto"/>
            <w:vAlign w:val="center"/>
          </w:tcPr>
          <w:p w14:paraId="7813140D" w14:textId="77777777" w:rsidR="00464D3A" w:rsidRPr="00921413" w:rsidRDefault="00464D3A" w:rsidP="00C36DD1">
            <w:pPr>
              <w:spacing w:before="40" w:after="40"/>
              <w:jc w:val="center"/>
              <w:rPr>
                <w:b/>
                <w:bCs/>
                <w:szCs w:val="24"/>
              </w:rPr>
            </w:pPr>
          </w:p>
        </w:tc>
        <w:tc>
          <w:tcPr>
            <w:tcW w:w="7652" w:type="dxa"/>
            <w:shd w:val="clear" w:color="auto" w:fill="auto"/>
            <w:vAlign w:val="center"/>
          </w:tcPr>
          <w:p w14:paraId="0EF528C4" w14:textId="77777777" w:rsidR="00464D3A" w:rsidRPr="00921413" w:rsidRDefault="00464D3A" w:rsidP="00C36DD1">
            <w:pPr>
              <w:tabs>
                <w:tab w:val="clear" w:pos="794"/>
                <w:tab w:val="clear" w:pos="1191"/>
                <w:tab w:val="clear" w:pos="1588"/>
                <w:tab w:val="clear" w:pos="1985"/>
                <w:tab w:val="left" w:pos="250"/>
              </w:tabs>
              <w:spacing w:before="40" w:after="40"/>
              <w:ind w:left="459" w:hanging="459"/>
              <w:rPr>
                <w:sz w:val="20"/>
                <w:highlight w:val="yellow"/>
              </w:rPr>
            </w:pPr>
            <w:r w:rsidRPr="00921413">
              <w:rPr>
                <w:sz w:val="20"/>
              </w:rPr>
              <w:fldChar w:fldCharType="begin">
                <w:ffData>
                  <w:name w:val="Check1"/>
                  <w:enabled/>
                  <w:calcOnExit w:val="0"/>
                  <w:checkBox>
                    <w:sizeAuto/>
                    <w:default w:val="0"/>
                  </w:checkBox>
                </w:ffData>
              </w:fldChar>
            </w:r>
            <w:r w:rsidRPr="00921413">
              <w:rPr>
                <w:sz w:val="20"/>
              </w:rPr>
              <w:instrText xml:space="preserve"> FORMCHECKBOX </w:instrText>
            </w:r>
            <w:r w:rsidR="009809E6">
              <w:rPr>
                <w:sz w:val="20"/>
              </w:rPr>
            </w:r>
            <w:r w:rsidR="009809E6">
              <w:rPr>
                <w:sz w:val="20"/>
              </w:rPr>
              <w:fldChar w:fldCharType="separate"/>
            </w:r>
            <w:r w:rsidRPr="00921413">
              <w:rPr>
                <w:sz w:val="20"/>
              </w:rPr>
              <w:fldChar w:fldCharType="end"/>
            </w:r>
            <w:r w:rsidRPr="00921413">
              <w:rPr>
                <w:sz w:val="20"/>
              </w:rPr>
              <w:tab/>
            </w:r>
            <w:bookmarkStart w:id="32" w:name="lt_pId141"/>
            <w:r w:rsidRPr="00921413">
              <w:rPr>
                <w:sz w:val="20"/>
              </w:rPr>
              <w:tab/>
            </w:r>
            <w:r w:rsidRPr="00921413">
              <w:rPr>
                <w:b/>
                <w:bCs/>
                <w:sz w:val="22"/>
                <w:szCs w:val="22"/>
              </w:rPr>
              <w:t xml:space="preserve">no otorga autoridad </w:t>
            </w:r>
            <w:r w:rsidRPr="00921413">
              <w:rPr>
                <w:sz w:val="22"/>
                <w:szCs w:val="22"/>
              </w:rPr>
              <w:t xml:space="preserve">a la Comisión de Estudio 11 a fin de examinar este texto para aprobación (se adjuntan los motivos para esta opinión y las posibles modificaciones que permitirían </w:t>
            </w:r>
            <w:r w:rsidRPr="00921413">
              <w:rPr>
                <w:sz w:val="22"/>
              </w:rPr>
              <w:t>que prosiguieran los trabajos)</w:t>
            </w:r>
            <w:bookmarkEnd w:id="32"/>
          </w:p>
        </w:tc>
      </w:tr>
    </w:tbl>
    <w:p w14:paraId="43E79190" w14:textId="77777777" w:rsidR="00286F18" w:rsidRPr="00921413" w:rsidRDefault="00286F18" w:rsidP="00286F18">
      <w:pPr>
        <w:spacing w:after="120"/>
      </w:pPr>
      <w:r w:rsidRPr="00921413">
        <w:t>Atentamente,</w:t>
      </w:r>
      <w:bookmarkEnd w:id="28"/>
    </w:p>
    <w:p w14:paraId="25C80A12" w14:textId="77777777" w:rsidR="00286F18" w:rsidRPr="00921413" w:rsidRDefault="00286F18" w:rsidP="00CD41C6">
      <w:pPr>
        <w:spacing w:before="240"/>
        <w:rPr>
          <w:szCs w:val="24"/>
          <w:highlight w:val="green"/>
        </w:rPr>
      </w:pPr>
      <w:bookmarkStart w:id="33" w:name="lt_pId164"/>
      <w:r w:rsidRPr="00921413">
        <w:rPr>
          <w:szCs w:val="24"/>
          <w:highlight w:val="green"/>
        </w:rPr>
        <w:t>[Nombre]</w:t>
      </w:r>
      <w:bookmarkEnd w:id="33"/>
    </w:p>
    <w:p w14:paraId="06371654" w14:textId="77777777" w:rsidR="00286F18" w:rsidRPr="00921413" w:rsidRDefault="00286F18" w:rsidP="00286F18">
      <w:pPr>
        <w:spacing w:before="0"/>
        <w:rPr>
          <w:szCs w:val="24"/>
        </w:rPr>
      </w:pPr>
      <w:bookmarkStart w:id="34" w:name="lt_pId165"/>
      <w:r w:rsidRPr="00921413">
        <w:rPr>
          <w:szCs w:val="24"/>
          <w:highlight w:val="green"/>
        </w:rPr>
        <w:t>[Cargo oficial/Título]</w:t>
      </w:r>
      <w:bookmarkEnd w:id="34"/>
    </w:p>
    <w:p w14:paraId="0A605A6D" w14:textId="77777777" w:rsidR="00286F18" w:rsidRPr="00921413" w:rsidRDefault="00286F18" w:rsidP="00286F18">
      <w:pPr>
        <w:spacing w:before="0"/>
        <w:rPr>
          <w:szCs w:val="24"/>
        </w:rPr>
      </w:pPr>
      <w:bookmarkStart w:id="35" w:name="lt_pId166"/>
      <w:r w:rsidRPr="00921413">
        <w:rPr>
          <w:szCs w:val="24"/>
        </w:rPr>
        <w:t xml:space="preserve">Administración de </w:t>
      </w:r>
      <w:r w:rsidRPr="00921413">
        <w:rPr>
          <w:szCs w:val="24"/>
          <w:highlight w:val="green"/>
        </w:rPr>
        <w:t>[Estado Miembro]</w:t>
      </w:r>
      <w:bookmarkEnd w:id="35"/>
    </w:p>
    <w:p w14:paraId="03353BD8" w14:textId="77777777" w:rsidR="00286F18" w:rsidRPr="00921413" w:rsidRDefault="00286F18" w:rsidP="00BA0AF1">
      <w:pPr>
        <w:spacing w:before="0"/>
        <w:jc w:val="center"/>
      </w:pPr>
      <w:r w:rsidRPr="00921413">
        <w:t>______________</w:t>
      </w:r>
    </w:p>
    <w:sectPr w:rsidR="00286F18" w:rsidRPr="00921413" w:rsidSect="002056AE">
      <w:headerReference w:type="default" r:id="rId13"/>
      <w:footerReference w:type="first" r:id="rId14"/>
      <w:pgSz w:w="11907" w:h="16834" w:code="9"/>
      <w:pgMar w:top="567" w:right="1089" w:bottom="567" w:left="1089"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BAD8BD" w14:textId="77777777" w:rsidR="00900CD0" w:rsidRDefault="00900CD0">
      <w:r>
        <w:separator/>
      </w:r>
    </w:p>
  </w:endnote>
  <w:endnote w:type="continuationSeparator" w:id="0">
    <w:p w14:paraId="12C1FB09" w14:textId="77777777" w:rsidR="00900CD0" w:rsidRDefault="00900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3122FD" w14:textId="35DFE659" w:rsidR="00900CD0" w:rsidRPr="00667B26" w:rsidRDefault="009E2537" w:rsidP="009E2537">
    <w:pPr>
      <w:tabs>
        <w:tab w:val="left" w:pos="5954"/>
        <w:tab w:val="right" w:pos="9639"/>
      </w:tabs>
      <w:jc w:val="center"/>
      <w:rPr>
        <w:caps/>
        <w:noProof/>
        <w:sz w:val="16"/>
      </w:rPr>
    </w:pPr>
    <w:r w:rsidRPr="009E2537">
      <w:rPr>
        <w:rFonts w:cs="Calibri"/>
        <w:noProof/>
        <w:color w:val="0070C0"/>
        <w:sz w:val="18"/>
        <w:szCs w:val="18"/>
        <w:lang w:val="es-ES"/>
      </w:rPr>
      <w:t>Unión Internacional de Telecomunicaciones</w:t>
    </w:r>
    <w:r w:rsidR="00667B26" w:rsidRPr="009E2537">
      <w:rPr>
        <w:rFonts w:cs="Calibri"/>
        <w:noProof/>
        <w:color w:val="0070C0"/>
        <w:sz w:val="18"/>
        <w:szCs w:val="18"/>
        <w:lang w:val="es-ES"/>
      </w:rPr>
      <w:t xml:space="preserve"> • Place des Nations </w:t>
    </w:r>
    <w:r w:rsidR="00667B26" w:rsidRPr="009E2537">
      <w:rPr>
        <w:rFonts w:cs="Calibri"/>
        <w:caps/>
        <w:noProof/>
        <w:color w:val="0070C0"/>
        <w:sz w:val="18"/>
        <w:szCs w:val="18"/>
        <w:lang w:val="es-ES"/>
      </w:rPr>
      <w:t>•</w:t>
    </w:r>
    <w:r w:rsidR="00667B26" w:rsidRPr="009E2537">
      <w:rPr>
        <w:rFonts w:cs="Calibri"/>
        <w:noProof/>
        <w:color w:val="0070C0"/>
        <w:sz w:val="18"/>
        <w:szCs w:val="18"/>
        <w:lang w:val="es-ES"/>
      </w:rPr>
      <w:t xml:space="preserve"> CH</w:t>
    </w:r>
    <w:r w:rsidR="00667B26" w:rsidRPr="009E2537">
      <w:rPr>
        <w:rFonts w:cs="Calibri"/>
        <w:noProof/>
        <w:color w:val="0070C0"/>
        <w:sz w:val="18"/>
        <w:szCs w:val="18"/>
        <w:lang w:val="es-ES"/>
      </w:rPr>
      <w:noBreakHyphen/>
      <w:t xml:space="preserve">1211 </w:t>
    </w:r>
    <w:r>
      <w:rPr>
        <w:rFonts w:cs="Calibri"/>
        <w:noProof/>
        <w:color w:val="0070C0"/>
        <w:sz w:val="18"/>
        <w:szCs w:val="18"/>
        <w:lang w:val="es-ES"/>
      </w:rPr>
      <w:t>Ginebra</w:t>
    </w:r>
    <w:r w:rsidR="00667B26" w:rsidRPr="009E2537">
      <w:rPr>
        <w:rFonts w:cs="Calibri"/>
        <w:noProof/>
        <w:color w:val="0070C0"/>
        <w:sz w:val="18"/>
        <w:szCs w:val="18"/>
        <w:lang w:val="es-ES"/>
      </w:rPr>
      <w:t xml:space="preserve"> 20 </w:t>
    </w:r>
    <w:r w:rsidR="00667B26" w:rsidRPr="009E2537">
      <w:rPr>
        <w:rFonts w:cs="Calibri"/>
        <w:caps/>
        <w:noProof/>
        <w:color w:val="0070C0"/>
        <w:sz w:val="18"/>
        <w:szCs w:val="18"/>
        <w:lang w:val="es-ES"/>
      </w:rPr>
      <w:t>•</w:t>
    </w:r>
    <w:r w:rsidR="00667B26" w:rsidRPr="009E2537">
      <w:rPr>
        <w:rFonts w:cs="Calibri"/>
        <w:noProof/>
        <w:color w:val="0070C0"/>
        <w:sz w:val="18"/>
        <w:szCs w:val="18"/>
        <w:lang w:val="es-ES"/>
      </w:rPr>
      <w:t xml:space="preserve"> </w:t>
    </w:r>
    <w:r>
      <w:rPr>
        <w:rFonts w:cs="Calibri"/>
        <w:noProof/>
        <w:color w:val="0070C0"/>
        <w:sz w:val="18"/>
        <w:szCs w:val="18"/>
        <w:lang w:val="es-ES"/>
      </w:rPr>
      <w:t>Suiza</w:t>
    </w:r>
    <w:r w:rsidR="00667B26" w:rsidRPr="009E2537">
      <w:rPr>
        <w:rFonts w:cs="Calibri"/>
        <w:noProof/>
        <w:color w:val="0070C0"/>
        <w:sz w:val="18"/>
        <w:szCs w:val="18"/>
        <w:lang w:val="es-ES"/>
      </w:rPr>
      <w:t xml:space="preserve"> </w:t>
    </w:r>
    <w:r w:rsidR="00667B26" w:rsidRPr="009E2537">
      <w:rPr>
        <w:rFonts w:cs="Calibri"/>
        <w:caps/>
        <w:noProof/>
        <w:color w:val="0070C0"/>
        <w:sz w:val="18"/>
        <w:szCs w:val="18"/>
        <w:lang w:val="es-ES"/>
      </w:rPr>
      <w:br/>
    </w:r>
    <w:r w:rsidR="00667B26" w:rsidRPr="009E2537">
      <w:rPr>
        <w:rFonts w:cs="Calibri"/>
        <w:noProof/>
        <w:color w:val="0070C0"/>
        <w:sz w:val="18"/>
        <w:szCs w:val="18"/>
        <w:lang w:val="es-ES"/>
      </w:rPr>
      <w:t>Tel:</w:t>
    </w:r>
    <w:r w:rsidR="00667B26" w:rsidRPr="009E2537">
      <w:rPr>
        <w:rFonts w:cs="Calibri"/>
        <w:caps/>
        <w:noProof/>
        <w:color w:val="0070C0"/>
        <w:sz w:val="18"/>
        <w:szCs w:val="18"/>
        <w:lang w:val="es-ES"/>
      </w:rPr>
      <w:t xml:space="preserve"> +41 22 730 5111 • </w:t>
    </w:r>
    <w:r w:rsidR="00667B26" w:rsidRPr="009E2537">
      <w:rPr>
        <w:rFonts w:cs="Calibri"/>
        <w:noProof/>
        <w:color w:val="0070C0"/>
        <w:sz w:val="18"/>
        <w:szCs w:val="18"/>
        <w:lang w:val="es-ES"/>
      </w:rPr>
      <w:t>Fax</w:t>
    </w:r>
    <w:r w:rsidR="00667B26" w:rsidRPr="009E2537">
      <w:rPr>
        <w:rFonts w:cs="Calibri"/>
        <w:caps/>
        <w:noProof/>
        <w:color w:val="0070C0"/>
        <w:sz w:val="18"/>
        <w:szCs w:val="18"/>
        <w:lang w:val="es-ES"/>
      </w:rPr>
      <w:t xml:space="preserve">: +41 22 733 7256 • </w:t>
    </w:r>
    <w:r>
      <w:rPr>
        <w:rFonts w:cs="Calibri"/>
        <w:caps/>
        <w:noProof/>
        <w:color w:val="0070C0"/>
        <w:sz w:val="18"/>
        <w:szCs w:val="18"/>
        <w:lang w:val="es-ES"/>
      </w:rPr>
      <w:t>C</w:t>
    </w:r>
    <w:r>
      <w:rPr>
        <w:rFonts w:cs="Calibri"/>
        <w:noProof/>
        <w:color w:val="0070C0"/>
        <w:sz w:val="18"/>
        <w:szCs w:val="18"/>
        <w:lang w:val="es-ES"/>
      </w:rPr>
      <w:t>orreo-e</w:t>
    </w:r>
    <w:r w:rsidR="00667B26" w:rsidRPr="009E2537">
      <w:rPr>
        <w:rFonts w:cs="Calibri"/>
        <w:caps/>
        <w:noProof/>
        <w:color w:val="0070C0"/>
        <w:sz w:val="18"/>
        <w:szCs w:val="18"/>
        <w:lang w:val="es-ES"/>
      </w:rPr>
      <w:t xml:space="preserve">: </w:t>
    </w:r>
    <w:hyperlink r:id="rId1" w:history="1">
      <w:r w:rsidR="00667B26" w:rsidRPr="009E2537">
        <w:rPr>
          <w:rFonts w:cs="Calibri"/>
          <w:noProof/>
          <w:color w:val="0070C0"/>
          <w:sz w:val="18"/>
          <w:szCs w:val="18"/>
          <w:u w:val="single"/>
          <w:lang w:val="es-ES"/>
        </w:rPr>
        <w:t>itumail@itu.int</w:t>
      </w:r>
    </w:hyperlink>
    <w:r w:rsidR="00667B26" w:rsidRPr="009E2537">
      <w:rPr>
        <w:rFonts w:cs="Calibri"/>
        <w:noProof/>
        <w:color w:val="0070C0"/>
        <w:sz w:val="18"/>
        <w:szCs w:val="18"/>
        <w:lang w:val="es-ES"/>
      </w:rPr>
      <w:t xml:space="preserve"> • </w:t>
    </w:r>
    <w:hyperlink r:id="rId2" w:history="1">
      <w:r w:rsidR="00667B26" w:rsidRPr="009E2537">
        <w:rPr>
          <w:rFonts w:cs="Calibri"/>
          <w:noProof/>
          <w:color w:val="0070C0"/>
          <w:sz w:val="18"/>
          <w:szCs w:val="18"/>
          <w:u w:val="single"/>
          <w:lang w:val="es-ES"/>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BB869D" w14:textId="77777777" w:rsidR="00900CD0" w:rsidRDefault="00900CD0">
      <w:r>
        <w:t>____________________</w:t>
      </w:r>
    </w:p>
  </w:footnote>
  <w:footnote w:type="continuationSeparator" w:id="0">
    <w:p w14:paraId="759E18B6" w14:textId="77777777" w:rsidR="00900CD0" w:rsidRDefault="00900C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D0FB5" w14:textId="4669D92E" w:rsidR="00900CD0" w:rsidRPr="004C58BA" w:rsidRDefault="009809E6" w:rsidP="00BC0071">
    <w:pPr>
      <w:spacing w:before="0"/>
      <w:jc w:val="center"/>
      <w:rPr>
        <w:rFonts w:ascii="Calibri" w:hAnsi="Calibri"/>
        <w:noProof/>
        <w:sz w:val="18"/>
        <w:lang w:val="en-GB"/>
      </w:rPr>
    </w:pPr>
    <w:sdt>
      <w:sdtPr>
        <w:rPr>
          <w:rFonts w:ascii="Calibri" w:hAnsi="Calibri"/>
          <w:sz w:val="18"/>
          <w:lang w:val="en-GB"/>
        </w:rPr>
        <w:id w:val="1925458910"/>
        <w:docPartObj>
          <w:docPartGallery w:val="Page Numbers (Top of Page)"/>
          <w:docPartUnique/>
        </w:docPartObj>
      </w:sdtPr>
      <w:sdtEndPr>
        <w:rPr>
          <w:noProof/>
        </w:rPr>
      </w:sdtEndPr>
      <w:sdtContent>
        <w:r w:rsidR="00900CD0" w:rsidRPr="004C58BA">
          <w:rPr>
            <w:rFonts w:ascii="Calibri" w:hAnsi="Calibri"/>
            <w:noProof/>
            <w:sz w:val="18"/>
            <w:lang w:val="en-GB"/>
          </w:rPr>
          <w:t>-</w:t>
        </w:r>
        <w:r w:rsidR="00900CD0" w:rsidRPr="004C58BA">
          <w:rPr>
            <w:rFonts w:ascii="Calibri" w:hAnsi="Calibri"/>
            <w:sz w:val="18"/>
            <w:lang w:val="en-GB"/>
          </w:rPr>
          <w:t xml:space="preserve"> </w:t>
        </w:r>
        <w:r w:rsidR="00900CD0" w:rsidRPr="004C58BA">
          <w:rPr>
            <w:rFonts w:ascii="Calibri" w:hAnsi="Calibri"/>
            <w:sz w:val="18"/>
            <w:lang w:val="en-GB"/>
          </w:rPr>
          <w:fldChar w:fldCharType="begin"/>
        </w:r>
        <w:r w:rsidR="00900CD0" w:rsidRPr="004C58BA">
          <w:rPr>
            <w:rFonts w:ascii="Calibri" w:hAnsi="Calibri"/>
            <w:sz w:val="18"/>
            <w:lang w:val="en-GB"/>
          </w:rPr>
          <w:instrText xml:space="preserve"> PAGE   \* MERGEFORMAT </w:instrText>
        </w:r>
        <w:r w:rsidR="00900CD0" w:rsidRPr="004C58BA">
          <w:rPr>
            <w:rFonts w:ascii="Calibri" w:hAnsi="Calibri"/>
            <w:sz w:val="18"/>
            <w:lang w:val="en-GB"/>
          </w:rPr>
          <w:fldChar w:fldCharType="separate"/>
        </w:r>
        <w:r>
          <w:rPr>
            <w:rFonts w:ascii="Calibri" w:hAnsi="Calibri"/>
            <w:noProof/>
            <w:sz w:val="18"/>
            <w:lang w:val="en-GB"/>
          </w:rPr>
          <w:t>4</w:t>
        </w:r>
        <w:r w:rsidR="00900CD0" w:rsidRPr="004C58BA">
          <w:rPr>
            <w:rFonts w:ascii="Calibri" w:hAnsi="Calibri"/>
            <w:noProof/>
            <w:sz w:val="18"/>
            <w:lang w:val="en-GB"/>
          </w:rPr>
          <w:fldChar w:fldCharType="end"/>
        </w:r>
      </w:sdtContent>
    </w:sdt>
    <w:r w:rsidR="00900CD0" w:rsidRPr="004C58BA">
      <w:rPr>
        <w:rFonts w:ascii="Calibri" w:hAnsi="Calibri"/>
        <w:noProof/>
        <w:sz w:val="18"/>
        <w:lang w:val="en-GB"/>
      </w:rPr>
      <w:t xml:space="preserve"> -</w:t>
    </w:r>
  </w:p>
  <w:p w14:paraId="5C606C11" w14:textId="70275BAC" w:rsidR="00900CD0" w:rsidRPr="004C58BA" w:rsidRDefault="00900CD0" w:rsidP="00464D3A">
    <w:pPr>
      <w:spacing w:before="0" w:after="240"/>
      <w:jc w:val="center"/>
      <w:rPr>
        <w:rFonts w:ascii="Calibri" w:hAnsi="Calibri"/>
        <w:sz w:val="18"/>
        <w:lang w:val="en-US"/>
      </w:rPr>
    </w:pPr>
    <w:r w:rsidRPr="004C58BA">
      <w:rPr>
        <w:rFonts w:ascii="Calibri" w:hAnsi="Calibri"/>
        <w:noProof/>
        <w:sz w:val="18"/>
        <w:lang w:val="en-GB"/>
      </w:rPr>
      <w:t xml:space="preserve">Circular TSB </w:t>
    </w:r>
    <w:r>
      <w:rPr>
        <w:rFonts w:ascii="Calibri" w:hAnsi="Calibri"/>
        <w:noProof/>
        <w:sz w:val="18"/>
        <w:lang w:val="en-GB"/>
      </w:rPr>
      <w:t>10</w:t>
    </w:r>
    <w:r w:rsidR="00464D3A">
      <w:rPr>
        <w:rFonts w:ascii="Calibri" w:hAnsi="Calibri"/>
        <w:noProof/>
        <w:sz w:val="18"/>
        <w:lang w:val="en-GB"/>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D40C71"/>
    <w:multiLevelType w:val="multilevel"/>
    <w:tmpl w:val="7E6C54A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3BB6E2C"/>
    <w:multiLevelType w:val="hybridMultilevel"/>
    <w:tmpl w:val="9F2CE576"/>
    <w:lvl w:ilvl="0" w:tplc="DD721176">
      <w:start w:val="1"/>
      <w:numFmt w:val="bullet"/>
      <w:lvlText w:val=""/>
      <w:lvlJc w:val="left"/>
      <w:pPr>
        <w:ind w:left="420" w:hanging="420"/>
      </w:pPr>
      <w:rPr>
        <w:rFonts w:ascii="Wingdings" w:hAnsi="Wingdings" w:hint="default"/>
      </w:rPr>
    </w:lvl>
    <w:lvl w:ilvl="1" w:tplc="43B03BC4" w:tentative="1">
      <w:start w:val="1"/>
      <w:numFmt w:val="bullet"/>
      <w:lvlText w:val=""/>
      <w:lvlJc w:val="left"/>
      <w:pPr>
        <w:ind w:left="840" w:hanging="420"/>
      </w:pPr>
      <w:rPr>
        <w:rFonts w:ascii="Wingdings" w:hAnsi="Wingdings" w:hint="default"/>
      </w:rPr>
    </w:lvl>
    <w:lvl w:ilvl="2" w:tplc="59465310" w:tentative="1">
      <w:start w:val="1"/>
      <w:numFmt w:val="bullet"/>
      <w:lvlText w:val=""/>
      <w:lvlJc w:val="left"/>
      <w:pPr>
        <w:ind w:left="1260" w:hanging="420"/>
      </w:pPr>
      <w:rPr>
        <w:rFonts w:ascii="Wingdings" w:hAnsi="Wingdings" w:hint="default"/>
      </w:rPr>
    </w:lvl>
    <w:lvl w:ilvl="3" w:tplc="23AA7F1A" w:tentative="1">
      <w:start w:val="1"/>
      <w:numFmt w:val="bullet"/>
      <w:lvlText w:val=""/>
      <w:lvlJc w:val="left"/>
      <w:pPr>
        <w:ind w:left="1680" w:hanging="420"/>
      </w:pPr>
      <w:rPr>
        <w:rFonts w:ascii="Wingdings" w:hAnsi="Wingdings" w:hint="default"/>
      </w:rPr>
    </w:lvl>
    <w:lvl w:ilvl="4" w:tplc="A574E22E" w:tentative="1">
      <w:start w:val="1"/>
      <w:numFmt w:val="bullet"/>
      <w:lvlText w:val=""/>
      <w:lvlJc w:val="left"/>
      <w:pPr>
        <w:ind w:left="2100" w:hanging="420"/>
      </w:pPr>
      <w:rPr>
        <w:rFonts w:ascii="Wingdings" w:hAnsi="Wingdings" w:hint="default"/>
      </w:rPr>
    </w:lvl>
    <w:lvl w:ilvl="5" w:tplc="ABDA7972" w:tentative="1">
      <w:start w:val="1"/>
      <w:numFmt w:val="bullet"/>
      <w:lvlText w:val=""/>
      <w:lvlJc w:val="left"/>
      <w:pPr>
        <w:ind w:left="2520" w:hanging="420"/>
      </w:pPr>
      <w:rPr>
        <w:rFonts w:ascii="Wingdings" w:hAnsi="Wingdings" w:hint="default"/>
      </w:rPr>
    </w:lvl>
    <w:lvl w:ilvl="6" w:tplc="ABB25D3C" w:tentative="1">
      <w:start w:val="1"/>
      <w:numFmt w:val="bullet"/>
      <w:lvlText w:val=""/>
      <w:lvlJc w:val="left"/>
      <w:pPr>
        <w:ind w:left="2940" w:hanging="420"/>
      </w:pPr>
      <w:rPr>
        <w:rFonts w:ascii="Wingdings" w:hAnsi="Wingdings" w:hint="default"/>
      </w:rPr>
    </w:lvl>
    <w:lvl w:ilvl="7" w:tplc="5CD27A6C" w:tentative="1">
      <w:start w:val="1"/>
      <w:numFmt w:val="bullet"/>
      <w:lvlText w:val=""/>
      <w:lvlJc w:val="left"/>
      <w:pPr>
        <w:ind w:left="3360" w:hanging="420"/>
      </w:pPr>
      <w:rPr>
        <w:rFonts w:ascii="Wingdings" w:hAnsi="Wingdings" w:hint="default"/>
      </w:rPr>
    </w:lvl>
    <w:lvl w:ilvl="8" w:tplc="086EB53A" w:tentative="1">
      <w:start w:val="1"/>
      <w:numFmt w:val="bullet"/>
      <w:lvlText w:val=""/>
      <w:lvlJc w:val="left"/>
      <w:pPr>
        <w:ind w:left="3780" w:hanging="420"/>
      </w:pPr>
      <w:rPr>
        <w:rFonts w:ascii="Wingdings" w:hAnsi="Wingdings" w:hint="default"/>
      </w:rPr>
    </w:lvl>
  </w:abstractNum>
  <w:abstractNum w:abstractNumId="2" w15:restartNumberingAfterBreak="0">
    <w:nsid w:val="240C287F"/>
    <w:multiLevelType w:val="multilevel"/>
    <w:tmpl w:val="7E6C54A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 w15:restartNumberingAfterBreak="0">
    <w:nsid w:val="53FE0AA5"/>
    <w:multiLevelType w:val="hybridMultilevel"/>
    <w:tmpl w:val="2F2AB578"/>
    <w:lvl w:ilvl="0" w:tplc="2E42E39E">
      <w:start w:val="1"/>
      <w:numFmt w:val="decimal"/>
      <w:lvlText w:val="%1."/>
      <w:lvlJc w:val="left"/>
      <w:pPr>
        <w:ind w:left="360" w:hanging="360"/>
      </w:pPr>
      <w:rPr>
        <w:b/>
        <w:bCs/>
        <w:color w:val="000000"/>
      </w:rPr>
    </w:lvl>
    <w:lvl w:ilvl="1" w:tplc="100C0019">
      <w:start w:val="1"/>
      <w:numFmt w:val="lowerLetter"/>
      <w:lvlText w:val="%2."/>
      <w:lvlJc w:val="left"/>
      <w:pPr>
        <w:ind w:left="1080" w:hanging="360"/>
      </w:pPr>
    </w:lvl>
    <w:lvl w:ilvl="2" w:tplc="100C001B">
      <w:start w:val="1"/>
      <w:numFmt w:val="lowerRoman"/>
      <w:lvlText w:val="%3."/>
      <w:lvlJc w:val="right"/>
      <w:pPr>
        <w:ind w:left="1800" w:hanging="180"/>
      </w:pPr>
    </w:lvl>
    <w:lvl w:ilvl="3" w:tplc="100C000F">
      <w:start w:val="1"/>
      <w:numFmt w:val="decimal"/>
      <w:lvlText w:val="%4."/>
      <w:lvlJc w:val="left"/>
      <w:pPr>
        <w:ind w:left="2520" w:hanging="360"/>
      </w:pPr>
    </w:lvl>
    <w:lvl w:ilvl="4" w:tplc="100C0019">
      <w:start w:val="1"/>
      <w:numFmt w:val="lowerLetter"/>
      <w:lvlText w:val="%5."/>
      <w:lvlJc w:val="left"/>
      <w:pPr>
        <w:ind w:left="3240" w:hanging="360"/>
      </w:pPr>
    </w:lvl>
    <w:lvl w:ilvl="5" w:tplc="100C001B">
      <w:start w:val="1"/>
      <w:numFmt w:val="lowerRoman"/>
      <w:lvlText w:val="%6."/>
      <w:lvlJc w:val="right"/>
      <w:pPr>
        <w:ind w:left="3960" w:hanging="180"/>
      </w:pPr>
    </w:lvl>
    <w:lvl w:ilvl="6" w:tplc="100C000F">
      <w:start w:val="1"/>
      <w:numFmt w:val="decimal"/>
      <w:lvlText w:val="%7."/>
      <w:lvlJc w:val="left"/>
      <w:pPr>
        <w:ind w:left="4680" w:hanging="360"/>
      </w:pPr>
    </w:lvl>
    <w:lvl w:ilvl="7" w:tplc="100C0019">
      <w:start w:val="1"/>
      <w:numFmt w:val="lowerLetter"/>
      <w:lvlText w:val="%8."/>
      <w:lvlJc w:val="left"/>
      <w:pPr>
        <w:ind w:left="5400" w:hanging="360"/>
      </w:pPr>
    </w:lvl>
    <w:lvl w:ilvl="8" w:tplc="100C001B">
      <w:start w:val="1"/>
      <w:numFmt w:val="lowerRoman"/>
      <w:lvlText w:val="%9."/>
      <w:lvlJc w:val="right"/>
      <w:pPr>
        <w:ind w:left="6120" w:hanging="180"/>
      </w:pPr>
    </w:lvl>
  </w:abstractNum>
  <w:abstractNum w:abstractNumId="5"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6"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9676EC0"/>
    <w:multiLevelType w:val="hybridMultilevel"/>
    <w:tmpl w:val="74B255E2"/>
    <w:lvl w:ilvl="0" w:tplc="4CA49E0A">
      <w:start w:val="1"/>
      <w:numFmt w:val="lowerLetter"/>
      <w:lvlText w:val="%1)"/>
      <w:lvlJc w:val="left"/>
      <w:pPr>
        <w:ind w:left="1155" w:hanging="360"/>
      </w:pPr>
      <w:rPr>
        <w:rFonts w:hint="default"/>
      </w:rPr>
    </w:lvl>
    <w:lvl w:ilvl="1" w:tplc="0C0A0019" w:tentative="1">
      <w:start w:val="1"/>
      <w:numFmt w:val="lowerLetter"/>
      <w:lvlText w:val="%2."/>
      <w:lvlJc w:val="left"/>
      <w:pPr>
        <w:ind w:left="1875" w:hanging="360"/>
      </w:pPr>
    </w:lvl>
    <w:lvl w:ilvl="2" w:tplc="0C0A001B" w:tentative="1">
      <w:start w:val="1"/>
      <w:numFmt w:val="lowerRoman"/>
      <w:lvlText w:val="%3."/>
      <w:lvlJc w:val="right"/>
      <w:pPr>
        <w:ind w:left="2595" w:hanging="180"/>
      </w:pPr>
    </w:lvl>
    <w:lvl w:ilvl="3" w:tplc="0C0A000F" w:tentative="1">
      <w:start w:val="1"/>
      <w:numFmt w:val="decimal"/>
      <w:lvlText w:val="%4."/>
      <w:lvlJc w:val="left"/>
      <w:pPr>
        <w:ind w:left="3315" w:hanging="360"/>
      </w:pPr>
    </w:lvl>
    <w:lvl w:ilvl="4" w:tplc="0C0A0019" w:tentative="1">
      <w:start w:val="1"/>
      <w:numFmt w:val="lowerLetter"/>
      <w:lvlText w:val="%5."/>
      <w:lvlJc w:val="left"/>
      <w:pPr>
        <w:ind w:left="4035" w:hanging="360"/>
      </w:pPr>
    </w:lvl>
    <w:lvl w:ilvl="5" w:tplc="0C0A001B" w:tentative="1">
      <w:start w:val="1"/>
      <w:numFmt w:val="lowerRoman"/>
      <w:lvlText w:val="%6."/>
      <w:lvlJc w:val="right"/>
      <w:pPr>
        <w:ind w:left="4755" w:hanging="180"/>
      </w:pPr>
    </w:lvl>
    <w:lvl w:ilvl="6" w:tplc="0C0A000F" w:tentative="1">
      <w:start w:val="1"/>
      <w:numFmt w:val="decimal"/>
      <w:lvlText w:val="%7."/>
      <w:lvlJc w:val="left"/>
      <w:pPr>
        <w:ind w:left="5475" w:hanging="360"/>
      </w:pPr>
    </w:lvl>
    <w:lvl w:ilvl="7" w:tplc="0C0A0019" w:tentative="1">
      <w:start w:val="1"/>
      <w:numFmt w:val="lowerLetter"/>
      <w:lvlText w:val="%8."/>
      <w:lvlJc w:val="left"/>
      <w:pPr>
        <w:ind w:left="6195" w:hanging="360"/>
      </w:pPr>
    </w:lvl>
    <w:lvl w:ilvl="8" w:tplc="0C0A001B" w:tentative="1">
      <w:start w:val="1"/>
      <w:numFmt w:val="lowerRoman"/>
      <w:lvlText w:val="%9."/>
      <w:lvlJc w:val="right"/>
      <w:pPr>
        <w:ind w:left="6915" w:hanging="180"/>
      </w:pPr>
    </w:lvl>
  </w:abstractNum>
  <w:abstractNum w:abstractNumId="8"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3"/>
  </w:num>
  <w:num w:numId="2">
    <w:abstractNumId w:val="8"/>
  </w:num>
  <w:num w:numId="3">
    <w:abstractNumId w:val="6"/>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37C"/>
    <w:rsid w:val="00001DCD"/>
    <w:rsid w:val="00002529"/>
    <w:rsid w:val="000036F5"/>
    <w:rsid w:val="000122B4"/>
    <w:rsid w:val="00013210"/>
    <w:rsid w:val="00020245"/>
    <w:rsid w:val="00023391"/>
    <w:rsid w:val="00025CA0"/>
    <w:rsid w:val="0003742F"/>
    <w:rsid w:val="00052B36"/>
    <w:rsid w:val="000607EE"/>
    <w:rsid w:val="00062764"/>
    <w:rsid w:val="0006617C"/>
    <w:rsid w:val="00075682"/>
    <w:rsid w:val="00077878"/>
    <w:rsid w:val="00082F9B"/>
    <w:rsid w:val="00085662"/>
    <w:rsid w:val="000A0F2B"/>
    <w:rsid w:val="000B3480"/>
    <w:rsid w:val="000B72F8"/>
    <w:rsid w:val="000C04A2"/>
    <w:rsid w:val="000C382F"/>
    <w:rsid w:val="000C4CF1"/>
    <w:rsid w:val="000D5B16"/>
    <w:rsid w:val="000E53D0"/>
    <w:rsid w:val="000E58B5"/>
    <w:rsid w:val="000E5CC9"/>
    <w:rsid w:val="00105719"/>
    <w:rsid w:val="001119FF"/>
    <w:rsid w:val="001173CC"/>
    <w:rsid w:val="0012005C"/>
    <w:rsid w:val="00121716"/>
    <w:rsid w:val="00123FA8"/>
    <w:rsid w:val="001255BF"/>
    <w:rsid w:val="00130E65"/>
    <w:rsid w:val="00133025"/>
    <w:rsid w:val="00135E8B"/>
    <w:rsid w:val="00137448"/>
    <w:rsid w:val="00143C4B"/>
    <w:rsid w:val="0014464D"/>
    <w:rsid w:val="00145E28"/>
    <w:rsid w:val="00160DEF"/>
    <w:rsid w:val="001615E8"/>
    <w:rsid w:val="001623E7"/>
    <w:rsid w:val="00162E19"/>
    <w:rsid w:val="00165BC6"/>
    <w:rsid w:val="00170194"/>
    <w:rsid w:val="00173F7D"/>
    <w:rsid w:val="00177447"/>
    <w:rsid w:val="00181E4F"/>
    <w:rsid w:val="00183877"/>
    <w:rsid w:val="001878D5"/>
    <w:rsid w:val="001916DB"/>
    <w:rsid w:val="001979BE"/>
    <w:rsid w:val="001A142C"/>
    <w:rsid w:val="001A1794"/>
    <w:rsid w:val="001A54CC"/>
    <w:rsid w:val="001A5C42"/>
    <w:rsid w:val="001A746E"/>
    <w:rsid w:val="001B4C0E"/>
    <w:rsid w:val="001D0AED"/>
    <w:rsid w:val="001D6184"/>
    <w:rsid w:val="001D675A"/>
    <w:rsid w:val="001F129C"/>
    <w:rsid w:val="001F42BD"/>
    <w:rsid w:val="001F5FFE"/>
    <w:rsid w:val="001F62D1"/>
    <w:rsid w:val="001F6F65"/>
    <w:rsid w:val="00201FCA"/>
    <w:rsid w:val="00202F8C"/>
    <w:rsid w:val="002056AE"/>
    <w:rsid w:val="00210620"/>
    <w:rsid w:val="002148DA"/>
    <w:rsid w:val="00221C52"/>
    <w:rsid w:val="00227B03"/>
    <w:rsid w:val="00235C3D"/>
    <w:rsid w:val="00254BC7"/>
    <w:rsid w:val="00257FB4"/>
    <w:rsid w:val="00272E68"/>
    <w:rsid w:val="00273FC7"/>
    <w:rsid w:val="00280F7D"/>
    <w:rsid w:val="002836A3"/>
    <w:rsid w:val="00286F18"/>
    <w:rsid w:val="00291C9B"/>
    <w:rsid w:val="002953A2"/>
    <w:rsid w:val="002A7632"/>
    <w:rsid w:val="002E40BA"/>
    <w:rsid w:val="002E496E"/>
    <w:rsid w:val="002F2423"/>
    <w:rsid w:val="002F43C8"/>
    <w:rsid w:val="002F5D26"/>
    <w:rsid w:val="00303D62"/>
    <w:rsid w:val="00312B85"/>
    <w:rsid w:val="003259D0"/>
    <w:rsid w:val="00327492"/>
    <w:rsid w:val="003307BD"/>
    <w:rsid w:val="0033276A"/>
    <w:rsid w:val="00335367"/>
    <w:rsid w:val="0033537A"/>
    <w:rsid w:val="00336E98"/>
    <w:rsid w:val="00343BBB"/>
    <w:rsid w:val="003511E6"/>
    <w:rsid w:val="00351BD4"/>
    <w:rsid w:val="0035691D"/>
    <w:rsid w:val="003619E2"/>
    <w:rsid w:val="00361F78"/>
    <w:rsid w:val="00363CB7"/>
    <w:rsid w:val="00370C2D"/>
    <w:rsid w:val="003719AB"/>
    <w:rsid w:val="00383E41"/>
    <w:rsid w:val="003911B2"/>
    <w:rsid w:val="0039367F"/>
    <w:rsid w:val="0039410E"/>
    <w:rsid w:val="0039617E"/>
    <w:rsid w:val="00397ACC"/>
    <w:rsid w:val="003A6540"/>
    <w:rsid w:val="003B2CB4"/>
    <w:rsid w:val="003B614B"/>
    <w:rsid w:val="003C0C8B"/>
    <w:rsid w:val="003C22FB"/>
    <w:rsid w:val="003C317C"/>
    <w:rsid w:val="003C6462"/>
    <w:rsid w:val="003D1011"/>
    <w:rsid w:val="003D1E8D"/>
    <w:rsid w:val="003D673B"/>
    <w:rsid w:val="003E0C83"/>
    <w:rsid w:val="003E2DDD"/>
    <w:rsid w:val="003F05C4"/>
    <w:rsid w:val="003F11AA"/>
    <w:rsid w:val="003F2855"/>
    <w:rsid w:val="003F39E0"/>
    <w:rsid w:val="00400C94"/>
    <w:rsid w:val="00400F22"/>
    <w:rsid w:val="00401C20"/>
    <w:rsid w:val="004103FC"/>
    <w:rsid w:val="00414DB3"/>
    <w:rsid w:val="00421284"/>
    <w:rsid w:val="00425844"/>
    <w:rsid w:val="0042753C"/>
    <w:rsid w:val="00437D85"/>
    <w:rsid w:val="004417AA"/>
    <w:rsid w:val="00441EE2"/>
    <w:rsid w:val="004613FA"/>
    <w:rsid w:val="004633E4"/>
    <w:rsid w:val="00464D3A"/>
    <w:rsid w:val="00470D76"/>
    <w:rsid w:val="00471864"/>
    <w:rsid w:val="00471A42"/>
    <w:rsid w:val="00475FB3"/>
    <w:rsid w:val="0047693A"/>
    <w:rsid w:val="00482EE0"/>
    <w:rsid w:val="00485485"/>
    <w:rsid w:val="004859CA"/>
    <w:rsid w:val="00495A68"/>
    <w:rsid w:val="004A7957"/>
    <w:rsid w:val="004A7DD5"/>
    <w:rsid w:val="004B2597"/>
    <w:rsid w:val="004B7252"/>
    <w:rsid w:val="004C01EE"/>
    <w:rsid w:val="004C4144"/>
    <w:rsid w:val="004D5073"/>
    <w:rsid w:val="004D6B4C"/>
    <w:rsid w:val="004E23D9"/>
    <w:rsid w:val="004E3987"/>
    <w:rsid w:val="004E62B3"/>
    <w:rsid w:val="004F2479"/>
    <w:rsid w:val="004F518C"/>
    <w:rsid w:val="005012B2"/>
    <w:rsid w:val="0053228D"/>
    <w:rsid w:val="00537D70"/>
    <w:rsid w:val="0055120E"/>
    <w:rsid w:val="005553F4"/>
    <w:rsid w:val="00560F77"/>
    <w:rsid w:val="00565D71"/>
    <w:rsid w:val="0057142E"/>
    <w:rsid w:val="00581C9B"/>
    <w:rsid w:val="005B3171"/>
    <w:rsid w:val="005C4FB3"/>
    <w:rsid w:val="005F0436"/>
    <w:rsid w:val="005F2208"/>
    <w:rsid w:val="00601314"/>
    <w:rsid w:val="00613367"/>
    <w:rsid w:val="0062151E"/>
    <w:rsid w:val="00621901"/>
    <w:rsid w:val="00630A23"/>
    <w:rsid w:val="00642E16"/>
    <w:rsid w:val="006529C9"/>
    <w:rsid w:val="00655A05"/>
    <w:rsid w:val="00657CA9"/>
    <w:rsid w:val="0066101C"/>
    <w:rsid w:val="00664ABC"/>
    <w:rsid w:val="00667B26"/>
    <w:rsid w:val="00694B7A"/>
    <w:rsid w:val="006969B4"/>
    <w:rsid w:val="006A4F9F"/>
    <w:rsid w:val="006A6685"/>
    <w:rsid w:val="006B00AE"/>
    <w:rsid w:val="006B2E71"/>
    <w:rsid w:val="006C108B"/>
    <w:rsid w:val="006C25C2"/>
    <w:rsid w:val="006D0C77"/>
    <w:rsid w:val="006D2785"/>
    <w:rsid w:val="006D675D"/>
    <w:rsid w:val="006D7DB2"/>
    <w:rsid w:val="006E354B"/>
    <w:rsid w:val="006E4F7B"/>
    <w:rsid w:val="006F02F6"/>
    <w:rsid w:val="006F105A"/>
    <w:rsid w:val="007021CA"/>
    <w:rsid w:val="00702FD9"/>
    <w:rsid w:val="00710874"/>
    <w:rsid w:val="007170AA"/>
    <w:rsid w:val="00720355"/>
    <w:rsid w:val="00736CC4"/>
    <w:rsid w:val="007414DF"/>
    <w:rsid w:val="00762DF7"/>
    <w:rsid w:val="00766AE0"/>
    <w:rsid w:val="00780A79"/>
    <w:rsid w:val="00781E2A"/>
    <w:rsid w:val="00791EEC"/>
    <w:rsid w:val="007933A2"/>
    <w:rsid w:val="007A0158"/>
    <w:rsid w:val="007A5E55"/>
    <w:rsid w:val="007C4B95"/>
    <w:rsid w:val="007C7338"/>
    <w:rsid w:val="007D07CF"/>
    <w:rsid w:val="007E1FEF"/>
    <w:rsid w:val="007E6983"/>
    <w:rsid w:val="007F0AB0"/>
    <w:rsid w:val="007F4A08"/>
    <w:rsid w:val="00801C52"/>
    <w:rsid w:val="00803651"/>
    <w:rsid w:val="00811DE7"/>
    <w:rsid w:val="00814503"/>
    <w:rsid w:val="0082546A"/>
    <w:rsid w:val="008258C2"/>
    <w:rsid w:val="00832176"/>
    <w:rsid w:val="008338D0"/>
    <w:rsid w:val="00836E55"/>
    <w:rsid w:val="008439E3"/>
    <w:rsid w:val="008505BD"/>
    <w:rsid w:val="00850C78"/>
    <w:rsid w:val="00852678"/>
    <w:rsid w:val="00855E3A"/>
    <w:rsid w:val="008706CC"/>
    <w:rsid w:val="00875B81"/>
    <w:rsid w:val="00884D12"/>
    <w:rsid w:val="008A5CFA"/>
    <w:rsid w:val="008A6F41"/>
    <w:rsid w:val="008A746D"/>
    <w:rsid w:val="008C17AD"/>
    <w:rsid w:val="008D02CD"/>
    <w:rsid w:val="008D1640"/>
    <w:rsid w:val="008D45CC"/>
    <w:rsid w:val="008D79FC"/>
    <w:rsid w:val="008F0DC6"/>
    <w:rsid w:val="008F5204"/>
    <w:rsid w:val="00900460"/>
    <w:rsid w:val="00900CD0"/>
    <w:rsid w:val="0090137A"/>
    <w:rsid w:val="00902729"/>
    <w:rsid w:val="009033A6"/>
    <w:rsid w:val="00907021"/>
    <w:rsid w:val="00914381"/>
    <w:rsid w:val="00917D14"/>
    <w:rsid w:val="00920AAB"/>
    <w:rsid w:val="00921413"/>
    <w:rsid w:val="0092348E"/>
    <w:rsid w:val="0093316C"/>
    <w:rsid w:val="0094637C"/>
    <w:rsid w:val="0095022E"/>
    <w:rsid w:val="0095172A"/>
    <w:rsid w:val="00963BBE"/>
    <w:rsid w:val="00965D9D"/>
    <w:rsid w:val="009663AC"/>
    <w:rsid w:val="009675B7"/>
    <w:rsid w:val="00972269"/>
    <w:rsid w:val="00973CF1"/>
    <w:rsid w:val="0097405D"/>
    <w:rsid w:val="009809E6"/>
    <w:rsid w:val="00981644"/>
    <w:rsid w:val="009824A1"/>
    <w:rsid w:val="009847FD"/>
    <w:rsid w:val="00993D80"/>
    <w:rsid w:val="0099501F"/>
    <w:rsid w:val="0099524A"/>
    <w:rsid w:val="009954D0"/>
    <w:rsid w:val="009A0BA0"/>
    <w:rsid w:val="009A2A7A"/>
    <w:rsid w:val="009A2BC7"/>
    <w:rsid w:val="009A6231"/>
    <w:rsid w:val="009B2658"/>
    <w:rsid w:val="009B49CF"/>
    <w:rsid w:val="009C03C7"/>
    <w:rsid w:val="009D04B8"/>
    <w:rsid w:val="009D0BB1"/>
    <w:rsid w:val="009D1D74"/>
    <w:rsid w:val="009E2537"/>
    <w:rsid w:val="009E2D48"/>
    <w:rsid w:val="009E696D"/>
    <w:rsid w:val="00A04AC7"/>
    <w:rsid w:val="00A13E7C"/>
    <w:rsid w:val="00A219C3"/>
    <w:rsid w:val="00A34909"/>
    <w:rsid w:val="00A42768"/>
    <w:rsid w:val="00A5057D"/>
    <w:rsid w:val="00A50BBE"/>
    <w:rsid w:val="00A51539"/>
    <w:rsid w:val="00A54E47"/>
    <w:rsid w:val="00A71AAD"/>
    <w:rsid w:val="00A71D8D"/>
    <w:rsid w:val="00A80057"/>
    <w:rsid w:val="00A81225"/>
    <w:rsid w:val="00A8772F"/>
    <w:rsid w:val="00A93E3B"/>
    <w:rsid w:val="00A9575B"/>
    <w:rsid w:val="00AA2457"/>
    <w:rsid w:val="00AA2A50"/>
    <w:rsid w:val="00AB46A6"/>
    <w:rsid w:val="00AB6E3A"/>
    <w:rsid w:val="00AC01D3"/>
    <w:rsid w:val="00AC16C0"/>
    <w:rsid w:val="00AD4265"/>
    <w:rsid w:val="00AD5E5B"/>
    <w:rsid w:val="00AE4724"/>
    <w:rsid w:val="00AE7093"/>
    <w:rsid w:val="00AF6A9C"/>
    <w:rsid w:val="00B00651"/>
    <w:rsid w:val="00B016EB"/>
    <w:rsid w:val="00B03257"/>
    <w:rsid w:val="00B06DF3"/>
    <w:rsid w:val="00B13033"/>
    <w:rsid w:val="00B14BE9"/>
    <w:rsid w:val="00B20D1D"/>
    <w:rsid w:val="00B211AC"/>
    <w:rsid w:val="00B24670"/>
    <w:rsid w:val="00B3101B"/>
    <w:rsid w:val="00B35DD5"/>
    <w:rsid w:val="00B422BC"/>
    <w:rsid w:val="00B43F77"/>
    <w:rsid w:val="00B45C90"/>
    <w:rsid w:val="00B50B0E"/>
    <w:rsid w:val="00B543B5"/>
    <w:rsid w:val="00B55A3E"/>
    <w:rsid w:val="00B702EB"/>
    <w:rsid w:val="00B75873"/>
    <w:rsid w:val="00B80E33"/>
    <w:rsid w:val="00B82F7D"/>
    <w:rsid w:val="00B87E9E"/>
    <w:rsid w:val="00B903B7"/>
    <w:rsid w:val="00B95F0A"/>
    <w:rsid w:val="00B96180"/>
    <w:rsid w:val="00BA023E"/>
    <w:rsid w:val="00BA0AF1"/>
    <w:rsid w:val="00BA3874"/>
    <w:rsid w:val="00BA4486"/>
    <w:rsid w:val="00BA7C5A"/>
    <w:rsid w:val="00BB474E"/>
    <w:rsid w:val="00BC0071"/>
    <w:rsid w:val="00BC03A2"/>
    <w:rsid w:val="00BC776A"/>
    <w:rsid w:val="00BD02AE"/>
    <w:rsid w:val="00BD337A"/>
    <w:rsid w:val="00BD7629"/>
    <w:rsid w:val="00BE2C3F"/>
    <w:rsid w:val="00BE609D"/>
    <w:rsid w:val="00C005D2"/>
    <w:rsid w:val="00C03710"/>
    <w:rsid w:val="00C116FE"/>
    <w:rsid w:val="00C17AC0"/>
    <w:rsid w:val="00C20E01"/>
    <w:rsid w:val="00C23378"/>
    <w:rsid w:val="00C236E1"/>
    <w:rsid w:val="00C30777"/>
    <w:rsid w:val="00C30AEF"/>
    <w:rsid w:val="00C34772"/>
    <w:rsid w:val="00C373CA"/>
    <w:rsid w:val="00C47C70"/>
    <w:rsid w:val="00C5465A"/>
    <w:rsid w:val="00C57F94"/>
    <w:rsid w:val="00C711E0"/>
    <w:rsid w:val="00C932B9"/>
    <w:rsid w:val="00C93935"/>
    <w:rsid w:val="00C95D1D"/>
    <w:rsid w:val="00C96918"/>
    <w:rsid w:val="00CA216D"/>
    <w:rsid w:val="00CA4DAA"/>
    <w:rsid w:val="00CA53F6"/>
    <w:rsid w:val="00CA6894"/>
    <w:rsid w:val="00CB1E52"/>
    <w:rsid w:val="00CB2D9F"/>
    <w:rsid w:val="00CB3135"/>
    <w:rsid w:val="00CB40CB"/>
    <w:rsid w:val="00CB4E9C"/>
    <w:rsid w:val="00CB7CC6"/>
    <w:rsid w:val="00CC07F0"/>
    <w:rsid w:val="00CC5ACE"/>
    <w:rsid w:val="00CC6AEE"/>
    <w:rsid w:val="00CD41C6"/>
    <w:rsid w:val="00CD4F79"/>
    <w:rsid w:val="00CE0E1D"/>
    <w:rsid w:val="00CF2A28"/>
    <w:rsid w:val="00D00452"/>
    <w:rsid w:val="00D15714"/>
    <w:rsid w:val="00D17CDB"/>
    <w:rsid w:val="00D203C6"/>
    <w:rsid w:val="00D23771"/>
    <w:rsid w:val="00D400E6"/>
    <w:rsid w:val="00D47A3D"/>
    <w:rsid w:val="00D47D03"/>
    <w:rsid w:val="00D506C8"/>
    <w:rsid w:val="00D51593"/>
    <w:rsid w:val="00D54642"/>
    <w:rsid w:val="00D54BF4"/>
    <w:rsid w:val="00D66E2C"/>
    <w:rsid w:val="00D7517D"/>
    <w:rsid w:val="00D8215D"/>
    <w:rsid w:val="00D90011"/>
    <w:rsid w:val="00DA387A"/>
    <w:rsid w:val="00DC4421"/>
    <w:rsid w:val="00DD2EE7"/>
    <w:rsid w:val="00DD77C9"/>
    <w:rsid w:val="00DF28AF"/>
    <w:rsid w:val="00DF3538"/>
    <w:rsid w:val="00DF7D57"/>
    <w:rsid w:val="00E005F5"/>
    <w:rsid w:val="00E03A39"/>
    <w:rsid w:val="00E05AA1"/>
    <w:rsid w:val="00E16500"/>
    <w:rsid w:val="00E20878"/>
    <w:rsid w:val="00E20D62"/>
    <w:rsid w:val="00E3747D"/>
    <w:rsid w:val="00E43FB1"/>
    <w:rsid w:val="00E5102C"/>
    <w:rsid w:val="00E653EA"/>
    <w:rsid w:val="00E66013"/>
    <w:rsid w:val="00E66D05"/>
    <w:rsid w:val="00E7319E"/>
    <w:rsid w:val="00E734C3"/>
    <w:rsid w:val="00E73935"/>
    <w:rsid w:val="00E76886"/>
    <w:rsid w:val="00E839B0"/>
    <w:rsid w:val="00E9165A"/>
    <w:rsid w:val="00E92C09"/>
    <w:rsid w:val="00EA0E30"/>
    <w:rsid w:val="00EB23E3"/>
    <w:rsid w:val="00EB4096"/>
    <w:rsid w:val="00EB52F4"/>
    <w:rsid w:val="00EC4D0A"/>
    <w:rsid w:val="00EC725E"/>
    <w:rsid w:val="00ED03F0"/>
    <w:rsid w:val="00ED2FC9"/>
    <w:rsid w:val="00EE3FF4"/>
    <w:rsid w:val="00EF0329"/>
    <w:rsid w:val="00EF4AA6"/>
    <w:rsid w:val="00EF6CD1"/>
    <w:rsid w:val="00F030E6"/>
    <w:rsid w:val="00F14380"/>
    <w:rsid w:val="00F17DDE"/>
    <w:rsid w:val="00F31E73"/>
    <w:rsid w:val="00F32914"/>
    <w:rsid w:val="00F40A2B"/>
    <w:rsid w:val="00F4166E"/>
    <w:rsid w:val="00F43A6B"/>
    <w:rsid w:val="00F46168"/>
    <w:rsid w:val="00F625B8"/>
    <w:rsid w:val="00F635CF"/>
    <w:rsid w:val="00F6461F"/>
    <w:rsid w:val="00F77234"/>
    <w:rsid w:val="00F95FD4"/>
    <w:rsid w:val="00FA0C99"/>
    <w:rsid w:val="00FA2F02"/>
    <w:rsid w:val="00FA43D7"/>
    <w:rsid w:val="00FA7CAD"/>
    <w:rsid w:val="00FB29F5"/>
    <w:rsid w:val="00FB4D79"/>
    <w:rsid w:val="00FC21A2"/>
    <w:rsid w:val="00FC7477"/>
    <w:rsid w:val="00FD2B2D"/>
    <w:rsid w:val="00FE5CFA"/>
    <w:rsid w:val="00FF3227"/>
    <w:rsid w:val="00FF5165"/>
    <w:rsid w:val="00FF5F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3D78996B"/>
  <w15:docId w15:val="{9EA14A23-8B03-4BB4-BBF3-9066FAAF6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aliases w:val="fo,pie de página"/>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qFormat/>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aliases w:val="fo Char,pie de página Char"/>
    <w:link w:val="Footer"/>
    <w:uiPriority w:val="99"/>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NormalWeb">
    <w:name w:val="Normal (Web)"/>
    <w:basedOn w:val="Normal"/>
    <w:uiPriority w:val="99"/>
    <w:rsid w:val="0094637C"/>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ListParagraph">
    <w:name w:val="List Paragraph"/>
    <w:basedOn w:val="Normal"/>
    <w:uiPriority w:val="34"/>
    <w:qFormat/>
    <w:rsid w:val="008A5CFA"/>
    <w:pPr>
      <w:tabs>
        <w:tab w:val="clear" w:pos="794"/>
        <w:tab w:val="clear" w:pos="1191"/>
        <w:tab w:val="clear" w:pos="1588"/>
        <w:tab w:val="clear" w:pos="1985"/>
        <w:tab w:val="left" w:pos="1134"/>
        <w:tab w:val="left" w:pos="1871"/>
        <w:tab w:val="left" w:pos="2268"/>
      </w:tabs>
      <w:ind w:left="720"/>
      <w:contextualSpacing/>
    </w:pPr>
    <w:rPr>
      <w:lang w:val="en-GB"/>
    </w:rPr>
  </w:style>
  <w:style w:type="paragraph" w:customStyle="1" w:styleId="Reasons">
    <w:name w:val="Reasons"/>
    <w:basedOn w:val="Normal"/>
    <w:qFormat/>
    <w:rsid w:val="008A5CF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styleId="BalloonText">
    <w:name w:val="Balloon Text"/>
    <w:basedOn w:val="Normal"/>
    <w:link w:val="BalloonTextChar"/>
    <w:semiHidden/>
    <w:unhideWhenUsed/>
    <w:rsid w:val="0062151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62151E"/>
    <w:rPr>
      <w:rFonts w:ascii="Tahoma" w:hAnsi="Tahoma" w:cs="Tahoma"/>
      <w:sz w:val="16"/>
      <w:szCs w:val="16"/>
      <w:lang w:val="es-ES_tradnl" w:eastAsia="en-US"/>
    </w:rPr>
  </w:style>
  <w:style w:type="character" w:styleId="Strong">
    <w:name w:val="Strong"/>
    <w:basedOn w:val="DefaultParagraphFont"/>
    <w:uiPriority w:val="22"/>
    <w:qFormat/>
    <w:rsid w:val="004D6B4C"/>
    <w:rPr>
      <w:b/>
      <w:bCs/>
    </w:rPr>
  </w:style>
  <w:style w:type="paragraph" w:styleId="Revision">
    <w:name w:val="Revision"/>
    <w:hidden/>
    <w:uiPriority w:val="99"/>
    <w:semiHidden/>
    <w:rsid w:val="00E20878"/>
    <w:rPr>
      <w:rFonts w:asciiTheme="minorHAnsi" w:hAnsiTheme="minorHAnsi"/>
      <w:sz w:val="24"/>
      <w:lang w:val="es-ES_tradnl" w:eastAsia="en-US"/>
    </w:rPr>
  </w:style>
  <w:style w:type="paragraph" w:styleId="BodyText0">
    <w:name w:val="Body Text"/>
    <w:basedOn w:val="Normal"/>
    <w:link w:val="BodyTextChar"/>
    <w:unhideWhenUsed/>
    <w:rsid w:val="00E43FB1"/>
    <w:pPr>
      <w:tabs>
        <w:tab w:val="clear" w:pos="794"/>
        <w:tab w:val="clear" w:pos="1191"/>
        <w:tab w:val="clear" w:pos="1588"/>
        <w:tab w:val="clear" w:pos="1985"/>
        <w:tab w:val="left" w:pos="1134"/>
        <w:tab w:val="left" w:pos="1871"/>
        <w:tab w:val="left" w:pos="2268"/>
      </w:tabs>
      <w:spacing w:after="120"/>
    </w:pPr>
    <w:rPr>
      <w:lang w:val="en-GB"/>
    </w:rPr>
  </w:style>
  <w:style w:type="character" w:customStyle="1" w:styleId="BodyTextChar">
    <w:name w:val="Body Text Char"/>
    <w:basedOn w:val="DefaultParagraphFont"/>
    <w:link w:val="BodyText0"/>
    <w:rsid w:val="00E43FB1"/>
    <w:rPr>
      <w:rFonts w:asciiTheme="minorHAnsi" w:hAnsiTheme="minorHAnsi"/>
      <w:sz w:val="24"/>
      <w:lang w:val="en-GB" w:eastAsia="en-US"/>
    </w:rPr>
  </w:style>
  <w:style w:type="paragraph" w:styleId="PlainText">
    <w:name w:val="Plain Text"/>
    <w:basedOn w:val="Normal"/>
    <w:link w:val="PlainTextChar"/>
    <w:uiPriority w:val="99"/>
    <w:rsid w:val="00E43FB1"/>
    <w:pPr>
      <w:widowControl w:val="0"/>
      <w:tabs>
        <w:tab w:val="clear" w:pos="794"/>
        <w:tab w:val="clear" w:pos="1191"/>
        <w:tab w:val="clear" w:pos="1588"/>
        <w:tab w:val="clear" w:pos="1985"/>
      </w:tabs>
      <w:overflowPunct/>
      <w:autoSpaceDE/>
      <w:autoSpaceDN/>
      <w:adjustRightInd/>
      <w:spacing w:before="0"/>
      <w:textAlignment w:val="auto"/>
    </w:pPr>
    <w:rPr>
      <w:rFonts w:ascii="Times New Roman" w:eastAsia="BatangChe" w:hAnsi="Times New Roman"/>
      <w:sz w:val="22"/>
      <w:lang w:val="en-US" w:eastAsia="ko-KR"/>
    </w:rPr>
  </w:style>
  <w:style w:type="character" w:customStyle="1" w:styleId="PlainTextChar">
    <w:name w:val="Plain Text Char"/>
    <w:basedOn w:val="DefaultParagraphFont"/>
    <w:link w:val="PlainText"/>
    <w:uiPriority w:val="99"/>
    <w:rsid w:val="00E43FB1"/>
    <w:rPr>
      <w:rFonts w:ascii="Times New Roman" w:eastAsia="BatangChe" w:hAnsi="Times New Roman"/>
      <w:sz w:val="22"/>
      <w:lang w:eastAsia="ko-KR"/>
    </w:rPr>
  </w:style>
  <w:style w:type="paragraph" w:customStyle="1" w:styleId="FP">
    <w:name w:val="FP"/>
    <w:rsid w:val="00E43FB1"/>
    <w:pPr>
      <w:widowControl w:val="0"/>
      <w:spacing w:line="240" w:lineRule="atLeast"/>
    </w:pPr>
    <w:rPr>
      <w:rFonts w:ascii="Arial" w:eastAsia="MS Mincho" w:hAnsi="Arial"/>
      <w:lang w:eastAsia="en-US"/>
    </w:rPr>
  </w:style>
  <w:style w:type="paragraph" w:customStyle="1" w:styleId="Annextitle0">
    <w:name w:val="Annex_title"/>
    <w:basedOn w:val="Normal"/>
    <w:next w:val="Normal"/>
    <w:rsid w:val="00A219C3"/>
    <w:pPr>
      <w:keepNext/>
      <w:keepLines/>
      <w:spacing w:before="240" w:after="280"/>
      <w:jc w:val="center"/>
    </w:pPr>
    <w:rPr>
      <w:rFonts w:ascii="Calibri" w:hAnsi="Calibri"/>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sbdir@itu.in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p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md/T17-SG11-R-0015/es" TargetMode="External"/><Relationship Id="rId4" Type="http://schemas.openxmlformats.org/officeDocument/2006/relationships/settings" Target="settings.xml"/><Relationship Id="rId9" Type="http://schemas.openxmlformats.org/officeDocument/2006/relationships/hyperlink" Target="mailto:tsbsg11@itu.in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TSBCIRC1-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26653-2A07-4379-9DDD-9168610D6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PS_TSBCIRC1-S.dotx</Template>
  <TotalTime>23</TotalTime>
  <Pages>4</Pages>
  <Words>997</Words>
  <Characters>5561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6545</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FHernández</dc:creator>
  <dc:description>105S.DOCX  For: _x000d_Document date: _x000d_Saved by ITU51010703 at 16:16:28 on 21/09/2018</dc:description>
  <cp:lastModifiedBy>Osvath, Alexandra</cp:lastModifiedBy>
  <cp:revision>18</cp:revision>
  <cp:lastPrinted>2018-09-13T14:49:00Z</cp:lastPrinted>
  <dcterms:created xsi:type="dcterms:W3CDTF">2018-09-13T14:39:00Z</dcterms:created>
  <dcterms:modified xsi:type="dcterms:W3CDTF">2018-09-26T15:00:00Z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105S.DOCX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