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11"/>
        <w:tblW w:w="9639" w:type="dxa"/>
        <w:tblLayout w:type="fixed"/>
        <w:tblCellMar>
          <w:left w:w="0" w:type="dxa"/>
          <w:right w:w="0" w:type="dxa"/>
        </w:tblCellMar>
        <w:tblLook w:val="0000" w:firstRow="0" w:lastRow="0" w:firstColumn="0" w:lastColumn="0" w:noHBand="0" w:noVBand="0"/>
      </w:tblPr>
      <w:tblGrid>
        <w:gridCol w:w="1418"/>
        <w:gridCol w:w="8221"/>
      </w:tblGrid>
      <w:tr w:rsidR="00E35B5E" w:rsidRPr="00BC6AA3" w:rsidTr="00E35B5E">
        <w:trPr>
          <w:cantSplit/>
        </w:trPr>
        <w:tc>
          <w:tcPr>
            <w:tcW w:w="1418" w:type="dxa"/>
            <w:vAlign w:val="center"/>
          </w:tcPr>
          <w:p w:rsidR="00E35B5E" w:rsidRPr="0068388E" w:rsidRDefault="00E35B5E" w:rsidP="007656D7">
            <w:pPr>
              <w:tabs>
                <w:tab w:val="right" w:pos="8732"/>
              </w:tabs>
              <w:spacing w:before="0"/>
              <w:jc w:val="center"/>
              <w:rPr>
                <w:rFonts w:ascii="Verdana" w:hAnsi="Verdana"/>
                <w:b/>
                <w:bCs/>
                <w:iCs/>
                <w:color w:val="FFFFFF"/>
                <w:sz w:val="26"/>
                <w:szCs w:val="26"/>
                <w:lang w:val="ru-RU"/>
              </w:rPr>
            </w:pPr>
            <w:bookmarkStart w:id="0" w:name="ditulogo"/>
            <w:bookmarkEnd w:id="0"/>
            <w:r w:rsidRPr="0068388E">
              <w:rPr>
                <w:noProof/>
                <w:lang w:val="en-GB" w:eastAsia="zh-CN"/>
              </w:rPr>
              <w:drawing>
                <wp:inline distT="0" distB="0" distL="0" distR="0" wp14:anchorId="4854B7F8" wp14:editId="75227E8E">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8221" w:type="dxa"/>
            <w:vAlign w:val="center"/>
          </w:tcPr>
          <w:p w:rsidR="00E35B5E" w:rsidRPr="0068388E" w:rsidRDefault="00E35B5E" w:rsidP="007656D7">
            <w:pPr>
              <w:spacing w:before="0"/>
              <w:rPr>
                <w:rFonts w:cs="Times New Roman Bold"/>
                <w:b/>
                <w:bCs/>
                <w:iCs/>
                <w:smallCaps/>
                <w:sz w:val="32"/>
                <w:szCs w:val="32"/>
                <w:lang w:val="ru-RU"/>
              </w:rPr>
            </w:pPr>
            <w:r w:rsidRPr="0068388E">
              <w:rPr>
                <w:rFonts w:cs="Times New Roman Bold"/>
                <w:b/>
                <w:bCs/>
                <w:iCs/>
                <w:smallCaps/>
                <w:sz w:val="32"/>
                <w:szCs w:val="32"/>
                <w:lang w:val="ru-RU"/>
              </w:rPr>
              <w:t>Международный союз электросвязи</w:t>
            </w:r>
          </w:p>
          <w:p w:rsidR="00E35B5E" w:rsidRPr="0068388E" w:rsidRDefault="00E35B5E" w:rsidP="007656D7">
            <w:pPr>
              <w:tabs>
                <w:tab w:val="right" w:pos="8732"/>
              </w:tabs>
              <w:rPr>
                <w:rFonts w:ascii="Verdana" w:hAnsi="Verdana"/>
                <w:b/>
                <w:bCs/>
                <w:iCs/>
                <w:color w:val="FFFFFF"/>
                <w:sz w:val="26"/>
                <w:szCs w:val="26"/>
                <w:lang w:val="ru-RU"/>
              </w:rPr>
            </w:pPr>
            <w:r w:rsidRPr="0068388E">
              <w:rPr>
                <w:rFonts w:cs="Times New Roman Bold"/>
                <w:b/>
                <w:bCs/>
                <w:iCs/>
                <w:smallCaps/>
                <w:sz w:val="26"/>
                <w:szCs w:val="26"/>
                <w:lang w:val="ru-RU"/>
              </w:rPr>
              <w:t>Бюро стандартизации электросвязи</w:t>
            </w:r>
          </w:p>
        </w:tc>
      </w:tr>
    </w:tbl>
    <w:p w:rsidR="00514426" w:rsidRPr="0068388E" w:rsidRDefault="009C2978" w:rsidP="007802E4">
      <w:pPr>
        <w:tabs>
          <w:tab w:val="clear" w:pos="794"/>
          <w:tab w:val="clear" w:pos="1191"/>
          <w:tab w:val="clear" w:pos="1588"/>
          <w:tab w:val="clear" w:pos="1985"/>
          <w:tab w:val="left" w:pos="5387"/>
        </w:tabs>
        <w:spacing w:before="480" w:after="480"/>
        <w:jc w:val="left"/>
        <w:rPr>
          <w:lang w:val="ru-RU"/>
        </w:rPr>
      </w:pPr>
      <w:r w:rsidRPr="0068388E">
        <w:rPr>
          <w:lang w:val="ru-RU"/>
        </w:rPr>
        <w:tab/>
      </w:r>
      <w:r w:rsidR="00514426" w:rsidRPr="0068388E">
        <w:rPr>
          <w:lang w:val="ru-RU"/>
        </w:rPr>
        <w:t>Женева,</w:t>
      </w:r>
      <w:r w:rsidRPr="0068388E">
        <w:rPr>
          <w:lang w:val="ru-RU"/>
        </w:rPr>
        <w:t xml:space="preserve"> </w:t>
      </w:r>
      <w:r w:rsidR="003A15AE" w:rsidRPr="0068388E">
        <w:rPr>
          <w:lang w:val="ru-RU"/>
        </w:rPr>
        <w:t>5 сентября 2018</w:t>
      </w:r>
      <w:r w:rsidR="00826959" w:rsidRPr="0068388E">
        <w:rPr>
          <w:lang w:val="ru-RU"/>
        </w:rPr>
        <w:t xml:space="preserve"> года</w:t>
      </w:r>
    </w:p>
    <w:tbl>
      <w:tblPr>
        <w:tblW w:w="9729" w:type="dxa"/>
        <w:tblCellMar>
          <w:left w:w="0" w:type="dxa"/>
          <w:right w:w="0" w:type="dxa"/>
        </w:tblCellMar>
        <w:tblLook w:val="0000" w:firstRow="0" w:lastRow="0" w:firstColumn="0" w:lastColumn="0" w:noHBand="0" w:noVBand="0"/>
      </w:tblPr>
      <w:tblGrid>
        <w:gridCol w:w="1560"/>
        <w:gridCol w:w="3847"/>
        <w:gridCol w:w="4322"/>
      </w:tblGrid>
      <w:tr w:rsidR="008F6ADB" w:rsidRPr="00BC6AA3" w:rsidTr="008F6ADB">
        <w:trPr>
          <w:cantSplit/>
          <w:trHeight w:val="720"/>
        </w:trPr>
        <w:tc>
          <w:tcPr>
            <w:tcW w:w="1560" w:type="dxa"/>
          </w:tcPr>
          <w:p w:rsidR="008F6ADB" w:rsidRPr="0068388E" w:rsidRDefault="008F6ADB" w:rsidP="007656D7">
            <w:pPr>
              <w:spacing w:before="0"/>
              <w:jc w:val="left"/>
              <w:rPr>
                <w:lang w:val="ru-RU"/>
              </w:rPr>
            </w:pPr>
            <w:r w:rsidRPr="0068388E">
              <w:rPr>
                <w:lang w:val="ru-RU"/>
              </w:rPr>
              <w:t>Осн.:</w:t>
            </w:r>
          </w:p>
        </w:tc>
        <w:tc>
          <w:tcPr>
            <w:tcW w:w="3847" w:type="dxa"/>
          </w:tcPr>
          <w:p w:rsidR="008F6ADB" w:rsidRPr="0068388E" w:rsidRDefault="008F6ADB" w:rsidP="003A15AE">
            <w:pPr>
              <w:spacing w:before="0"/>
              <w:jc w:val="left"/>
              <w:rPr>
                <w:lang w:val="ru-RU"/>
              </w:rPr>
            </w:pPr>
            <w:r w:rsidRPr="0068388E">
              <w:rPr>
                <w:b/>
                <w:bCs/>
                <w:lang w:val="ru-RU"/>
              </w:rPr>
              <w:t xml:space="preserve">Циркуляр </w:t>
            </w:r>
            <w:r w:rsidR="003A15AE" w:rsidRPr="0068388E">
              <w:rPr>
                <w:b/>
                <w:bCs/>
                <w:lang w:val="ru-RU"/>
              </w:rPr>
              <w:t>111</w:t>
            </w:r>
            <w:r w:rsidRPr="0068388E">
              <w:rPr>
                <w:b/>
                <w:bCs/>
                <w:lang w:val="ru-RU"/>
              </w:rPr>
              <w:t xml:space="preserve"> БСЭ</w:t>
            </w:r>
            <w:r w:rsidRPr="0068388E">
              <w:rPr>
                <w:b/>
                <w:bCs/>
                <w:lang w:val="ru-RU"/>
              </w:rPr>
              <w:br/>
            </w:r>
            <w:r w:rsidR="00A6146E" w:rsidRPr="0068388E">
              <w:rPr>
                <w:lang w:val="ru-RU"/>
              </w:rPr>
              <w:t>TSB Events/</w:t>
            </w:r>
            <w:r w:rsidR="003A15AE" w:rsidRPr="0068388E">
              <w:rPr>
                <w:lang w:val="ru-RU"/>
              </w:rPr>
              <w:t>M</w:t>
            </w:r>
            <w:r w:rsidR="00A6146E" w:rsidRPr="0068388E">
              <w:rPr>
                <w:lang w:val="ru-RU"/>
              </w:rPr>
              <w:t>A</w:t>
            </w:r>
          </w:p>
          <w:p w:rsidR="008F6ADB" w:rsidRPr="0068388E" w:rsidRDefault="008F6ADB" w:rsidP="007656D7">
            <w:pPr>
              <w:spacing w:before="0"/>
              <w:jc w:val="left"/>
              <w:rPr>
                <w:lang w:val="ru-RU"/>
              </w:rPr>
            </w:pPr>
          </w:p>
        </w:tc>
        <w:tc>
          <w:tcPr>
            <w:tcW w:w="4322" w:type="dxa"/>
            <w:vMerge w:val="restart"/>
          </w:tcPr>
          <w:p w:rsidR="008F6ADB" w:rsidRPr="0068388E" w:rsidRDefault="008F6ADB" w:rsidP="007656D7">
            <w:pPr>
              <w:tabs>
                <w:tab w:val="clear" w:pos="794"/>
                <w:tab w:val="clear" w:pos="1191"/>
                <w:tab w:val="clear" w:pos="1588"/>
                <w:tab w:val="clear" w:pos="1985"/>
                <w:tab w:val="left" w:pos="284"/>
              </w:tabs>
              <w:spacing w:before="0"/>
              <w:ind w:left="284" w:hanging="284"/>
              <w:jc w:val="left"/>
              <w:rPr>
                <w:lang w:val="ru-RU"/>
              </w:rPr>
            </w:pPr>
            <w:r w:rsidRPr="0068388E">
              <w:rPr>
                <w:b/>
                <w:bCs/>
                <w:lang w:val="ru-RU"/>
              </w:rPr>
              <w:t>Кому</w:t>
            </w:r>
            <w:r w:rsidRPr="0068388E">
              <w:rPr>
                <w:lang w:val="ru-RU"/>
              </w:rPr>
              <w:t>:</w:t>
            </w:r>
          </w:p>
          <w:p w:rsidR="008F6ADB" w:rsidRPr="0068388E" w:rsidRDefault="008F6ADB" w:rsidP="007656D7">
            <w:pPr>
              <w:tabs>
                <w:tab w:val="clear" w:pos="794"/>
                <w:tab w:val="clear" w:pos="1191"/>
                <w:tab w:val="clear" w:pos="1588"/>
                <w:tab w:val="clear" w:pos="1985"/>
                <w:tab w:val="left" w:pos="284"/>
              </w:tabs>
              <w:spacing w:before="0"/>
              <w:ind w:left="284" w:hanging="284"/>
              <w:jc w:val="left"/>
              <w:rPr>
                <w:lang w:val="ru-RU"/>
              </w:rPr>
            </w:pPr>
            <w:r w:rsidRPr="0068388E">
              <w:rPr>
                <w:lang w:val="ru-RU"/>
              </w:rPr>
              <w:t>−</w:t>
            </w:r>
            <w:r w:rsidRPr="0068388E">
              <w:rPr>
                <w:lang w:val="ru-RU"/>
              </w:rPr>
              <w:tab/>
              <w:t>Администрациям Государств – Членов Союза</w:t>
            </w:r>
          </w:p>
          <w:p w:rsidR="008F6ADB" w:rsidRPr="0068388E" w:rsidRDefault="008F6ADB" w:rsidP="007656D7">
            <w:pPr>
              <w:tabs>
                <w:tab w:val="clear" w:pos="794"/>
                <w:tab w:val="clear" w:pos="1191"/>
                <w:tab w:val="clear" w:pos="1588"/>
                <w:tab w:val="clear" w:pos="1985"/>
                <w:tab w:val="left" w:pos="284"/>
              </w:tabs>
              <w:spacing w:before="0"/>
              <w:ind w:left="284" w:hanging="284"/>
              <w:jc w:val="left"/>
              <w:rPr>
                <w:lang w:val="ru-RU"/>
              </w:rPr>
            </w:pPr>
            <w:r w:rsidRPr="0068388E">
              <w:rPr>
                <w:lang w:val="ru-RU"/>
              </w:rPr>
              <w:t>−</w:t>
            </w:r>
            <w:r w:rsidRPr="0068388E">
              <w:rPr>
                <w:lang w:val="ru-RU"/>
              </w:rPr>
              <w:tab/>
              <w:t>Членам Сектора МСЭ-Т</w:t>
            </w:r>
          </w:p>
          <w:p w:rsidR="008F6ADB" w:rsidRPr="0068388E" w:rsidRDefault="008F6ADB" w:rsidP="007656D7">
            <w:pPr>
              <w:tabs>
                <w:tab w:val="clear" w:pos="794"/>
                <w:tab w:val="clear" w:pos="1191"/>
                <w:tab w:val="clear" w:pos="1588"/>
                <w:tab w:val="clear" w:pos="1985"/>
                <w:tab w:val="left" w:pos="284"/>
              </w:tabs>
              <w:spacing w:before="0"/>
              <w:ind w:left="284" w:hanging="284"/>
              <w:jc w:val="left"/>
              <w:rPr>
                <w:lang w:val="ru-RU"/>
              </w:rPr>
            </w:pPr>
            <w:r w:rsidRPr="0068388E">
              <w:rPr>
                <w:lang w:val="ru-RU"/>
              </w:rPr>
              <w:t>−</w:t>
            </w:r>
            <w:r w:rsidRPr="0068388E">
              <w:rPr>
                <w:lang w:val="ru-RU"/>
              </w:rPr>
              <w:tab/>
              <w:t>Ассоциированным членам МСЭ</w:t>
            </w:r>
            <w:r w:rsidRPr="0068388E">
              <w:rPr>
                <w:lang w:val="ru-RU"/>
              </w:rPr>
              <w:noBreakHyphen/>
              <w:t>Т</w:t>
            </w:r>
          </w:p>
          <w:p w:rsidR="008F6ADB" w:rsidRPr="0068388E" w:rsidRDefault="008F6ADB" w:rsidP="007656D7">
            <w:pPr>
              <w:tabs>
                <w:tab w:val="clear" w:pos="794"/>
                <w:tab w:val="clear" w:pos="1191"/>
                <w:tab w:val="clear" w:pos="1588"/>
                <w:tab w:val="clear" w:pos="1985"/>
                <w:tab w:val="left" w:pos="284"/>
              </w:tabs>
              <w:spacing w:before="0"/>
              <w:ind w:left="284" w:hanging="284"/>
              <w:jc w:val="left"/>
              <w:rPr>
                <w:lang w:val="ru-RU"/>
              </w:rPr>
            </w:pPr>
            <w:r w:rsidRPr="0068388E">
              <w:rPr>
                <w:lang w:val="ru-RU"/>
              </w:rPr>
              <w:t>−</w:t>
            </w:r>
            <w:r w:rsidRPr="0068388E">
              <w:rPr>
                <w:lang w:val="ru-RU"/>
              </w:rPr>
              <w:tab/>
              <w:t>Академическим организациям − Членам МСЭ</w:t>
            </w:r>
          </w:p>
          <w:p w:rsidR="007802E4" w:rsidRPr="0068388E" w:rsidRDefault="007802E4" w:rsidP="007656D7">
            <w:pPr>
              <w:tabs>
                <w:tab w:val="clear" w:pos="794"/>
                <w:tab w:val="clear" w:pos="1191"/>
                <w:tab w:val="clear" w:pos="1588"/>
                <w:tab w:val="clear" w:pos="1985"/>
                <w:tab w:val="left" w:pos="284"/>
              </w:tabs>
              <w:spacing w:before="0"/>
              <w:ind w:left="284" w:hanging="284"/>
              <w:jc w:val="left"/>
              <w:rPr>
                <w:lang w:val="ru-RU"/>
              </w:rPr>
            </w:pPr>
          </w:p>
          <w:p w:rsidR="008F6ADB" w:rsidRPr="0068388E" w:rsidRDefault="008F6ADB" w:rsidP="007656D7">
            <w:pPr>
              <w:tabs>
                <w:tab w:val="clear" w:pos="794"/>
                <w:tab w:val="clear" w:pos="1191"/>
                <w:tab w:val="clear" w:pos="1588"/>
                <w:tab w:val="clear" w:pos="1985"/>
                <w:tab w:val="left" w:pos="284"/>
              </w:tabs>
              <w:spacing w:before="0"/>
              <w:ind w:left="284" w:hanging="284"/>
              <w:jc w:val="left"/>
              <w:rPr>
                <w:lang w:val="ru-RU"/>
              </w:rPr>
            </w:pPr>
            <w:r w:rsidRPr="0068388E">
              <w:rPr>
                <w:b/>
                <w:bCs/>
                <w:lang w:val="ru-RU"/>
              </w:rPr>
              <w:t>Копии</w:t>
            </w:r>
            <w:r w:rsidRPr="0068388E">
              <w:rPr>
                <w:lang w:val="ru-RU"/>
              </w:rPr>
              <w:t>:</w:t>
            </w:r>
          </w:p>
          <w:p w:rsidR="008F6ADB" w:rsidRPr="0068388E" w:rsidRDefault="008F6ADB" w:rsidP="007656D7">
            <w:pPr>
              <w:tabs>
                <w:tab w:val="clear" w:pos="794"/>
                <w:tab w:val="clear" w:pos="1191"/>
                <w:tab w:val="clear" w:pos="1588"/>
                <w:tab w:val="clear" w:pos="1985"/>
                <w:tab w:val="left" w:pos="284"/>
              </w:tabs>
              <w:spacing w:before="0"/>
              <w:ind w:left="284" w:hanging="284"/>
              <w:jc w:val="left"/>
              <w:rPr>
                <w:lang w:val="ru-RU"/>
              </w:rPr>
            </w:pPr>
            <w:r w:rsidRPr="0068388E">
              <w:rPr>
                <w:lang w:val="ru-RU"/>
              </w:rPr>
              <w:t>–</w:t>
            </w:r>
            <w:r w:rsidRPr="0068388E">
              <w:rPr>
                <w:lang w:val="ru-RU"/>
              </w:rPr>
              <w:tab/>
              <w:t>Председателям и заместителям председателей исследовательских комиссий МСЭ-Т</w:t>
            </w:r>
          </w:p>
          <w:p w:rsidR="008F6ADB" w:rsidRPr="0068388E" w:rsidRDefault="008F6ADB" w:rsidP="007656D7">
            <w:pPr>
              <w:tabs>
                <w:tab w:val="clear" w:pos="794"/>
                <w:tab w:val="clear" w:pos="1191"/>
                <w:tab w:val="clear" w:pos="1588"/>
                <w:tab w:val="clear" w:pos="1985"/>
                <w:tab w:val="left" w:pos="284"/>
              </w:tabs>
              <w:spacing w:before="0"/>
              <w:ind w:left="284" w:hanging="284"/>
              <w:jc w:val="left"/>
              <w:rPr>
                <w:lang w:val="ru-RU"/>
              </w:rPr>
            </w:pPr>
            <w:r w:rsidRPr="0068388E">
              <w:rPr>
                <w:lang w:val="ru-RU"/>
              </w:rPr>
              <w:t>−</w:t>
            </w:r>
            <w:r w:rsidRPr="0068388E">
              <w:rPr>
                <w:lang w:val="ru-RU"/>
              </w:rPr>
              <w:tab/>
              <w:t>Директору Бюро развития электросвязи</w:t>
            </w:r>
          </w:p>
          <w:p w:rsidR="008F6ADB" w:rsidRPr="0068388E" w:rsidRDefault="008F6ADB" w:rsidP="007656D7">
            <w:pPr>
              <w:tabs>
                <w:tab w:val="clear" w:pos="794"/>
                <w:tab w:val="clear" w:pos="1191"/>
                <w:tab w:val="clear" w:pos="1588"/>
                <w:tab w:val="clear" w:pos="1985"/>
                <w:tab w:val="left" w:pos="284"/>
              </w:tabs>
              <w:spacing w:before="0"/>
              <w:ind w:left="284" w:hanging="284"/>
              <w:jc w:val="left"/>
              <w:rPr>
                <w:lang w:val="ru-RU"/>
              </w:rPr>
            </w:pPr>
            <w:r w:rsidRPr="0068388E">
              <w:rPr>
                <w:lang w:val="ru-RU"/>
              </w:rPr>
              <w:t>−</w:t>
            </w:r>
            <w:r w:rsidRPr="0068388E">
              <w:rPr>
                <w:lang w:val="ru-RU"/>
              </w:rPr>
              <w:tab/>
              <w:t>Директору Бюро радиосвязи</w:t>
            </w:r>
          </w:p>
        </w:tc>
      </w:tr>
      <w:tr w:rsidR="008F6ADB" w:rsidRPr="00BC6AA3" w:rsidTr="008F6ADB">
        <w:trPr>
          <w:cantSplit/>
          <w:trHeight w:val="1099"/>
        </w:trPr>
        <w:tc>
          <w:tcPr>
            <w:tcW w:w="1560" w:type="dxa"/>
          </w:tcPr>
          <w:p w:rsidR="008F6ADB" w:rsidRPr="0068388E" w:rsidRDefault="008F6ADB" w:rsidP="007656D7">
            <w:pPr>
              <w:spacing w:before="0"/>
              <w:jc w:val="left"/>
              <w:rPr>
                <w:lang w:val="ru-RU"/>
              </w:rPr>
            </w:pPr>
            <w:r w:rsidRPr="0068388E">
              <w:rPr>
                <w:lang w:val="ru-RU"/>
              </w:rPr>
              <w:t>Для контактов:</w:t>
            </w:r>
            <w:r w:rsidRPr="0068388E">
              <w:rPr>
                <w:lang w:val="ru-RU"/>
              </w:rPr>
              <w:br/>
              <w:t>Тел.:</w:t>
            </w:r>
            <w:r w:rsidRPr="0068388E">
              <w:rPr>
                <w:lang w:val="ru-RU"/>
              </w:rPr>
              <w:br/>
              <w:t>Факс:</w:t>
            </w:r>
            <w:r w:rsidRPr="0068388E">
              <w:rPr>
                <w:lang w:val="ru-RU"/>
              </w:rPr>
              <w:br/>
              <w:t>Эл. почта:</w:t>
            </w:r>
          </w:p>
        </w:tc>
        <w:tc>
          <w:tcPr>
            <w:tcW w:w="3847" w:type="dxa"/>
          </w:tcPr>
          <w:p w:rsidR="008F6ADB" w:rsidRPr="0068388E" w:rsidRDefault="003A15AE" w:rsidP="007802E4">
            <w:pPr>
              <w:spacing w:before="0"/>
              <w:jc w:val="left"/>
              <w:rPr>
                <w:b/>
                <w:bCs/>
                <w:lang w:val="ru-RU"/>
              </w:rPr>
            </w:pPr>
            <w:r w:rsidRPr="0068388E">
              <w:rPr>
                <w:b/>
                <w:bCs/>
                <w:lang w:val="ru-RU"/>
              </w:rPr>
              <w:t>Мартин Адольф (Martin Adolph)</w:t>
            </w:r>
            <w:r w:rsidR="008F6ADB" w:rsidRPr="0068388E">
              <w:rPr>
                <w:lang w:val="ru-RU"/>
              </w:rPr>
              <w:br/>
              <w:t xml:space="preserve">+41 22 730 </w:t>
            </w:r>
            <w:r w:rsidRPr="0068388E">
              <w:rPr>
                <w:lang w:val="ru-RU"/>
              </w:rPr>
              <w:t>6320</w:t>
            </w:r>
            <w:r w:rsidR="008F6ADB" w:rsidRPr="0068388E">
              <w:rPr>
                <w:lang w:val="ru-RU"/>
              </w:rPr>
              <w:br/>
              <w:t>+41 22 730 5853</w:t>
            </w:r>
            <w:r w:rsidR="008F6ADB" w:rsidRPr="0068388E">
              <w:rPr>
                <w:lang w:val="ru-RU"/>
              </w:rPr>
              <w:br/>
            </w:r>
            <w:hyperlink r:id="rId9" w:history="1">
              <w:r w:rsidR="00A6146E" w:rsidRPr="0068388E">
                <w:rPr>
                  <w:rStyle w:val="Hyperlink"/>
                  <w:szCs w:val="22"/>
                  <w:lang w:val="ru-RU"/>
                </w:rPr>
                <w:t>tsbevents@itu.int</w:t>
              </w:r>
            </w:hyperlink>
          </w:p>
        </w:tc>
        <w:tc>
          <w:tcPr>
            <w:tcW w:w="4322" w:type="dxa"/>
            <w:vMerge/>
          </w:tcPr>
          <w:p w:rsidR="008F6ADB" w:rsidRPr="0068388E" w:rsidRDefault="008F6ADB" w:rsidP="007656D7">
            <w:pPr>
              <w:tabs>
                <w:tab w:val="left" w:pos="284"/>
              </w:tabs>
              <w:spacing w:before="0"/>
              <w:ind w:left="284" w:hanging="284"/>
              <w:jc w:val="left"/>
              <w:rPr>
                <w:b/>
                <w:bCs/>
                <w:lang w:val="ru-RU"/>
              </w:rPr>
            </w:pPr>
          </w:p>
        </w:tc>
      </w:tr>
      <w:tr w:rsidR="008F6ADB" w:rsidRPr="00BC6AA3" w:rsidTr="00F7611C">
        <w:trPr>
          <w:cantSplit/>
          <w:trHeight w:val="1026"/>
        </w:trPr>
        <w:tc>
          <w:tcPr>
            <w:tcW w:w="1560" w:type="dxa"/>
          </w:tcPr>
          <w:p w:rsidR="008F6ADB" w:rsidRPr="0068388E" w:rsidRDefault="008F6ADB" w:rsidP="007656D7">
            <w:pPr>
              <w:spacing w:before="0"/>
              <w:jc w:val="left"/>
              <w:rPr>
                <w:lang w:val="ru-RU"/>
              </w:rPr>
            </w:pPr>
          </w:p>
        </w:tc>
        <w:tc>
          <w:tcPr>
            <w:tcW w:w="3847" w:type="dxa"/>
          </w:tcPr>
          <w:p w:rsidR="008F6ADB" w:rsidRPr="0068388E" w:rsidRDefault="008F6ADB" w:rsidP="007656D7">
            <w:pPr>
              <w:spacing w:before="0"/>
              <w:jc w:val="left"/>
              <w:rPr>
                <w:lang w:val="ru-RU"/>
              </w:rPr>
            </w:pPr>
          </w:p>
        </w:tc>
        <w:tc>
          <w:tcPr>
            <w:tcW w:w="4322" w:type="dxa"/>
            <w:vMerge/>
          </w:tcPr>
          <w:p w:rsidR="008F6ADB" w:rsidRPr="0068388E" w:rsidRDefault="008F6ADB" w:rsidP="007656D7">
            <w:pPr>
              <w:tabs>
                <w:tab w:val="clear" w:pos="794"/>
                <w:tab w:val="clear" w:pos="1191"/>
                <w:tab w:val="clear" w:pos="1588"/>
                <w:tab w:val="clear" w:pos="1985"/>
                <w:tab w:val="left" w:pos="284"/>
              </w:tabs>
              <w:spacing w:before="0"/>
              <w:ind w:left="284" w:hanging="284"/>
              <w:jc w:val="left"/>
              <w:rPr>
                <w:lang w:val="ru-RU"/>
              </w:rPr>
            </w:pPr>
          </w:p>
        </w:tc>
      </w:tr>
    </w:tbl>
    <w:p w:rsidR="00A9263A" w:rsidRPr="0068388E" w:rsidRDefault="00A9263A" w:rsidP="007802E4">
      <w:pPr>
        <w:rPr>
          <w:lang w:val="ru-RU"/>
        </w:rPr>
      </w:pPr>
    </w:p>
    <w:tbl>
      <w:tblPr>
        <w:tblW w:w="9729" w:type="dxa"/>
        <w:tblCellMar>
          <w:left w:w="0" w:type="dxa"/>
          <w:right w:w="0" w:type="dxa"/>
        </w:tblCellMar>
        <w:tblLook w:val="0000" w:firstRow="0" w:lastRow="0" w:firstColumn="0" w:lastColumn="0" w:noHBand="0" w:noVBand="0"/>
      </w:tblPr>
      <w:tblGrid>
        <w:gridCol w:w="1560"/>
        <w:gridCol w:w="8169"/>
      </w:tblGrid>
      <w:tr w:rsidR="00A9263A" w:rsidRPr="00BC6AA3" w:rsidTr="00550E2A">
        <w:trPr>
          <w:cantSplit/>
          <w:trHeight w:val="726"/>
        </w:trPr>
        <w:tc>
          <w:tcPr>
            <w:tcW w:w="1560" w:type="dxa"/>
          </w:tcPr>
          <w:p w:rsidR="00A9263A" w:rsidRPr="0068388E" w:rsidRDefault="00A9263A" w:rsidP="007656D7">
            <w:pPr>
              <w:spacing w:before="0"/>
              <w:jc w:val="left"/>
              <w:rPr>
                <w:lang w:val="ru-RU"/>
              </w:rPr>
            </w:pPr>
            <w:r w:rsidRPr="0068388E">
              <w:rPr>
                <w:lang w:val="ru-RU"/>
              </w:rPr>
              <w:t>Предмет:</w:t>
            </w:r>
          </w:p>
        </w:tc>
        <w:tc>
          <w:tcPr>
            <w:tcW w:w="8169" w:type="dxa"/>
          </w:tcPr>
          <w:p w:rsidR="00A9263A" w:rsidRPr="0068388E" w:rsidRDefault="00A9263A" w:rsidP="00BC1D26">
            <w:pPr>
              <w:tabs>
                <w:tab w:val="clear" w:pos="794"/>
                <w:tab w:val="clear" w:pos="1191"/>
                <w:tab w:val="clear" w:pos="1588"/>
                <w:tab w:val="clear" w:pos="1985"/>
                <w:tab w:val="left" w:pos="284"/>
              </w:tabs>
              <w:spacing w:before="0"/>
              <w:jc w:val="left"/>
              <w:rPr>
                <w:lang w:val="ru-RU"/>
              </w:rPr>
            </w:pPr>
            <w:r w:rsidRPr="0068388E">
              <w:rPr>
                <w:rFonts w:eastAsia="SimSun"/>
                <w:b/>
                <w:bCs/>
                <w:szCs w:val="22"/>
                <w:lang w:val="ru-RU"/>
              </w:rPr>
              <w:t xml:space="preserve">Семинар-практикум </w:t>
            </w:r>
            <w:r w:rsidR="00BC1D26" w:rsidRPr="0068388E">
              <w:rPr>
                <w:rFonts w:eastAsia="SimSun"/>
                <w:b/>
                <w:bCs/>
                <w:szCs w:val="22"/>
                <w:lang w:val="ru-RU"/>
              </w:rPr>
              <w:t xml:space="preserve">МСЭ </w:t>
            </w:r>
            <w:r w:rsidRPr="0068388E">
              <w:rPr>
                <w:rFonts w:eastAsia="SimSun"/>
                <w:b/>
                <w:bCs/>
                <w:szCs w:val="22"/>
                <w:lang w:val="ru-RU"/>
              </w:rPr>
              <w:t>на тему "</w:t>
            </w:r>
            <w:r w:rsidR="00BC1D26" w:rsidRPr="0068388E">
              <w:rPr>
                <w:b/>
                <w:bCs/>
                <w:color w:val="000000"/>
                <w:lang w:val="ru-RU"/>
              </w:rPr>
              <w:t>Нормативно-правовая база для обеспечения качества услуг электросвязи и организация сетей на основе оценки качества</w:t>
            </w:r>
            <w:r w:rsidRPr="0068388E">
              <w:rPr>
                <w:b/>
                <w:bCs/>
                <w:lang w:val="ru-RU"/>
              </w:rPr>
              <w:t>"</w:t>
            </w:r>
            <w:r w:rsidRPr="0068388E">
              <w:rPr>
                <w:rFonts w:eastAsia="SimSun"/>
                <w:b/>
                <w:bCs/>
                <w:szCs w:val="22"/>
                <w:lang w:val="ru-RU"/>
              </w:rPr>
              <w:br/>
              <w:t xml:space="preserve">Женева, Швейцария, </w:t>
            </w:r>
            <w:r w:rsidR="00BC1D26" w:rsidRPr="0068388E">
              <w:rPr>
                <w:rFonts w:eastAsia="SimSun"/>
                <w:b/>
                <w:bCs/>
                <w:szCs w:val="22"/>
                <w:lang w:val="ru-RU"/>
              </w:rPr>
              <w:t>26</w:t>
            </w:r>
            <w:r w:rsidRPr="0068388E">
              <w:rPr>
                <w:rFonts w:eastAsia="SimSun"/>
                <w:b/>
                <w:bCs/>
                <w:szCs w:val="22"/>
                <w:lang w:val="ru-RU"/>
              </w:rPr>
              <w:t> ноября 201</w:t>
            </w:r>
            <w:r w:rsidR="00BC1D26" w:rsidRPr="0068388E">
              <w:rPr>
                <w:rFonts w:eastAsia="SimSun"/>
                <w:b/>
                <w:bCs/>
                <w:szCs w:val="22"/>
                <w:lang w:val="ru-RU"/>
              </w:rPr>
              <w:t>8</w:t>
            </w:r>
            <w:r w:rsidRPr="0068388E">
              <w:rPr>
                <w:rFonts w:eastAsia="SimSun"/>
                <w:b/>
                <w:bCs/>
                <w:szCs w:val="22"/>
                <w:lang w:val="ru-RU"/>
              </w:rPr>
              <w:t> года</w:t>
            </w:r>
          </w:p>
        </w:tc>
      </w:tr>
    </w:tbl>
    <w:p w:rsidR="00514426" w:rsidRPr="0068388E" w:rsidRDefault="00514426" w:rsidP="007802E4">
      <w:pPr>
        <w:spacing w:before="600"/>
        <w:jc w:val="left"/>
        <w:rPr>
          <w:lang w:val="ru-RU"/>
        </w:rPr>
      </w:pPr>
      <w:r w:rsidRPr="0068388E">
        <w:rPr>
          <w:lang w:val="ru-RU"/>
        </w:rPr>
        <w:t>Уважаемая госпожа,</w:t>
      </w:r>
      <w:r w:rsidRPr="0068388E">
        <w:rPr>
          <w:lang w:val="ru-RU"/>
        </w:rPr>
        <w:br/>
      </w:r>
      <w:r w:rsidR="009C2978" w:rsidRPr="0068388E">
        <w:rPr>
          <w:lang w:val="ru-RU"/>
        </w:rPr>
        <w:t xml:space="preserve">уважаемый </w:t>
      </w:r>
      <w:r w:rsidRPr="0068388E">
        <w:rPr>
          <w:lang w:val="ru-RU"/>
        </w:rPr>
        <w:t>господин,</w:t>
      </w:r>
    </w:p>
    <w:p w:rsidR="00DB5204" w:rsidRPr="0068388E" w:rsidRDefault="00134D64" w:rsidP="007802E4">
      <w:pPr>
        <w:spacing w:before="240"/>
        <w:rPr>
          <w:lang w:val="ru-RU"/>
        </w:rPr>
      </w:pPr>
      <w:r w:rsidRPr="0068388E">
        <w:rPr>
          <w:lang w:val="ru-RU"/>
        </w:rPr>
        <w:t>1</w:t>
      </w:r>
      <w:r w:rsidRPr="0068388E">
        <w:rPr>
          <w:lang w:val="ru-RU"/>
        </w:rPr>
        <w:tab/>
      </w:r>
      <w:r w:rsidR="000D16E1" w:rsidRPr="0068388E">
        <w:rPr>
          <w:lang w:val="ru-RU"/>
        </w:rPr>
        <w:t xml:space="preserve">Хотел бы сообщить вам, что </w:t>
      </w:r>
      <w:r w:rsidRPr="0068388E">
        <w:rPr>
          <w:b/>
          <w:bCs/>
          <w:lang w:val="ru-RU"/>
        </w:rPr>
        <w:t xml:space="preserve">семинар-практикум </w:t>
      </w:r>
      <w:r w:rsidR="00701BB9" w:rsidRPr="0068388E">
        <w:rPr>
          <w:rFonts w:eastAsia="SimSun"/>
          <w:szCs w:val="22"/>
          <w:lang w:val="ru-RU"/>
        </w:rPr>
        <w:t>"</w:t>
      </w:r>
      <w:r w:rsidR="00701BB9" w:rsidRPr="0068388E">
        <w:rPr>
          <w:b/>
          <w:bCs/>
          <w:color w:val="000000"/>
          <w:lang w:val="ru-RU"/>
        </w:rPr>
        <w:t>Нормативно-правовая база для обеспечения качества услуг электросвязи и организация сетей на основе оценки качества</w:t>
      </w:r>
      <w:r w:rsidR="00701BB9" w:rsidRPr="0068388E">
        <w:rPr>
          <w:lang w:val="ru-RU"/>
        </w:rPr>
        <w:t xml:space="preserve">" </w:t>
      </w:r>
      <w:r w:rsidR="00E35055" w:rsidRPr="0068388E">
        <w:rPr>
          <w:lang w:val="ru-RU"/>
        </w:rPr>
        <w:t>состоится</w:t>
      </w:r>
      <w:r w:rsidR="000826B4" w:rsidRPr="0068388E">
        <w:rPr>
          <w:lang w:val="ru-RU"/>
        </w:rPr>
        <w:t xml:space="preserve"> в штаб-квартире МСЭ, Женева, </w:t>
      </w:r>
      <w:r w:rsidR="00701BB9" w:rsidRPr="0068388E">
        <w:rPr>
          <w:lang w:val="ru-RU"/>
        </w:rPr>
        <w:t>Швейцария, 26</w:t>
      </w:r>
      <w:r w:rsidR="000826B4" w:rsidRPr="0068388E">
        <w:rPr>
          <w:lang w:val="ru-RU"/>
        </w:rPr>
        <w:t> ноября</w:t>
      </w:r>
      <w:r w:rsidR="00701BB9" w:rsidRPr="0068388E">
        <w:rPr>
          <w:lang w:val="ru-RU"/>
        </w:rPr>
        <w:t xml:space="preserve"> 2018</w:t>
      </w:r>
      <w:r w:rsidR="000826B4" w:rsidRPr="0068388E">
        <w:rPr>
          <w:lang w:val="ru-RU"/>
        </w:rPr>
        <w:t> года</w:t>
      </w:r>
      <w:r w:rsidR="00DB5204" w:rsidRPr="0068388E">
        <w:rPr>
          <w:lang w:val="ru-RU"/>
        </w:rPr>
        <w:t>.</w:t>
      </w:r>
    </w:p>
    <w:p w:rsidR="005D2E33" w:rsidRPr="0068388E" w:rsidRDefault="005D2E33" w:rsidP="007802E4">
      <w:pPr>
        <w:rPr>
          <w:lang w:val="ru-RU"/>
        </w:rPr>
      </w:pPr>
      <w:r w:rsidRPr="0068388E">
        <w:rPr>
          <w:lang w:val="ru-RU"/>
        </w:rPr>
        <w:t>Семинар-практикум проводится перед собранием 12</w:t>
      </w:r>
      <w:r w:rsidRPr="0068388E">
        <w:rPr>
          <w:lang w:val="ru-RU"/>
        </w:rPr>
        <w:noBreakHyphen/>
        <w:t>й Исследовательской комиссии МСЭ-Т (</w:t>
      </w:r>
      <w:r w:rsidRPr="0068388E">
        <w:rPr>
          <w:color w:val="000000"/>
          <w:lang w:val="ru-RU"/>
        </w:rPr>
        <w:t>Показатели работы, качество обслуживания и оценка пользователем качества услуги), которое состоится в Женеве с 27 ноября по 6 декабря 2018 года.</w:t>
      </w:r>
    </w:p>
    <w:p w:rsidR="00E7393C" w:rsidRPr="0068388E" w:rsidRDefault="00E7393C" w:rsidP="007802E4">
      <w:pPr>
        <w:rPr>
          <w:lang w:val="ru-RU"/>
        </w:rPr>
      </w:pPr>
      <w:r w:rsidRPr="0068388E">
        <w:rPr>
          <w:color w:val="000000"/>
          <w:lang w:val="ru-RU"/>
        </w:rPr>
        <w:t>2</w:t>
      </w:r>
      <w:r w:rsidRPr="0068388E">
        <w:rPr>
          <w:color w:val="000000"/>
          <w:lang w:val="ru-RU"/>
        </w:rPr>
        <w:tab/>
        <w:t>Данный семинар-практикум будет проводиться только на английском языке.</w:t>
      </w:r>
      <w:r w:rsidR="005D2E33" w:rsidRPr="0068388E">
        <w:rPr>
          <w:color w:val="000000"/>
          <w:lang w:val="ru-RU"/>
        </w:rPr>
        <w:t xml:space="preserve"> </w:t>
      </w:r>
      <w:r w:rsidR="007D0F35" w:rsidRPr="0068388E">
        <w:rPr>
          <w:color w:val="000000"/>
          <w:lang w:val="ru-RU"/>
        </w:rPr>
        <w:t>Будет предоставлена возможность дистанционного участия в этом семинаре-практикуме.</w:t>
      </w:r>
    </w:p>
    <w:p w:rsidR="00134D64" w:rsidRPr="0068388E" w:rsidRDefault="00E7393C" w:rsidP="007802E4">
      <w:pPr>
        <w:rPr>
          <w:lang w:val="ru-RU"/>
        </w:rPr>
      </w:pPr>
      <w:r w:rsidRPr="0068388E">
        <w:rPr>
          <w:lang w:val="ru-RU"/>
        </w:rPr>
        <w:t>3</w:t>
      </w:r>
      <w:r w:rsidR="00134D64" w:rsidRPr="0068388E">
        <w:rPr>
          <w:lang w:val="ru-RU"/>
        </w:rPr>
        <w:tab/>
      </w:r>
      <w:r w:rsidRPr="0068388E">
        <w:rPr>
          <w:lang w:val="ru-RU"/>
        </w:rPr>
        <w:t xml:space="preserve">В семинаре-практикуме могут принять участие Государства – Члены МСЭ, Члены Секторов МСЭ, Ассоциированные члены МСЭ и Академические организации – Члены МСЭ, а также любое лицо из страны, являющейся Членом МСЭ, которое пожелает внести свой вклад в работу. К таким лицам относятся также члены международных, региональных и национальных организаций. Участие в семинаре-практикуме является бесплатным, </w:t>
      </w:r>
      <w:r w:rsidR="005C4C69" w:rsidRPr="0068388E">
        <w:rPr>
          <w:lang w:val="ru-RU"/>
        </w:rPr>
        <w:t>но</w:t>
      </w:r>
      <w:r w:rsidRPr="0068388E">
        <w:rPr>
          <w:lang w:val="ru-RU"/>
        </w:rPr>
        <w:t xml:space="preserve"> с</w:t>
      </w:r>
      <w:r w:rsidR="00403D48" w:rsidRPr="0068388E">
        <w:rPr>
          <w:lang w:val="ru-RU"/>
        </w:rPr>
        <w:t>типендии не предоставляются.</w:t>
      </w:r>
      <w:r w:rsidR="00AB6E41" w:rsidRPr="0068388E">
        <w:rPr>
          <w:lang w:val="ru-RU"/>
        </w:rPr>
        <w:t xml:space="preserve"> </w:t>
      </w:r>
    </w:p>
    <w:p w:rsidR="00F17CFD" w:rsidRPr="0068388E" w:rsidRDefault="00E7393C" w:rsidP="00544A8F">
      <w:pPr>
        <w:rPr>
          <w:color w:val="000000"/>
          <w:lang w:val="ru-RU"/>
        </w:rPr>
      </w:pPr>
      <w:r w:rsidRPr="0068388E">
        <w:rPr>
          <w:lang w:val="ru-RU"/>
        </w:rPr>
        <w:t>4</w:t>
      </w:r>
      <w:r w:rsidR="00134D64" w:rsidRPr="0068388E">
        <w:rPr>
          <w:lang w:val="ru-RU"/>
        </w:rPr>
        <w:tab/>
      </w:r>
      <w:bookmarkStart w:id="1" w:name="lt_pId061"/>
      <w:r w:rsidR="007D0F35" w:rsidRPr="0068388E">
        <w:rPr>
          <w:lang w:val="ru-RU"/>
        </w:rPr>
        <w:t>С</w:t>
      </w:r>
      <w:r w:rsidR="00F17CFD" w:rsidRPr="0068388E">
        <w:rPr>
          <w:lang w:val="ru-RU"/>
        </w:rPr>
        <w:t>еминар-практикум</w:t>
      </w:r>
      <w:r w:rsidR="007D0F35" w:rsidRPr="0068388E">
        <w:rPr>
          <w:lang w:val="ru-RU"/>
        </w:rPr>
        <w:t xml:space="preserve"> проводится в</w:t>
      </w:r>
      <w:r w:rsidR="007E440C" w:rsidRPr="0068388E">
        <w:rPr>
          <w:lang w:val="ru-RU"/>
        </w:rPr>
        <w:t>о исполнение</w:t>
      </w:r>
      <w:r w:rsidR="007D0F35" w:rsidRPr="0068388E">
        <w:rPr>
          <w:lang w:val="ru-RU"/>
        </w:rPr>
        <w:t xml:space="preserve"> Резолюци</w:t>
      </w:r>
      <w:r w:rsidR="007E440C" w:rsidRPr="0068388E">
        <w:rPr>
          <w:lang w:val="ru-RU"/>
        </w:rPr>
        <w:t>и</w:t>
      </w:r>
      <w:r w:rsidR="007D0F35" w:rsidRPr="0068388E">
        <w:rPr>
          <w:lang w:val="ru-RU"/>
        </w:rPr>
        <w:t> 95 ВАСЭ</w:t>
      </w:r>
      <w:r w:rsidR="007D0F35" w:rsidRPr="0068388E">
        <w:rPr>
          <w:lang w:val="ru-RU"/>
        </w:rPr>
        <w:noBreakHyphen/>
        <w:t>16 "</w:t>
      </w:r>
      <w:r w:rsidR="007D0F35" w:rsidRPr="0068388E">
        <w:rPr>
          <w:color w:val="000000"/>
          <w:lang w:val="ru-RU"/>
        </w:rPr>
        <w:t xml:space="preserve">Инициативы Сектора стандартизации электросвязи МСЭ по повышению уровня информированности о передовом опыте и политике, касающихся качества обслуживания". Участники рассмотрят основные результаты обследования национальных нормативно-правовых баз </w:t>
      </w:r>
      <w:r w:rsidR="00544A8F">
        <w:rPr>
          <w:color w:val="000000"/>
          <w:lang w:val="ru-RU"/>
        </w:rPr>
        <w:t>по вопросам</w:t>
      </w:r>
      <w:r w:rsidR="007D0F35" w:rsidRPr="0068388E">
        <w:rPr>
          <w:color w:val="000000"/>
          <w:lang w:val="ru-RU"/>
        </w:rPr>
        <w:t xml:space="preserve"> качества и обсудят тенденции развития нормативно-правовых баз </w:t>
      </w:r>
      <w:r w:rsidR="007802E4" w:rsidRPr="0068388E">
        <w:rPr>
          <w:color w:val="000000"/>
          <w:lang w:val="ru-RU"/>
        </w:rPr>
        <w:t>по вопросам</w:t>
      </w:r>
      <w:r w:rsidR="007D0F35" w:rsidRPr="0068388E">
        <w:rPr>
          <w:color w:val="000000"/>
          <w:lang w:val="ru-RU"/>
        </w:rPr>
        <w:t xml:space="preserve"> качества услуг электросвязи</w:t>
      </w:r>
      <w:bookmarkEnd w:id="1"/>
      <w:r w:rsidR="007D0F35" w:rsidRPr="0068388E">
        <w:rPr>
          <w:color w:val="000000"/>
          <w:lang w:val="ru-RU"/>
        </w:rPr>
        <w:t>.</w:t>
      </w:r>
    </w:p>
    <w:p w:rsidR="007D0F35" w:rsidRPr="0068388E" w:rsidRDefault="007D0F35" w:rsidP="007802E4">
      <w:pPr>
        <w:rPr>
          <w:lang w:val="ru-RU"/>
        </w:rPr>
      </w:pPr>
      <w:r w:rsidRPr="0068388E">
        <w:rPr>
          <w:lang w:val="ru-RU"/>
        </w:rPr>
        <w:lastRenderedPageBreak/>
        <w:t>Также будет освещаться значение оценки пользователем качества услуги (QoE), будут обсуждаться соответствующие индексы показателей работы сетей, а также то, как аналитика больших данных и искусственный интеллект могут использоваться для оценки QoE и прогнозирования аномалий.</w:t>
      </w:r>
    </w:p>
    <w:p w:rsidR="00CA7686" w:rsidRPr="0068388E" w:rsidRDefault="00CA7686" w:rsidP="007802E4">
      <w:pPr>
        <w:rPr>
          <w:lang w:val="ru-RU"/>
        </w:rPr>
      </w:pPr>
      <w:r w:rsidRPr="0068388E">
        <w:rPr>
          <w:lang w:val="ru-RU"/>
        </w:rPr>
        <w:t xml:space="preserve">Проект повестки дня содержится в </w:t>
      </w:r>
      <w:r w:rsidRPr="0068388E">
        <w:rPr>
          <w:b/>
          <w:bCs/>
          <w:lang w:val="ru-RU"/>
        </w:rPr>
        <w:t>Приложении А</w:t>
      </w:r>
      <w:r w:rsidRPr="0068388E">
        <w:rPr>
          <w:lang w:val="ru-RU"/>
        </w:rPr>
        <w:t>.</w:t>
      </w:r>
    </w:p>
    <w:p w:rsidR="00F17CFD" w:rsidRPr="0068388E" w:rsidRDefault="00F17CFD" w:rsidP="007802E4">
      <w:pPr>
        <w:rPr>
          <w:lang w:val="ru-RU"/>
        </w:rPr>
      </w:pPr>
      <w:r w:rsidRPr="0068388E">
        <w:rPr>
          <w:lang w:val="ru-RU"/>
        </w:rPr>
        <w:t>5</w:t>
      </w:r>
      <w:r w:rsidRPr="0068388E">
        <w:rPr>
          <w:lang w:val="ru-RU"/>
        </w:rPr>
        <w:tab/>
        <w:t>Информация</w:t>
      </w:r>
      <w:r w:rsidR="000C4790" w:rsidRPr="0068388E">
        <w:rPr>
          <w:lang w:val="ru-RU"/>
        </w:rPr>
        <w:t xml:space="preserve"> о</w:t>
      </w:r>
      <w:r w:rsidRPr="0068388E">
        <w:rPr>
          <w:lang w:val="ru-RU"/>
        </w:rPr>
        <w:t xml:space="preserve"> семинар</w:t>
      </w:r>
      <w:r w:rsidR="000C4790" w:rsidRPr="0068388E">
        <w:rPr>
          <w:lang w:val="ru-RU"/>
        </w:rPr>
        <w:t>е</w:t>
      </w:r>
      <w:r w:rsidRPr="0068388E">
        <w:rPr>
          <w:lang w:val="ru-RU"/>
        </w:rPr>
        <w:t>-практикум</w:t>
      </w:r>
      <w:r w:rsidR="000C4790" w:rsidRPr="0068388E">
        <w:rPr>
          <w:lang w:val="ru-RU"/>
        </w:rPr>
        <w:t>е</w:t>
      </w:r>
      <w:r w:rsidRPr="0068388E">
        <w:rPr>
          <w:lang w:val="ru-RU"/>
        </w:rPr>
        <w:t>, включая проект программы</w:t>
      </w:r>
      <w:r w:rsidR="00A41D67" w:rsidRPr="0068388E">
        <w:rPr>
          <w:lang w:val="ru-RU"/>
        </w:rPr>
        <w:t>, будет размещена на веб</w:t>
      </w:r>
      <w:r w:rsidR="00A41D67" w:rsidRPr="0068388E">
        <w:rPr>
          <w:lang w:val="ru-RU"/>
        </w:rPr>
        <w:noBreakHyphen/>
      </w:r>
      <w:r w:rsidRPr="0068388E">
        <w:rPr>
          <w:lang w:val="ru-RU"/>
        </w:rPr>
        <w:t xml:space="preserve">сайте мероприятия по следующему адресу: </w:t>
      </w:r>
      <w:hyperlink r:id="rId10" w:history="1">
        <w:r w:rsidR="00CA7686" w:rsidRPr="0068388E">
          <w:rPr>
            <w:rStyle w:val="Hyperlink"/>
            <w:rFonts w:cstheme="majorBidi"/>
            <w:szCs w:val="22"/>
            <w:lang w:val="ru-RU"/>
          </w:rPr>
          <w:t>https://www.itu.int/en/ITU-T/Workshops-and-Seminars/qos/201811/Pages/default.aspx</w:t>
        </w:r>
      </w:hyperlink>
      <w:r w:rsidRPr="0068388E">
        <w:rPr>
          <w:lang w:val="ru-RU"/>
        </w:rPr>
        <w:t xml:space="preserve">. </w:t>
      </w:r>
      <w:r w:rsidRPr="0068388E">
        <w:rPr>
          <w:rStyle w:val="Hyperlink"/>
          <w:color w:val="auto"/>
          <w:u w:val="none"/>
          <w:lang w:val="ru-RU"/>
        </w:rPr>
        <w:t xml:space="preserve">Этот веб-сайт будет регулярно обновляться по мере появления новой или измененной информации. </w:t>
      </w:r>
      <w:r w:rsidRPr="0068388E">
        <w:rPr>
          <w:lang w:val="ru-RU"/>
        </w:rPr>
        <w:t>Участникам предлагается периодически знакомиться с новой информацией.</w:t>
      </w:r>
    </w:p>
    <w:p w:rsidR="00F17CFD" w:rsidRPr="0068388E" w:rsidRDefault="000C4790" w:rsidP="007802E4">
      <w:pPr>
        <w:rPr>
          <w:sz w:val="24"/>
          <w:szCs w:val="20"/>
          <w:lang w:val="ru-RU"/>
        </w:rPr>
      </w:pPr>
      <w:r w:rsidRPr="0068388E">
        <w:rPr>
          <w:lang w:val="ru-RU"/>
        </w:rPr>
        <w:t>6</w:t>
      </w:r>
      <w:r w:rsidR="00F17CFD" w:rsidRPr="0068388E">
        <w:rPr>
          <w:lang w:val="ru-RU"/>
        </w:rPr>
        <w:tab/>
        <w:t>В зонах расположения основных конференц-залов МСЭ имеются средства беспроводной ЛВС, которыми смогут воспользоваться делегаты. Подробная информация представлена на веб-сайте МСЭ</w:t>
      </w:r>
      <w:r w:rsidR="00421AAE" w:rsidRPr="0068388E">
        <w:rPr>
          <w:lang w:val="ru-RU"/>
        </w:rPr>
        <w:noBreakHyphen/>
      </w:r>
      <w:r w:rsidR="00F17CFD" w:rsidRPr="0068388E">
        <w:rPr>
          <w:lang w:val="ru-RU"/>
        </w:rPr>
        <w:t>Т (</w:t>
      </w:r>
      <w:hyperlink r:id="rId11" w:history="1">
        <w:r w:rsidR="00F17CFD" w:rsidRPr="0068388E">
          <w:rPr>
            <w:rStyle w:val="Hyperlink"/>
            <w:rFonts w:cstheme="majorBidi"/>
            <w:szCs w:val="22"/>
            <w:lang w:val="ru-RU"/>
          </w:rPr>
          <w:t>http://www.itu.int/ITU-T/edh/faqs-suppor</w:t>
        </w:r>
        <w:r w:rsidR="00F17CFD" w:rsidRPr="0068388E">
          <w:rPr>
            <w:rStyle w:val="Hyperlink"/>
            <w:rFonts w:cstheme="majorBidi"/>
            <w:szCs w:val="22"/>
            <w:lang w:val="ru-RU"/>
          </w:rPr>
          <w:t>t.html</w:t>
        </w:r>
      </w:hyperlink>
      <w:r w:rsidR="00F17CFD" w:rsidRPr="0068388E">
        <w:rPr>
          <w:lang w:val="ru-RU"/>
        </w:rPr>
        <w:t>)</w:t>
      </w:r>
      <w:r w:rsidR="00F17CFD" w:rsidRPr="0068388E">
        <w:rPr>
          <w:rFonts w:eastAsia="SimSun"/>
          <w:color w:val="1F497D"/>
          <w:lang w:val="ru-RU"/>
        </w:rPr>
        <w:t>.</w:t>
      </w:r>
    </w:p>
    <w:p w:rsidR="00F17CFD" w:rsidRPr="0068388E" w:rsidRDefault="00B57FD1" w:rsidP="007802E4">
      <w:pPr>
        <w:rPr>
          <w:lang w:val="ru-RU"/>
        </w:rPr>
      </w:pPr>
      <w:r w:rsidRPr="0068388E">
        <w:rPr>
          <w:lang w:val="ru-RU"/>
        </w:rPr>
        <w:t>7</w:t>
      </w:r>
      <w:r w:rsidR="00F17CFD" w:rsidRPr="0068388E">
        <w:rPr>
          <w:lang w:val="ru-RU"/>
        </w:rPr>
        <w:tab/>
      </w:r>
      <w:r w:rsidR="00F17CFD" w:rsidRPr="0068388E">
        <w:rPr>
          <w:szCs w:val="22"/>
          <w:lang w:val="ru-RU"/>
        </w:rPr>
        <w:t>Ряд гостиниц в Женеве предлагают льготные тарифы для делегатов, участ</w:t>
      </w:r>
      <w:r w:rsidR="000C4790" w:rsidRPr="0068388E">
        <w:rPr>
          <w:szCs w:val="22"/>
          <w:lang w:val="ru-RU"/>
        </w:rPr>
        <w:t>вующих</w:t>
      </w:r>
      <w:r w:rsidR="00F17CFD" w:rsidRPr="0068388E">
        <w:rPr>
          <w:szCs w:val="22"/>
          <w:lang w:val="ru-RU"/>
        </w:rPr>
        <w:t xml:space="preserve"> в собраниях МСЭ, и предоставляют карту, которая обеспечивает бесплатный доступ к системе общественного транспорта Женевы. </w:t>
      </w:r>
      <w:r w:rsidR="00F17CFD" w:rsidRPr="0068388E">
        <w:rPr>
          <w:lang w:val="ru-RU"/>
        </w:rPr>
        <w:t>Список соответствующих гостиниц и руководство по запросу скидки, содержатся по адресу</w:t>
      </w:r>
      <w:r w:rsidR="00F17CFD" w:rsidRPr="0068388E">
        <w:rPr>
          <w:szCs w:val="22"/>
          <w:lang w:val="ru-RU"/>
        </w:rPr>
        <w:t xml:space="preserve">: </w:t>
      </w:r>
      <w:hyperlink r:id="rId12" w:history="1">
        <w:r w:rsidR="00F17CFD" w:rsidRPr="0068388E">
          <w:rPr>
            <w:rStyle w:val="Hyperlink"/>
            <w:szCs w:val="22"/>
            <w:lang w:val="ru-RU"/>
          </w:rPr>
          <w:t>http://itu.int/travel/</w:t>
        </w:r>
      </w:hyperlink>
      <w:r w:rsidR="00F17CFD" w:rsidRPr="0068388E">
        <w:rPr>
          <w:lang w:val="ru-RU"/>
        </w:rPr>
        <w:t>.</w:t>
      </w:r>
    </w:p>
    <w:p w:rsidR="00F17CFD" w:rsidRPr="0068388E" w:rsidRDefault="00B57FD1" w:rsidP="007802E4">
      <w:pPr>
        <w:rPr>
          <w:lang w:val="ru-RU"/>
        </w:rPr>
      </w:pPr>
      <w:r w:rsidRPr="0068388E">
        <w:rPr>
          <w:lang w:val="ru-RU"/>
        </w:rPr>
        <w:t>8</w:t>
      </w:r>
      <w:r w:rsidR="00F17CFD" w:rsidRPr="0068388E">
        <w:rPr>
          <w:lang w:val="ru-RU"/>
        </w:rPr>
        <w:tab/>
      </w:r>
      <w:r w:rsidR="00F17CFD" w:rsidRPr="0068388E">
        <w:rPr>
          <w:szCs w:val="22"/>
          <w:lang w:val="ru-RU"/>
        </w:rPr>
        <w:t xml:space="preserve">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 онлайновой формы по адресу: </w:t>
      </w:r>
      <w:hyperlink r:id="rId13" w:history="1">
        <w:r w:rsidR="00CA7686" w:rsidRPr="0068388E">
          <w:rPr>
            <w:rStyle w:val="Hyperlink"/>
            <w:lang w:val="ru-RU"/>
          </w:rPr>
          <w:t>https://www.itu.int/net4/CRM/xreg/web/registration.as</w:t>
        </w:r>
        <w:r w:rsidR="00CA7686" w:rsidRPr="0068388E">
          <w:rPr>
            <w:rStyle w:val="Hyperlink"/>
            <w:lang w:val="ru-RU"/>
          </w:rPr>
          <w:t>px?Event=C-00005089</w:t>
        </w:r>
      </w:hyperlink>
      <w:r w:rsidR="00F17CFD" w:rsidRPr="0068388E">
        <w:rPr>
          <w:szCs w:val="22"/>
          <w:lang w:val="ru-RU"/>
        </w:rPr>
        <w:t xml:space="preserve">. </w:t>
      </w:r>
      <w:r w:rsidR="00F17CFD" w:rsidRPr="0068388E">
        <w:rPr>
          <w:b/>
          <w:bCs/>
          <w:szCs w:val="22"/>
          <w:lang w:val="ru-RU"/>
        </w:rPr>
        <w:t xml:space="preserve">Просьба также принять к сведению, что предварительная регистрация участников семинаров-практикумов </w:t>
      </w:r>
      <w:r w:rsidR="00CA7686" w:rsidRPr="0068388E">
        <w:rPr>
          <w:b/>
          <w:bCs/>
          <w:szCs w:val="22"/>
          <w:lang w:val="ru-RU"/>
        </w:rPr>
        <w:t xml:space="preserve">является обязательной и </w:t>
      </w:r>
      <w:r w:rsidR="00F17CFD" w:rsidRPr="0068388E">
        <w:rPr>
          <w:b/>
          <w:bCs/>
          <w:szCs w:val="22"/>
          <w:lang w:val="ru-RU"/>
        </w:rPr>
        <w:t>проводится</w:t>
      </w:r>
      <w:r w:rsidR="00F17CFD" w:rsidRPr="0068388E">
        <w:rPr>
          <w:szCs w:val="22"/>
          <w:lang w:val="ru-RU"/>
        </w:rPr>
        <w:t xml:space="preserve"> </w:t>
      </w:r>
      <w:r w:rsidR="00F17CFD" w:rsidRPr="0068388E">
        <w:rPr>
          <w:b/>
          <w:bCs/>
          <w:szCs w:val="22"/>
          <w:lang w:val="ru-RU"/>
        </w:rPr>
        <w:t xml:space="preserve">только в </w:t>
      </w:r>
      <w:hyperlink r:id="rId14" w:history="1">
        <w:r w:rsidR="00F17CFD" w:rsidRPr="0068388E">
          <w:rPr>
            <w:rStyle w:val="Hyperlink"/>
            <w:b/>
            <w:bCs/>
            <w:i/>
            <w:iCs/>
            <w:szCs w:val="22"/>
            <w:lang w:val="ru-RU"/>
          </w:rPr>
          <w:t>онлайновом</w:t>
        </w:r>
        <w:r w:rsidR="00F17CFD" w:rsidRPr="0068388E">
          <w:rPr>
            <w:rStyle w:val="Hyperlink"/>
            <w:b/>
            <w:bCs/>
            <w:szCs w:val="22"/>
            <w:lang w:val="ru-RU"/>
          </w:rPr>
          <w:t xml:space="preserve"> </w:t>
        </w:r>
        <w:r w:rsidR="00F17CFD" w:rsidRPr="0068388E">
          <w:rPr>
            <w:rStyle w:val="Hyperlink"/>
            <w:b/>
            <w:bCs/>
            <w:i/>
            <w:iCs/>
            <w:szCs w:val="22"/>
            <w:lang w:val="ru-RU"/>
          </w:rPr>
          <w:t>режиме</w:t>
        </w:r>
      </w:hyperlink>
      <w:r w:rsidR="00F17CFD" w:rsidRPr="0068388E">
        <w:rPr>
          <w:szCs w:val="22"/>
          <w:lang w:val="ru-RU"/>
        </w:rPr>
        <w:t>.</w:t>
      </w:r>
    </w:p>
    <w:p w:rsidR="00F17CFD" w:rsidRPr="0068388E" w:rsidRDefault="00B57FD1" w:rsidP="007802E4">
      <w:pPr>
        <w:rPr>
          <w:rFonts w:cs="Arial"/>
          <w:lang w:val="ru-RU"/>
        </w:rPr>
      </w:pPr>
      <w:r w:rsidRPr="0068388E">
        <w:rPr>
          <w:lang w:val="ru-RU"/>
        </w:rPr>
        <w:t>9</w:t>
      </w:r>
      <w:r w:rsidR="00F17CFD" w:rsidRPr="0068388E">
        <w:rPr>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w:t>
      </w:r>
      <w:r w:rsidR="00F17CFD" w:rsidRPr="0068388E">
        <w:rPr>
          <w:szCs w:val="22"/>
          <w:lang w:val="ru-RU"/>
        </w:rPr>
        <w:t>получить</w:t>
      </w:r>
      <w:r w:rsidR="00F17CFD" w:rsidRPr="0068388E">
        <w:rPr>
          <w:lang w:val="ru-RU"/>
        </w:rPr>
        <w:t xml:space="preserve"> визу. </w:t>
      </w:r>
      <w:r w:rsidR="00F17CFD" w:rsidRPr="0068388E">
        <w:rPr>
          <w:b/>
          <w:bCs/>
          <w:lang w:val="ru-RU"/>
        </w:rPr>
        <w:t>Визу следует запрашивать не менее чем за четыре (4) недели до даты начала семинара-практикума</w:t>
      </w:r>
      <w:r w:rsidR="00F17CFD" w:rsidRPr="0068388E">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w:t>
      </w:r>
    </w:p>
    <w:p w:rsidR="00F17CFD" w:rsidRPr="0068388E" w:rsidRDefault="00F17CFD" w:rsidP="007802E4">
      <w:pPr>
        <w:rPr>
          <w:spacing w:val="-2"/>
          <w:lang w:val="ru-RU"/>
        </w:rPr>
      </w:pPr>
      <w:r w:rsidRPr="0068388E">
        <w:rPr>
          <w:spacing w:val="-2"/>
          <w:lang w:val="ru-RU"/>
        </w:rPr>
        <w:t xml:space="preserve">В случае возникновения трудностей для </w:t>
      </w:r>
      <w:r w:rsidRPr="0068388E">
        <w:rPr>
          <w:b/>
          <w:bCs/>
          <w:spacing w:val="-2"/>
          <w:lang w:val="ru-RU"/>
        </w:rPr>
        <w:t>Государств – Членов МСЭ, Членов Секторов</w:t>
      </w:r>
      <w:r w:rsidR="00B27E62" w:rsidRPr="0068388E">
        <w:rPr>
          <w:b/>
          <w:bCs/>
          <w:spacing w:val="-2"/>
          <w:lang w:val="ru-RU"/>
        </w:rPr>
        <w:t xml:space="preserve"> МСЭ</w:t>
      </w:r>
      <w:r w:rsidRPr="0068388E">
        <w:rPr>
          <w:b/>
          <w:bCs/>
          <w:spacing w:val="-2"/>
          <w:lang w:val="ru-RU"/>
        </w:rPr>
        <w:t>, Ассоциированных членов</w:t>
      </w:r>
      <w:r w:rsidR="00B27E62" w:rsidRPr="0068388E">
        <w:rPr>
          <w:b/>
          <w:bCs/>
          <w:spacing w:val="-2"/>
          <w:lang w:val="ru-RU"/>
        </w:rPr>
        <w:t xml:space="preserve"> МСЭ</w:t>
      </w:r>
      <w:r w:rsidRPr="0068388E">
        <w:rPr>
          <w:b/>
          <w:bCs/>
          <w:spacing w:val="-2"/>
          <w:lang w:val="ru-RU"/>
        </w:rPr>
        <w:t xml:space="preserve"> или Академических организаций – Членов МСЭ</w:t>
      </w:r>
      <w:r w:rsidRPr="0068388E">
        <w:rPr>
          <w:spacing w:val="-2"/>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не позднее указанного </w:t>
      </w:r>
      <w:r w:rsidRPr="0068388E">
        <w:rPr>
          <w:b/>
          <w:bCs/>
          <w:spacing w:val="-2"/>
          <w:lang w:val="ru-RU"/>
        </w:rPr>
        <w:t>четырехнедельного</w:t>
      </w:r>
      <w:r w:rsidRPr="0068388E">
        <w:rPr>
          <w:spacing w:val="-2"/>
          <w:lang w:val="ru-RU"/>
        </w:rPr>
        <w:t xml:space="preserve"> периода. </w:t>
      </w:r>
      <w:r w:rsidR="007E440C" w:rsidRPr="0068388E">
        <w:rPr>
          <w:spacing w:val="-2"/>
          <w:lang w:val="ru-RU"/>
        </w:rPr>
        <w:t>Любой такой</w:t>
      </w:r>
      <w:r w:rsidR="007E440C" w:rsidRPr="0068388E">
        <w:rPr>
          <w:lang w:val="ru-RU"/>
        </w:rPr>
        <w:t xml:space="preserve"> запрос следует направлять путем проставления отметки в соответствующей ячейке регистрационной формы, которая заполняется не менее, чем за четыре недели до мероприятия</w:t>
      </w:r>
      <w:r w:rsidRPr="0068388E">
        <w:rPr>
          <w:spacing w:val="-2"/>
          <w:lang w:val="ru-RU"/>
        </w:rPr>
        <w:t>.</w:t>
      </w:r>
    </w:p>
    <w:p w:rsidR="00F17CFD" w:rsidRPr="0068388E" w:rsidRDefault="00F17CFD" w:rsidP="0068388E">
      <w:pPr>
        <w:spacing w:before="240"/>
        <w:rPr>
          <w:szCs w:val="22"/>
          <w:lang w:val="ru-RU"/>
        </w:rPr>
      </w:pPr>
      <w:r w:rsidRPr="0068388E">
        <w:rPr>
          <w:lang w:val="ru-RU"/>
        </w:rPr>
        <w:t>С уважением,</w:t>
      </w:r>
    </w:p>
    <w:p w:rsidR="00874B28" w:rsidRPr="0068388E" w:rsidRDefault="00AF0DA0" w:rsidP="00AF0DA0">
      <w:pPr>
        <w:spacing w:before="360"/>
        <w:rPr>
          <w:lang w:val="ru-RU"/>
        </w:rPr>
      </w:pPr>
      <w:bookmarkStart w:id="2" w:name="_GoBack"/>
      <w:r w:rsidRPr="0068388E">
        <w:rPr>
          <w:lang w:val="ru-RU"/>
        </w:rPr>
        <w:t>(</w:t>
      </w:r>
      <w:r w:rsidRPr="0068388E">
        <w:rPr>
          <w:i/>
          <w:iCs/>
          <w:lang w:val="ru-RU"/>
        </w:rPr>
        <w:t>подпись</w:t>
      </w:r>
      <w:r w:rsidRPr="0068388E">
        <w:rPr>
          <w:lang w:val="ru-RU"/>
        </w:rPr>
        <w:t>)</w:t>
      </w:r>
    </w:p>
    <w:bookmarkEnd w:id="2"/>
    <w:p w:rsidR="00F17CFD" w:rsidRPr="0068388E" w:rsidRDefault="00F17CFD" w:rsidP="00AF0DA0">
      <w:pPr>
        <w:pStyle w:val="Normalaftertitle"/>
        <w:spacing w:before="360"/>
        <w:jc w:val="left"/>
        <w:rPr>
          <w:szCs w:val="22"/>
          <w:lang w:val="ru-RU"/>
        </w:rPr>
      </w:pPr>
      <w:r w:rsidRPr="0068388E">
        <w:rPr>
          <w:szCs w:val="22"/>
          <w:lang w:val="ru-RU"/>
        </w:rPr>
        <w:t>Чхе Суб Ли</w:t>
      </w:r>
      <w:r w:rsidRPr="0068388E">
        <w:rPr>
          <w:szCs w:val="22"/>
          <w:lang w:val="ru-RU"/>
        </w:rPr>
        <w:br/>
        <w:t>Директор Бюро</w:t>
      </w:r>
      <w:r w:rsidRPr="0068388E">
        <w:rPr>
          <w:szCs w:val="22"/>
          <w:lang w:val="ru-RU"/>
        </w:rPr>
        <w:br/>
        <w:t>стандартизации электросвязи</w:t>
      </w:r>
    </w:p>
    <w:p w:rsidR="007E440C" w:rsidRPr="00544A8F" w:rsidRDefault="00F17CFD" w:rsidP="0068388E">
      <w:pPr>
        <w:spacing w:before="720"/>
        <w:rPr>
          <w:lang w:val="en-GB"/>
        </w:rPr>
      </w:pPr>
      <w:r w:rsidRPr="0068388E">
        <w:rPr>
          <w:b/>
          <w:bCs/>
          <w:lang w:val="ru-RU"/>
        </w:rPr>
        <w:t>Приложение</w:t>
      </w:r>
      <w:r w:rsidRPr="00544A8F">
        <w:rPr>
          <w:lang w:val="en-GB"/>
        </w:rPr>
        <w:t>: 1</w:t>
      </w:r>
    </w:p>
    <w:p w:rsidR="007E440C" w:rsidRPr="00544A8F" w:rsidRDefault="007E440C">
      <w:pPr>
        <w:tabs>
          <w:tab w:val="clear" w:pos="794"/>
          <w:tab w:val="clear" w:pos="1191"/>
          <w:tab w:val="clear" w:pos="1588"/>
          <w:tab w:val="clear" w:pos="1985"/>
        </w:tabs>
        <w:spacing w:before="0"/>
        <w:jc w:val="left"/>
        <w:rPr>
          <w:lang w:val="en-GB"/>
        </w:rPr>
      </w:pPr>
      <w:r w:rsidRPr="00544A8F">
        <w:rPr>
          <w:lang w:val="en-GB"/>
        </w:rPr>
        <w:br w:type="page"/>
      </w:r>
    </w:p>
    <w:p w:rsidR="007E440C" w:rsidRPr="0068388E" w:rsidRDefault="007E440C" w:rsidP="0068388E">
      <w:pPr>
        <w:pStyle w:val="AnnexNo"/>
        <w:rPr>
          <w:rStyle w:val="LineNumber"/>
          <w:rFonts w:eastAsia="MS Mincho"/>
        </w:rPr>
      </w:pPr>
      <w:r w:rsidRPr="0068388E">
        <w:rPr>
          <w:rStyle w:val="LineNumber"/>
          <w:rFonts w:eastAsia="MS Mincho"/>
        </w:rPr>
        <w:t>Annex A</w:t>
      </w:r>
    </w:p>
    <w:p w:rsidR="007E440C" w:rsidRPr="0068388E" w:rsidRDefault="007E440C" w:rsidP="0068388E">
      <w:pPr>
        <w:pStyle w:val="AnnexTitle"/>
        <w:rPr>
          <w:rStyle w:val="LineNumber"/>
          <w:rFonts w:eastAsia="MS Mincho"/>
        </w:rPr>
      </w:pPr>
      <w:r w:rsidRPr="0068388E">
        <w:rPr>
          <w:rStyle w:val="LineNumber"/>
          <w:rFonts w:eastAsia="MS Mincho"/>
        </w:rPr>
        <w:t>Draft agenda</w:t>
      </w:r>
    </w:p>
    <w:p w:rsidR="007E440C" w:rsidRPr="0068388E" w:rsidRDefault="007E440C" w:rsidP="0068388E">
      <w:pPr>
        <w:spacing w:before="480"/>
        <w:rPr>
          <w:b/>
          <w:lang w:val="en-GB"/>
        </w:rPr>
      </w:pPr>
      <w:r w:rsidRPr="0068388E">
        <w:rPr>
          <w:b/>
          <w:lang w:val="en-GB"/>
        </w:rPr>
        <w:t>Session 1 (90 min): Status of national quality regulatory frameworks</w:t>
      </w:r>
    </w:p>
    <w:p w:rsidR="007E440C" w:rsidRPr="0068388E" w:rsidRDefault="007E440C" w:rsidP="007E440C">
      <w:pPr>
        <w:rPr>
          <w:lang w:val="en-GB"/>
        </w:rPr>
      </w:pPr>
      <w:r w:rsidRPr="0068388E">
        <w:rPr>
          <w:lang w:val="en-GB"/>
        </w:rPr>
        <w:t>The objective of this session is to present the Final Report of the Questionnaire on the status of national quality regulatory frameworks and to discuss its main findings in terms of common approaches and standardization gaps to be addressed by ITU-T Study Group 12 in the near future.</w:t>
      </w:r>
    </w:p>
    <w:p w:rsidR="007E440C" w:rsidRPr="0068388E" w:rsidRDefault="007E440C" w:rsidP="0068388E">
      <w:pPr>
        <w:spacing w:before="240"/>
        <w:rPr>
          <w:b/>
          <w:lang w:val="en-GB"/>
        </w:rPr>
      </w:pPr>
      <w:r w:rsidRPr="0068388E">
        <w:rPr>
          <w:b/>
          <w:lang w:val="en-GB"/>
        </w:rPr>
        <w:t>Session 2 (90 min): The future of service quality regulation</w:t>
      </w:r>
    </w:p>
    <w:p w:rsidR="007E440C" w:rsidRPr="0068388E" w:rsidRDefault="007E440C" w:rsidP="007E440C">
      <w:pPr>
        <w:rPr>
          <w:lang w:val="en-GB"/>
        </w:rPr>
      </w:pPr>
      <w:r w:rsidRPr="0068388E">
        <w:rPr>
          <w:lang w:val="en-GB"/>
        </w:rPr>
        <w:t>The objective of this session is to discuss with regulators, operators and suppliers the new trends on telecommunication service quality regulatory frameworks, like responsive regulation, crowdsourced QoS measurement solutions, transparency and ranking approaches, as well as strategies of customer experience assessment.</w:t>
      </w:r>
    </w:p>
    <w:p w:rsidR="007E440C" w:rsidRPr="0068388E" w:rsidRDefault="007E440C" w:rsidP="0068388E">
      <w:pPr>
        <w:spacing w:before="240"/>
        <w:rPr>
          <w:b/>
          <w:lang w:val="en-GB"/>
        </w:rPr>
      </w:pPr>
      <w:r w:rsidRPr="0068388E">
        <w:rPr>
          <w:b/>
          <w:lang w:val="en-GB"/>
        </w:rPr>
        <w:t>Session 3 (60 min): How is quality of experience important to operators?</w:t>
      </w:r>
    </w:p>
    <w:p w:rsidR="007E440C" w:rsidRPr="0068388E" w:rsidRDefault="007E440C" w:rsidP="007E440C">
      <w:pPr>
        <w:rPr>
          <w:lang w:val="en-GB"/>
        </w:rPr>
      </w:pPr>
      <w:r w:rsidRPr="0068388E">
        <w:rPr>
          <w:lang w:val="en-GB"/>
        </w:rPr>
        <w:t>Operators/Regulators share views on the importance of QoE from their perspective / or panel discussion with short introductory presentations.</w:t>
      </w:r>
    </w:p>
    <w:p w:rsidR="007E440C" w:rsidRPr="0068388E" w:rsidRDefault="007E440C" w:rsidP="0068388E">
      <w:pPr>
        <w:spacing w:before="240"/>
        <w:rPr>
          <w:b/>
          <w:lang w:val="en-GB"/>
        </w:rPr>
      </w:pPr>
      <w:r w:rsidRPr="0068388E">
        <w:rPr>
          <w:b/>
          <w:lang w:val="en-GB"/>
        </w:rPr>
        <w:t>Session 4 (60 min): Performance indices to guarantee superior broadband quality of experience</w:t>
      </w:r>
    </w:p>
    <w:p w:rsidR="007E440C" w:rsidRPr="0068388E" w:rsidRDefault="007E440C" w:rsidP="007E440C">
      <w:pPr>
        <w:rPr>
          <w:lang w:val="en-GB"/>
        </w:rPr>
      </w:pPr>
      <w:r w:rsidRPr="0068388E">
        <w:rPr>
          <w:lang w:val="en-GB"/>
        </w:rPr>
        <w:t>Technical presentations from operators, vendors, regulators, and academia on the state of performance indices developed in SDOs, identifying the gaps in current performance indices necessary for guaranteeing superior broadband QoE.</w:t>
      </w:r>
    </w:p>
    <w:p w:rsidR="007E440C" w:rsidRPr="0068388E" w:rsidRDefault="007E440C" w:rsidP="0068388E">
      <w:pPr>
        <w:spacing w:before="240"/>
        <w:rPr>
          <w:b/>
          <w:lang w:val="en-GB"/>
        </w:rPr>
      </w:pPr>
      <w:r w:rsidRPr="0068388E">
        <w:rPr>
          <w:b/>
          <w:lang w:val="en-GB"/>
        </w:rPr>
        <w:t>Session 5 (60 min): How do big data and artificial intelligence help in QoE assurance?</w:t>
      </w:r>
    </w:p>
    <w:p w:rsidR="007E440C" w:rsidRPr="0068388E" w:rsidRDefault="007E440C" w:rsidP="007E440C">
      <w:pPr>
        <w:rPr>
          <w:lang w:val="en-GB"/>
        </w:rPr>
      </w:pPr>
      <w:r w:rsidRPr="0068388E">
        <w:rPr>
          <w:lang w:val="en-GB"/>
        </w:rPr>
        <w:t>Technical presentations from operators, vendors, regulators, or academia on the opportunity for making use of big data and AI to assess QoE and predict anomalies.</w:t>
      </w:r>
    </w:p>
    <w:p w:rsidR="007E440C" w:rsidRPr="0068388E" w:rsidRDefault="0068388E" w:rsidP="0068388E">
      <w:pPr>
        <w:spacing w:before="720"/>
        <w:jc w:val="center"/>
        <w:rPr>
          <w:lang w:val="en-GB"/>
        </w:rPr>
      </w:pPr>
      <w:r w:rsidRPr="0068388E">
        <w:rPr>
          <w:lang w:val="en-GB"/>
        </w:rPr>
        <w:t>______________</w:t>
      </w:r>
    </w:p>
    <w:sectPr w:rsidR="007E440C" w:rsidRPr="0068388E" w:rsidSect="008F6ADB">
      <w:headerReference w:type="default" r:id="rId15"/>
      <w:footerReference w:type="default" r:id="rId16"/>
      <w:footerReference w:type="first" r:id="rId17"/>
      <w:pgSz w:w="11907" w:h="16840"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44" w:rsidRDefault="001B4C44">
      <w:r>
        <w:separator/>
      </w:r>
    </w:p>
  </w:endnote>
  <w:endnote w:type="continuationSeparator" w:id="0">
    <w:p w:rsidR="001B4C44" w:rsidRDefault="001B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DB" w:rsidRPr="00AF0DA0" w:rsidRDefault="00AF0DA0" w:rsidP="00AF0DA0">
    <w:pPr>
      <w:pStyle w:val="Footer"/>
      <w:rPr>
        <w:lang w:val="fr-CH"/>
      </w:rPr>
    </w:pPr>
    <w:r>
      <w:rPr>
        <w:noProof/>
      </w:rPr>
      <w:fldChar w:fldCharType="begin"/>
    </w:r>
    <w:r w:rsidRPr="000B0788">
      <w:rPr>
        <w:noProof/>
        <w:lang w:val="fr-CH"/>
      </w:rPr>
      <w:instrText xml:space="preserve"> FILENAME \p  \* MERGEFORMAT </w:instrText>
    </w:r>
    <w:r>
      <w:rPr>
        <w:noProof/>
      </w:rPr>
      <w:fldChar w:fldCharType="separate"/>
    </w:r>
    <w:r>
      <w:rPr>
        <w:noProof/>
        <w:lang w:val="fr-CH"/>
      </w:rPr>
      <w:t>P:\RUS\ITU-T\BUREAU\CIRC\100\111R.docx</w:t>
    </w:r>
    <w:r>
      <w:rPr>
        <w:noProof/>
      </w:rPr>
      <w:fldChar w:fldCharType="end"/>
    </w:r>
    <w:r w:rsidRPr="000B0788">
      <w:rPr>
        <w:noProof/>
        <w:lang w:val="fr-CH"/>
      </w:rPr>
      <w:t xml:space="preserve"> (</w:t>
    </w:r>
    <w:r w:rsidRPr="00544A8F">
      <w:rPr>
        <w:noProof/>
        <w:lang w:val="fr-FR"/>
      </w:rPr>
      <w:t>442627</w:t>
    </w:r>
    <w:r w:rsidRPr="000B0788">
      <w:rPr>
        <w:noProof/>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DB" w:rsidRPr="00B30817" w:rsidRDefault="008F6ADB" w:rsidP="008F6ADB">
    <w:pPr>
      <w:pStyle w:val="FirstFooter"/>
      <w:spacing w:before="0" w:line="240" w:lineRule="auto"/>
      <w:ind w:left="-397" w:right="-397"/>
      <w:jc w:val="center"/>
      <w:rPr>
        <w:sz w:val="18"/>
        <w:szCs w:val="18"/>
        <w:u w:val="single"/>
        <w:lang w:val="fr-CH"/>
      </w:rPr>
    </w:pPr>
    <w:r w:rsidRPr="00B30817">
      <w:rPr>
        <w:sz w:val="18"/>
        <w:szCs w:val="18"/>
        <w:lang w:val="fr-CH"/>
      </w:rPr>
      <w:t>International Telecommunication Union • Place</w:t>
    </w:r>
    <w:r>
      <w:rPr>
        <w:sz w:val="18"/>
        <w:szCs w:val="18"/>
        <w:lang w:val="fr-CH"/>
      </w:rPr>
      <w:t xml:space="preserve"> des Nations </w:t>
    </w:r>
    <w:r w:rsidRPr="00B30817">
      <w:rPr>
        <w:sz w:val="18"/>
        <w:szCs w:val="18"/>
        <w:lang w:val="fr-CH"/>
      </w:rPr>
      <w:t>•</w:t>
    </w:r>
    <w:r>
      <w:rPr>
        <w:sz w:val="18"/>
        <w:szCs w:val="18"/>
        <w:lang w:val="fr-CH"/>
      </w:rPr>
      <w:t xml:space="preserve"> </w:t>
    </w:r>
    <w:r w:rsidRPr="00B30817">
      <w:rPr>
        <w:sz w:val="18"/>
        <w:szCs w:val="18"/>
        <w:lang w:val="fr-CH"/>
      </w:rPr>
      <w:t>CH</w:t>
    </w:r>
    <w:r w:rsidRPr="00B30817">
      <w:rPr>
        <w:sz w:val="18"/>
        <w:szCs w:val="18"/>
        <w:lang w:val="fr-CH"/>
      </w:rPr>
      <w:noBreakHyphen/>
      <w:t xml:space="preserve">1211 Geneva 20 • Switzerland </w:t>
    </w:r>
    <w:r w:rsidRPr="00B30817">
      <w:rPr>
        <w:sz w:val="18"/>
        <w:szCs w:val="18"/>
        <w:lang w:val="fr-CH"/>
      </w:rPr>
      <w:br/>
    </w:r>
    <w:r w:rsidRPr="00B30817">
      <w:rPr>
        <w:sz w:val="18"/>
        <w:szCs w:val="18"/>
        <w:lang w:val="ru-RU"/>
      </w:rPr>
      <w:t>Тел.</w:t>
    </w:r>
    <w:r w:rsidRPr="00B30817">
      <w:rPr>
        <w:sz w:val="18"/>
        <w:szCs w:val="18"/>
        <w:lang w:val="fr-CH"/>
      </w:rPr>
      <w:t xml:space="preserve">: +41 22 730 5111 • </w:t>
    </w:r>
    <w:r w:rsidRPr="00B30817">
      <w:rPr>
        <w:sz w:val="18"/>
        <w:szCs w:val="18"/>
        <w:lang w:val="ru-RU"/>
      </w:rPr>
      <w:t>Факс</w:t>
    </w:r>
    <w:r w:rsidRPr="00B30817">
      <w:rPr>
        <w:sz w:val="18"/>
        <w:szCs w:val="18"/>
        <w:lang w:val="fr-CH"/>
      </w:rPr>
      <w:t>: +41 22 733 7256</w:t>
    </w:r>
    <w:r w:rsidRPr="00B30817">
      <w:rPr>
        <w:sz w:val="18"/>
        <w:szCs w:val="18"/>
        <w:lang w:val="ru-RU"/>
      </w:rPr>
      <w:t xml:space="preserve"> </w:t>
    </w:r>
    <w:r w:rsidRPr="00B30817">
      <w:rPr>
        <w:sz w:val="18"/>
        <w:szCs w:val="18"/>
        <w:lang w:val="fr-CH"/>
      </w:rPr>
      <w:t xml:space="preserve">• </w:t>
    </w:r>
    <w:r w:rsidRPr="00B30817">
      <w:rPr>
        <w:sz w:val="18"/>
        <w:szCs w:val="18"/>
        <w:lang w:val="ru-RU"/>
      </w:rPr>
      <w:t>Эл. почта</w:t>
    </w:r>
    <w:r w:rsidRPr="00B30817">
      <w:rPr>
        <w:sz w:val="18"/>
        <w:szCs w:val="18"/>
        <w:lang w:val="fr-CH"/>
      </w:rPr>
      <w:t>:</w:t>
    </w:r>
    <w:r w:rsidRPr="00B30817">
      <w:rPr>
        <w:color w:val="0000FF"/>
        <w:sz w:val="18"/>
        <w:szCs w:val="18"/>
        <w:lang w:val="fr-CH"/>
      </w:rPr>
      <w:t xml:space="preserve"> </w:t>
    </w:r>
    <w:hyperlink r:id="rId1" w:history="1">
      <w:r w:rsidRPr="00B30817">
        <w:rPr>
          <w:rStyle w:val="Hyperlink"/>
          <w:sz w:val="18"/>
          <w:szCs w:val="18"/>
          <w:lang w:val="fr-CH"/>
        </w:rPr>
        <w:t>itumail@itu.int</w:t>
      </w:r>
    </w:hyperlink>
    <w:r w:rsidRPr="00B30817">
      <w:rPr>
        <w:sz w:val="18"/>
        <w:szCs w:val="18"/>
        <w:lang w:val="fr-CH"/>
      </w:rPr>
      <w:t xml:space="preserve"> • </w:t>
    </w:r>
    <w:hyperlink r:id="rId2" w:history="1">
      <w:r w:rsidRPr="00B30817">
        <w:rPr>
          <w:rStyle w:val="Hyperlink"/>
          <w:sz w:val="18"/>
          <w:szCs w:val="18"/>
          <w:lang w:val="fr-CH"/>
        </w:rPr>
        <w:t>www.itu.int</w:t>
      </w:r>
    </w:hyperlink>
    <w:r>
      <w:rPr>
        <w:rStyle w:val="Hyperlink"/>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44" w:rsidRDefault="001B4C44">
      <w:r>
        <w:separator/>
      </w:r>
    </w:p>
  </w:footnote>
  <w:footnote w:type="continuationSeparator" w:id="0">
    <w:p w:rsidR="001B4C44" w:rsidRDefault="001B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DB" w:rsidRPr="00DB7857" w:rsidRDefault="008F6ADB" w:rsidP="007E440C">
    <w:pPr>
      <w:pStyle w:val="Header"/>
      <w:rPr>
        <w:lang w:val="ru-RU"/>
      </w:rPr>
    </w:pPr>
    <w:r w:rsidRPr="00040901">
      <w:t xml:space="preserve">- </w:t>
    </w:r>
    <w:r w:rsidRPr="00040901">
      <w:fldChar w:fldCharType="begin"/>
    </w:r>
    <w:r w:rsidRPr="00040901">
      <w:instrText xml:space="preserve"> PAGE </w:instrText>
    </w:r>
    <w:r w:rsidRPr="00040901">
      <w:fldChar w:fldCharType="separate"/>
    </w:r>
    <w:r w:rsidR="00BC6AA3">
      <w:rPr>
        <w:noProof/>
      </w:rPr>
      <w:t>3</w:t>
    </w:r>
    <w:r w:rsidRPr="00040901">
      <w:fldChar w:fldCharType="end"/>
    </w:r>
    <w:r w:rsidRPr="00040901">
      <w:t xml:space="preserve"> -</w:t>
    </w:r>
    <w:r w:rsidR="00DB7857">
      <w:rPr>
        <w:lang w:val="ru-RU"/>
      </w:rPr>
      <w:br/>
    </w:r>
    <w:r w:rsidR="00DB7857" w:rsidRPr="00DB7857">
      <w:rPr>
        <w:lang w:val="ru-RU"/>
      </w:rPr>
      <w:t xml:space="preserve">Циркуляр </w:t>
    </w:r>
    <w:r w:rsidR="007E440C">
      <w:rPr>
        <w:lang w:val="ru-RU"/>
      </w:rPr>
      <w:t>111</w:t>
    </w:r>
    <w:r w:rsidR="00DB7857" w:rsidRPr="00DB7857">
      <w:rPr>
        <w:lang w:val="ru-RU"/>
      </w:rPr>
      <w:t xml:space="preserve"> БСЭ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6A58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D693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682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A3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7254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48F1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AE7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323A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E02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7095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8"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40C287F"/>
    <w:multiLevelType w:val="multilevel"/>
    <w:tmpl w:val="7E6C54A4"/>
    <w:lvl w:ilvl="0">
      <w:start w:val="1"/>
      <w:numFmt w:val="lowerLetter"/>
      <w:lvlText w:val="%1)"/>
      <w:lvlJc w:val="left"/>
      <w:pPr>
        <w:tabs>
          <w:tab w:val="num" w:pos="1288"/>
        </w:tabs>
        <w:ind w:left="1288" w:hanging="360"/>
      </w:p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20"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3"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6530C9"/>
    <w:multiLevelType w:val="hybridMultilevel"/>
    <w:tmpl w:val="7C241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424D70"/>
    <w:multiLevelType w:val="hybridMultilevel"/>
    <w:tmpl w:val="1A3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1" w15:restartNumberingAfterBreak="0">
    <w:nsid w:val="612B6FFC"/>
    <w:multiLevelType w:val="hybridMultilevel"/>
    <w:tmpl w:val="EA24F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8"/>
  </w:num>
  <w:num w:numId="3">
    <w:abstractNumId w:val="35"/>
  </w:num>
  <w:num w:numId="4">
    <w:abstractNumId w:val="14"/>
  </w:num>
  <w:num w:numId="5">
    <w:abstractNumId w:val="29"/>
  </w:num>
  <w:num w:numId="6">
    <w:abstractNumId w:val="12"/>
  </w:num>
  <w:num w:numId="7">
    <w:abstractNumId w:val="32"/>
  </w:num>
  <w:num w:numId="8">
    <w:abstractNumId w:val="24"/>
  </w:num>
  <w:num w:numId="9">
    <w:abstractNumId w:val="26"/>
  </w:num>
  <w:num w:numId="10">
    <w:abstractNumId w:val="17"/>
  </w:num>
  <w:num w:numId="11">
    <w:abstractNumId w:val="30"/>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2"/>
  </w:num>
  <w:num w:numId="14">
    <w:abstractNumId w:val="23"/>
  </w:num>
  <w:num w:numId="15">
    <w:abstractNumId w:val="15"/>
  </w:num>
  <w:num w:numId="16">
    <w:abstractNumId w:val="34"/>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1"/>
  </w:num>
  <w:num w:numId="30">
    <w:abstractNumId w:val="13"/>
  </w:num>
  <w:num w:numId="31">
    <w:abstractNumId w:val="31"/>
  </w:num>
  <w:num w:numId="32">
    <w:abstractNumId w:val="2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ru-RU"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4E27"/>
    <w:rsid w:val="00024565"/>
    <w:rsid w:val="000251D3"/>
    <w:rsid w:val="0003235D"/>
    <w:rsid w:val="00033B9A"/>
    <w:rsid w:val="00061A82"/>
    <w:rsid w:val="000826B4"/>
    <w:rsid w:val="00082B7B"/>
    <w:rsid w:val="00095EA0"/>
    <w:rsid w:val="000C0E13"/>
    <w:rsid w:val="000C12AC"/>
    <w:rsid w:val="000C2147"/>
    <w:rsid w:val="000C4790"/>
    <w:rsid w:val="000C7D98"/>
    <w:rsid w:val="000D16E1"/>
    <w:rsid w:val="000E2DAC"/>
    <w:rsid w:val="00103310"/>
    <w:rsid w:val="00103A84"/>
    <w:rsid w:val="00115B49"/>
    <w:rsid w:val="0011640C"/>
    <w:rsid w:val="00134D64"/>
    <w:rsid w:val="0013799A"/>
    <w:rsid w:val="00145AA0"/>
    <w:rsid w:val="001629DC"/>
    <w:rsid w:val="001817A3"/>
    <w:rsid w:val="00187C69"/>
    <w:rsid w:val="001A19B9"/>
    <w:rsid w:val="001B4A74"/>
    <w:rsid w:val="001B4C44"/>
    <w:rsid w:val="001D261C"/>
    <w:rsid w:val="001F216D"/>
    <w:rsid w:val="00207341"/>
    <w:rsid w:val="002241E4"/>
    <w:rsid w:val="0025701E"/>
    <w:rsid w:val="0026232A"/>
    <w:rsid w:val="00281C6B"/>
    <w:rsid w:val="002B37F9"/>
    <w:rsid w:val="002D26FD"/>
    <w:rsid w:val="002D6764"/>
    <w:rsid w:val="002E4C41"/>
    <w:rsid w:val="002F6F0A"/>
    <w:rsid w:val="00314BD4"/>
    <w:rsid w:val="0033434F"/>
    <w:rsid w:val="00336AD1"/>
    <w:rsid w:val="00340304"/>
    <w:rsid w:val="00343FEB"/>
    <w:rsid w:val="00382BFF"/>
    <w:rsid w:val="003956AC"/>
    <w:rsid w:val="003A15AE"/>
    <w:rsid w:val="003D551D"/>
    <w:rsid w:val="003D64AA"/>
    <w:rsid w:val="003D7633"/>
    <w:rsid w:val="003F5B77"/>
    <w:rsid w:val="00402C40"/>
    <w:rsid w:val="00403D48"/>
    <w:rsid w:val="004167E6"/>
    <w:rsid w:val="0041688E"/>
    <w:rsid w:val="00421AAE"/>
    <w:rsid w:val="00422623"/>
    <w:rsid w:val="00444B73"/>
    <w:rsid w:val="00450435"/>
    <w:rsid w:val="004543FE"/>
    <w:rsid w:val="00455EFA"/>
    <w:rsid w:val="00475A27"/>
    <w:rsid w:val="00495F13"/>
    <w:rsid w:val="004A0D07"/>
    <w:rsid w:val="004B35FB"/>
    <w:rsid w:val="004C3B81"/>
    <w:rsid w:val="004C5268"/>
    <w:rsid w:val="004D20E8"/>
    <w:rsid w:val="004E01AE"/>
    <w:rsid w:val="004E643F"/>
    <w:rsid w:val="004F48F0"/>
    <w:rsid w:val="005122D4"/>
    <w:rsid w:val="00514426"/>
    <w:rsid w:val="00514FBE"/>
    <w:rsid w:val="00524D5E"/>
    <w:rsid w:val="00526F05"/>
    <w:rsid w:val="00544A8F"/>
    <w:rsid w:val="00550E2A"/>
    <w:rsid w:val="005607FA"/>
    <w:rsid w:val="00561DB3"/>
    <w:rsid w:val="00573746"/>
    <w:rsid w:val="005848E6"/>
    <w:rsid w:val="005B7193"/>
    <w:rsid w:val="005C4C69"/>
    <w:rsid w:val="005D044D"/>
    <w:rsid w:val="005D2E33"/>
    <w:rsid w:val="005E616E"/>
    <w:rsid w:val="00602E3F"/>
    <w:rsid w:val="006034AF"/>
    <w:rsid w:val="006139B2"/>
    <w:rsid w:val="00625BAF"/>
    <w:rsid w:val="00626BA4"/>
    <w:rsid w:val="00631F9F"/>
    <w:rsid w:val="0063453A"/>
    <w:rsid w:val="00636D90"/>
    <w:rsid w:val="00671988"/>
    <w:rsid w:val="006777D5"/>
    <w:rsid w:val="00683765"/>
    <w:rsid w:val="0068388E"/>
    <w:rsid w:val="006F1984"/>
    <w:rsid w:val="00701561"/>
    <w:rsid w:val="00701BB9"/>
    <w:rsid w:val="0071361F"/>
    <w:rsid w:val="00717255"/>
    <w:rsid w:val="00741C5B"/>
    <w:rsid w:val="0074299E"/>
    <w:rsid w:val="00753F18"/>
    <w:rsid w:val="007635F4"/>
    <w:rsid w:val="00763FF3"/>
    <w:rsid w:val="007644B1"/>
    <w:rsid w:val="007656D7"/>
    <w:rsid w:val="007802E4"/>
    <w:rsid w:val="0079397B"/>
    <w:rsid w:val="007D0BFA"/>
    <w:rsid w:val="007D0F35"/>
    <w:rsid w:val="007E440C"/>
    <w:rsid w:val="007F1B4C"/>
    <w:rsid w:val="00802451"/>
    <w:rsid w:val="00807670"/>
    <w:rsid w:val="00820156"/>
    <w:rsid w:val="00821342"/>
    <w:rsid w:val="00826959"/>
    <w:rsid w:val="00826CB4"/>
    <w:rsid w:val="00831FDC"/>
    <w:rsid w:val="00832A5A"/>
    <w:rsid w:val="00832C58"/>
    <w:rsid w:val="00871131"/>
    <w:rsid w:val="00874B28"/>
    <w:rsid w:val="008C5C0E"/>
    <w:rsid w:val="008C7044"/>
    <w:rsid w:val="008E0925"/>
    <w:rsid w:val="008F42D9"/>
    <w:rsid w:val="008F6ADB"/>
    <w:rsid w:val="00920E3C"/>
    <w:rsid w:val="009469D2"/>
    <w:rsid w:val="00974648"/>
    <w:rsid w:val="009979B5"/>
    <w:rsid w:val="009A2C9B"/>
    <w:rsid w:val="009B6144"/>
    <w:rsid w:val="009C2978"/>
    <w:rsid w:val="009C42DC"/>
    <w:rsid w:val="009E4999"/>
    <w:rsid w:val="009E6596"/>
    <w:rsid w:val="00A0636B"/>
    <w:rsid w:val="00A21DD2"/>
    <w:rsid w:val="00A24244"/>
    <w:rsid w:val="00A41D67"/>
    <w:rsid w:val="00A43170"/>
    <w:rsid w:val="00A52EE0"/>
    <w:rsid w:val="00A563C7"/>
    <w:rsid w:val="00A56624"/>
    <w:rsid w:val="00A57977"/>
    <w:rsid w:val="00A6146E"/>
    <w:rsid w:val="00A65159"/>
    <w:rsid w:val="00A654CA"/>
    <w:rsid w:val="00A66683"/>
    <w:rsid w:val="00A66C90"/>
    <w:rsid w:val="00A8170F"/>
    <w:rsid w:val="00A86DF1"/>
    <w:rsid w:val="00A91EB5"/>
    <w:rsid w:val="00A9263A"/>
    <w:rsid w:val="00AA5A03"/>
    <w:rsid w:val="00AB1CE9"/>
    <w:rsid w:val="00AB6E41"/>
    <w:rsid w:val="00AC1229"/>
    <w:rsid w:val="00AD3D11"/>
    <w:rsid w:val="00AD744C"/>
    <w:rsid w:val="00AF0DA0"/>
    <w:rsid w:val="00AF2B53"/>
    <w:rsid w:val="00B16D86"/>
    <w:rsid w:val="00B27E62"/>
    <w:rsid w:val="00B34D84"/>
    <w:rsid w:val="00B423FA"/>
    <w:rsid w:val="00B57FD1"/>
    <w:rsid w:val="00B7177A"/>
    <w:rsid w:val="00BA04B6"/>
    <w:rsid w:val="00BC1D26"/>
    <w:rsid w:val="00BC33B4"/>
    <w:rsid w:val="00BC6AA3"/>
    <w:rsid w:val="00BD5A3E"/>
    <w:rsid w:val="00BD7EE4"/>
    <w:rsid w:val="00BE120F"/>
    <w:rsid w:val="00BE7A1B"/>
    <w:rsid w:val="00C134CB"/>
    <w:rsid w:val="00C176C0"/>
    <w:rsid w:val="00C22D6C"/>
    <w:rsid w:val="00C27A35"/>
    <w:rsid w:val="00C60E38"/>
    <w:rsid w:val="00C623F1"/>
    <w:rsid w:val="00C63A4F"/>
    <w:rsid w:val="00C65269"/>
    <w:rsid w:val="00C74C6E"/>
    <w:rsid w:val="00CA7686"/>
    <w:rsid w:val="00CE3A6E"/>
    <w:rsid w:val="00D47122"/>
    <w:rsid w:val="00D63F61"/>
    <w:rsid w:val="00D83022"/>
    <w:rsid w:val="00D911F5"/>
    <w:rsid w:val="00DA1127"/>
    <w:rsid w:val="00DB5204"/>
    <w:rsid w:val="00DB7857"/>
    <w:rsid w:val="00DC215D"/>
    <w:rsid w:val="00DC6716"/>
    <w:rsid w:val="00DD1F2E"/>
    <w:rsid w:val="00DD2CE8"/>
    <w:rsid w:val="00DD7242"/>
    <w:rsid w:val="00DF012B"/>
    <w:rsid w:val="00DF109B"/>
    <w:rsid w:val="00E07386"/>
    <w:rsid w:val="00E13CCC"/>
    <w:rsid w:val="00E14A1A"/>
    <w:rsid w:val="00E17F1A"/>
    <w:rsid w:val="00E35055"/>
    <w:rsid w:val="00E35B5E"/>
    <w:rsid w:val="00E45C46"/>
    <w:rsid w:val="00E46711"/>
    <w:rsid w:val="00E645B4"/>
    <w:rsid w:val="00E71652"/>
    <w:rsid w:val="00E71953"/>
    <w:rsid w:val="00E7393C"/>
    <w:rsid w:val="00EB1C4A"/>
    <w:rsid w:val="00EB4078"/>
    <w:rsid w:val="00EC2D7A"/>
    <w:rsid w:val="00EE27A3"/>
    <w:rsid w:val="00EF273F"/>
    <w:rsid w:val="00EF4248"/>
    <w:rsid w:val="00F11A1C"/>
    <w:rsid w:val="00F15118"/>
    <w:rsid w:val="00F17CFD"/>
    <w:rsid w:val="00F205F5"/>
    <w:rsid w:val="00F7611C"/>
    <w:rsid w:val="00F830DA"/>
    <w:rsid w:val="00F9496A"/>
    <w:rsid w:val="00F956C2"/>
    <w:rsid w:val="00FC019B"/>
    <w:rsid w:val="00FD1C10"/>
    <w:rsid w:val="00FD353E"/>
    <w:rsid w:val="00FD678B"/>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E171850-DE36-45CE-A1C9-69352D3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9A"/>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2AC"/>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rsid w:val="00F9496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link w:val="TitleChar"/>
    <w:uiPriority w:val="5"/>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33B9A"/>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link w:val="BodyText2Char"/>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33B9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
    <w:basedOn w:val="DefaultParagraphFont"/>
    <w:link w:val="Footer"/>
    <w:rsid w:val="00F9496A"/>
    <w:rPr>
      <w:sz w:val="16"/>
      <w:szCs w:val="24"/>
      <w:lang w:eastAsia="en-US"/>
    </w:rPr>
  </w:style>
  <w:style w:type="character" w:customStyle="1" w:styleId="HeaderChar">
    <w:name w:val="Header Char"/>
    <w:basedOn w:val="DefaultParagraphFont"/>
    <w:link w:val="Header"/>
    <w:uiPriority w:val="99"/>
    <w:rsid w:val="000C12AC"/>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9C297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Normal"/>
    <w:rsid w:val="006034AF"/>
    <w:pPr>
      <w:tabs>
        <w:tab w:val="clear" w:pos="794"/>
        <w:tab w:val="clear" w:pos="1191"/>
        <w:tab w:val="clear" w:pos="1588"/>
        <w:tab w:val="clear" w:pos="1985"/>
      </w:tabs>
      <w:spacing w:before="40" w:line="280" w:lineRule="exact"/>
    </w:pPr>
    <w:rPr>
      <w:rFonts w:ascii="Calibri" w:hAnsi="Calibri" w:cs="Calibri"/>
      <w:sz w:val="16"/>
      <w:szCs w:val="22"/>
    </w:rPr>
  </w:style>
  <w:style w:type="character" w:customStyle="1" w:styleId="FootnoteTextChar">
    <w:name w:val="Footnote Text Char"/>
    <w:basedOn w:val="DefaultParagraphFont"/>
    <w:link w:val="FootnoteText"/>
    <w:uiPriority w:val="99"/>
    <w:semiHidden/>
    <w:rsid w:val="00FD678B"/>
    <w:rPr>
      <w:rFonts w:asciiTheme="minorHAnsi" w:hAnsiTheme="minorHAnsi"/>
      <w:lang w:eastAsia="en-US"/>
    </w:rPr>
  </w:style>
  <w:style w:type="paragraph" w:customStyle="1" w:styleId="Reasons">
    <w:name w:val="Reasons"/>
    <w:basedOn w:val="Normal"/>
    <w:qFormat/>
    <w:rsid w:val="00FD678B"/>
    <w:pPr>
      <w:tabs>
        <w:tab w:val="clear" w:pos="794"/>
        <w:tab w:val="clear" w:pos="1191"/>
        <w:tab w:val="clear" w:pos="1588"/>
        <w:tab w:val="clear" w:pos="1985"/>
      </w:tabs>
      <w:spacing w:before="0"/>
    </w:pPr>
    <w:rPr>
      <w:rFonts w:ascii="Times New Roman" w:hAnsi="Times New Roman"/>
      <w:sz w:val="24"/>
      <w:szCs w:val="20"/>
    </w:rPr>
  </w:style>
  <w:style w:type="paragraph" w:styleId="NormalWeb">
    <w:name w:val="Normal (Web)"/>
    <w:basedOn w:val="Normal"/>
    <w:rsid w:val="00134D64"/>
    <w:pPr>
      <w:tabs>
        <w:tab w:val="clear" w:pos="794"/>
        <w:tab w:val="clear" w:pos="1191"/>
        <w:tab w:val="clear" w:pos="1588"/>
        <w:tab w:val="clear" w:pos="1985"/>
      </w:tabs>
      <w:spacing w:before="100" w:after="100" w:line="240" w:lineRule="atLeast"/>
      <w:jc w:val="left"/>
    </w:pPr>
    <w:rPr>
      <w:rFonts w:ascii="Verdana" w:eastAsia="SimSun" w:hAnsi="Verdana"/>
      <w:sz w:val="18"/>
      <w:szCs w:val="18"/>
      <w:lang w:eastAsia="zh-CN"/>
    </w:rPr>
  </w:style>
  <w:style w:type="character" w:styleId="FollowedHyperlink">
    <w:name w:val="FollowedHyperlink"/>
    <w:basedOn w:val="DefaultParagraphFont"/>
    <w:semiHidden/>
    <w:unhideWhenUsed/>
    <w:rsid w:val="00A0636B"/>
    <w:rPr>
      <w:color w:val="800080" w:themeColor="followedHyperlink"/>
      <w:u w:val="single"/>
    </w:rPr>
  </w:style>
  <w:style w:type="paragraph" w:styleId="ListParagraph">
    <w:name w:val="List Paragraph"/>
    <w:basedOn w:val="Normal"/>
    <w:uiPriority w:val="34"/>
    <w:qFormat/>
    <w:rsid w:val="00AC1229"/>
    <w:pPr>
      <w:ind w:left="720"/>
      <w:contextualSpacing/>
    </w:pPr>
  </w:style>
  <w:style w:type="character" w:customStyle="1" w:styleId="TitleChar">
    <w:name w:val="Title Char"/>
    <w:basedOn w:val="DefaultParagraphFont"/>
    <w:link w:val="Title"/>
    <w:uiPriority w:val="5"/>
    <w:rsid w:val="00BE120F"/>
    <w:rPr>
      <w:rFonts w:asciiTheme="minorHAnsi" w:hAnsiTheme="minorHAnsi"/>
      <w:b/>
      <w:bCs/>
      <w:sz w:val="24"/>
      <w:szCs w:val="24"/>
      <w:lang w:eastAsia="en-US"/>
    </w:rPr>
  </w:style>
  <w:style w:type="paragraph" w:customStyle="1" w:styleId="Tabletext0">
    <w:name w:val="Table_text"/>
    <w:basedOn w:val="Normal"/>
    <w:rsid w:val="008F6ADB"/>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sz w:val="24"/>
      <w:szCs w:val="20"/>
      <w:lang w:val="en-GB"/>
    </w:rPr>
  </w:style>
  <w:style w:type="character" w:styleId="LineNumber">
    <w:name w:val="line number"/>
    <w:basedOn w:val="DefaultParagraphFont"/>
    <w:rsid w:val="008F6ADB"/>
  </w:style>
  <w:style w:type="character" w:customStyle="1" w:styleId="BodyText2Char">
    <w:name w:val="Body Text 2 Char"/>
    <w:basedOn w:val="DefaultParagraphFont"/>
    <w:link w:val="BodyText2"/>
    <w:rsid w:val="008F6ADB"/>
    <w:rPr>
      <w:rFonts w:asciiTheme="minorHAnsi" w:hAnsiTheme="minorHAnsi"/>
      <w:sz w:val="24"/>
      <w:szCs w:val="24"/>
      <w:lang w:eastAsia="en-US"/>
    </w:rPr>
  </w:style>
  <w:style w:type="paragraph" w:customStyle="1" w:styleId="Default">
    <w:name w:val="Default"/>
    <w:rsid w:val="008F6ADB"/>
    <w:pPr>
      <w:autoSpaceDE w:val="0"/>
      <w:autoSpaceDN w:val="0"/>
      <w:adjustRightInd w:val="0"/>
    </w:pPr>
    <w:rPr>
      <w:rFonts w:eastAsiaTheme="minorEastAsia"/>
      <w:color w:val="000000"/>
      <w:sz w:val="24"/>
      <w:szCs w:val="24"/>
    </w:rPr>
  </w:style>
  <w:style w:type="table" w:styleId="TableGrid">
    <w:name w:val="Table Grid"/>
    <w:basedOn w:val="TableNormal"/>
    <w:rsid w:val="008F6ADB"/>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locked/>
    <w:rsid w:val="00F17CFD"/>
    <w:rPr>
      <w:rFonts w:asciiTheme="minorHAnsi" w:hAnsiTheme="minorHAnsi"/>
      <w:sz w:val="22"/>
      <w:lang w:val="en-GB" w:eastAsia="en-US"/>
    </w:rPr>
  </w:style>
  <w:style w:type="paragraph" w:customStyle="1" w:styleId="enumlev1">
    <w:name w:val="enumlev1"/>
    <w:basedOn w:val="Normal"/>
    <w:rsid w:val="00550E2A"/>
    <w:pPr>
      <w:tabs>
        <w:tab w:val="left" w:pos="2608"/>
        <w:tab w:val="left" w:pos="3345"/>
      </w:tabs>
      <w:overflowPunct w:val="0"/>
      <w:autoSpaceDE w:val="0"/>
      <w:autoSpaceDN w:val="0"/>
      <w:adjustRightInd w:val="0"/>
      <w:spacing w:before="80"/>
      <w:ind w:left="794" w:hanging="794"/>
      <w:jc w:val="left"/>
      <w:textAlignment w:val="baseline"/>
    </w:pPr>
    <w:rPr>
      <w:rFonts w:ascii="Calibri" w:hAnsi="Calibr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registration.aspx?Event=C-000050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trav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Workshops-and-Seminars/qos/201811/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net4/CRM/xreg/web/registration.aspx?Event=C-00005089"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0CEA-AA91-49BE-8832-EEA89FEB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840</Words>
  <Characters>6153</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6980</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Millet, Lia</cp:lastModifiedBy>
  <cp:revision>7</cp:revision>
  <cp:lastPrinted>2018-10-22T16:09:00Z</cp:lastPrinted>
  <dcterms:created xsi:type="dcterms:W3CDTF">2018-09-06T12:38:00Z</dcterms:created>
  <dcterms:modified xsi:type="dcterms:W3CDTF">2018-10-22T16:09:00Z</dcterms:modified>
</cp:coreProperties>
</file>