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EC680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53E858F" wp14:editId="6A9678A4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EC680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EC6805">
              <w:rPr>
                <w:rFonts w:eastAsiaTheme="minorEastAsia"/>
                <w:lang w:eastAsia="zh-CN"/>
              </w:rPr>
              <w:t>28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6805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D2431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D2431C">
              <w:rPr>
                <w:rFonts w:eastAsiaTheme="minorEastAsia"/>
                <w:b/>
                <w:lang w:eastAsia="zh-CN" w:bidi="ar-SY"/>
              </w:rPr>
              <w:t> </w:t>
            </w:r>
            <w:r w:rsidR="00EC6805">
              <w:rPr>
                <w:rFonts w:eastAsiaTheme="minorEastAsia"/>
                <w:b/>
                <w:lang w:eastAsia="zh-CN" w:bidi="ar-SY"/>
              </w:rPr>
              <w:t>117</w:t>
            </w:r>
            <w:r w:rsidR="00EC6805">
              <w:rPr>
                <w:rFonts w:eastAsiaTheme="minorEastAsia"/>
                <w:b/>
                <w:lang w:eastAsia="zh-CN" w:bidi="ar-SY"/>
              </w:rPr>
              <w:br/>
            </w:r>
            <w:r w:rsidR="00EC6805">
              <w:rPr>
                <w:bCs/>
                <w:lang w:bidi="ar-SY"/>
              </w:rPr>
              <w:t>SG5/RU</w:t>
            </w:r>
          </w:p>
        </w:tc>
        <w:tc>
          <w:tcPr>
            <w:tcW w:w="2470" w:type="pct"/>
            <w:vMerge w:val="restart"/>
          </w:tcPr>
          <w:p w:rsidR="00A15845" w:rsidRPr="00EC680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EC6805">
              <w:rPr>
                <w:rFonts w:hint="cs"/>
                <w:b/>
                <w:bCs/>
                <w:rtl/>
              </w:rPr>
              <w:t>إلى:</w:t>
            </w:r>
          </w:p>
          <w:p w:rsidR="00425492" w:rsidRPr="00EC6805" w:rsidRDefault="00425492" w:rsidP="00B84ED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 xml:space="preserve">إدارات الدول الأعضاء في </w:t>
            </w:r>
            <w:r w:rsidR="00B84ED5">
              <w:rPr>
                <w:rFonts w:hint="cs"/>
                <w:rtl/>
              </w:rPr>
              <w:t>الاتحاد</w:t>
            </w:r>
            <w:r w:rsidRPr="00EC6805">
              <w:rPr>
                <w:rFonts w:hint="cs"/>
                <w:rtl/>
                <w:lang w:bidi="ar-EG"/>
              </w:rPr>
              <w:t>؛</w:t>
            </w:r>
          </w:p>
          <w:p w:rsidR="00425492" w:rsidRPr="00EC6805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  <w:lang w:bidi="ar-EG"/>
              </w:rPr>
              <w:t>أعضاء قطاع تقييس الاتصالات</w:t>
            </w:r>
            <w:r w:rsidR="00EC6805" w:rsidRPr="00EC6805">
              <w:rPr>
                <w:rFonts w:hint="cs"/>
                <w:rtl/>
                <w:lang w:bidi="ar-EG"/>
              </w:rPr>
              <w:t xml:space="preserve"> </w:t>
            </w:r>
            <w:r w:rsidR="00EC6805" w:rsidRPr="00EC6805">
              <w:rPr>
                <w:rFonts w:hint="cs"/>
                <w:rtl/>
              </w:rPr>
              <w:t>في الاتحاد</w:t>
            </w:r>
            <w:r w:rsidRPr="00EC6805">
              <w:rPr>
                <w:rFonts w:hint="cs"/>
                <w:rtl/>
                <w:lang w:bidi="ar-EG"/>
              </w:rPr>
              <w:t>؛</w:t>
            </w:r>
          </w:p>
          <w:p w:rsidR="00425492" w:rsidRPr="00EC6805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EC6805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>الهيئات الأكاديمية المنضمة إلى</w:t>
            </w:r>
            <w:r w:rsidRPr="00EC6805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EC6805">
              <w:rPr>
                <w:lang w:bidi="ar-SY"/>
              </w:rPr>
              <w:t>6301</w:t>
            </w:r>
          </w:p>
        </w:tc>
        <w:tc>
          <w:tcPr>
            <w:tcW w:w="2470" w:type="pct"/>
            <w:vMerge/>
          </w:tcPr>
          <w:p w:rsidR="00A15845" w:rsidRPr="00EC680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EC6805" w:rsidRPr="00521E65">
              <w:rPr>
                <w:lang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EC680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4F493D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EC6805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470" w:type="pct"/>
          </w:tcPr>
          <w:p w:rsidR="00425492" w:rsidRPr="00EC6805" w:rsidRDefault="00425492" w:rsidP="00D2431C">
            <w:pPr>
              <w:tabs>
                <w:tab w:val="left" w:pos="284"/>
                <w:tab w:val="left" w:pos="4111"/>
              </w:tabs>
              <w:spacing w:before="60" w:after="60" w:line="340" w:lineRule="exact"/>
              <w:rPr>
                <w:b/>
                <w:bCs/>
                <w:rtl/>
              </w:rPr>
            </w:pPr>
            <w:r w:rsidRPr="00EC6805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EC6805" w:rsidRDefault="00425492" w:rsidP="00D2431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</w:r>
            <w:r w:rsidRPr="00EC6805">
              <w:rPr>
                <w:rFonts w:hint="cs"/>
                <w:rtl/>
              </w:rPr>
              <w:t xml:space="preserve">رئيس لجنة الدراسات </w:t>
            </w:r>
            <w:r w:rsidRPr="00EC6805">
              <w:t>5</w:t>
            </w:r>
            <w:r w:rsidRPr="00EC6805">
              <w:rPr>
                <w:rFonts w:hint="cs"/>
                <w:rtl/>
                <w:lang w:bidi="ar-EG"/>
              </w:rPr>
              <w:t xml:space="preserve"> ونوابه</w:t>
            </w:r>
            <w:r w:rsidRPr="00EC6805">
              <w:rPr>
                <w:rFonts w:hint="cs"/>
                <w:rtl/>
              </w:rPr>
              <w:t>؛</w:t>
            </w:r>
          </w:p>
          <w:p w:rsidR="00425492" w:rsidRPr="00EC6805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  <w:t>مدير مكتب تنمية الاتصالات</w:t>
            </w:r>
            <w:r w:rsidRPr="00EC6805">
              <w:rPr>
                <w:rFonts w:hint="cs"/>
                <w:rtl/>
              </w:rPr>
              <w:t>؛</w:t>
            </w:r>
          </w:p>
          <w:p w:rsidR="00A15845" w:rsidRPr="00EC6805" w:rsidRDefault="00425492" w:rsidP="0092176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EC6805">
              <w:rPr>
                <w:rFonts w:hint="cs"/>
                <w:rtl/>
              </w:rPr>
              <w:t>-</w:t>
            </w:r>
            <w:r w:rsidRPr="00EC6805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714D0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EC6805" w:rsidP="00714D0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4C4747">
              <w:rPr>
                <w:rFonts w:hint="cs"/>
                <w:b/>
                <w:bCs/>
                <w:rtl/>
              </w:rPr>
              <w:t>حالة التوصية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</w:rPr>
              <w:t>ITU-T L.1450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L.MAE</w:t>
            </w:r>
            <w:r>
              <w:rPr>
                <w:rFonts w:hint="cs"/>
                <w:b/>
                <w:bCs/>
                <w:rtl/>
              </w:rPr>
              <w:t xml:space="preserve"> سابقاً)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4C4747">
              <w:rPr>
                <w:rFonts w:hint="cs"/>
                <w:b/>
                <w:bCs/>
                <w:rtl/>
                <w:lang w:bidi="ar-EG"/>
              </w:rPr>
              <w:t>بعد اجتماع لجنة الدراسات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5</w:t>
            </w:r>
            <w:r w:rsidRPr="004C4747"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 (</w:t>
            </w:r>
            <w:r w:rsidRPr="004C4747"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lang w:val="fr-FR"/>
              </w:rPr>
              <w:t>1</w:t>
            </w:r>
            <w:r w:rsidRPr="004C4747">
              <w:rPr>
                <w:b/>
                <w:bCs/>
                <w:lang w:val="fr-FR"/>
              </w:rPr>
              <w:t>-1</w:t>
            </w:r>
            <w:r>
              <w:rPr>
                <w:b/>
                <w:bCs/>
                <w:lang w:val="fr-FR"/>
              </w:rPr>
              <w:t>1</w:t>
            </w:r>
            <w:r w:rsidRPr="004C47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سبتمبر</w:t>
            </w:r>
            <w:r w:rsidRPr="004C4747">
              <w:rPr>
                <w:rFonts w:hint="cs"/>
                <w:b/>
                <w:bCs/>
                <w:rtl/>
              </w:rPr>
              <w:t xml:space="preserve"> </w:t>
            </w:r>
            <w:r w:rsidRPr="004C4747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4C4747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EC6805" w:rsidRPr="00EE631F" w:rsidRDefault="00EC6805" w:rsidP="00B84ED5">
      <w:pPr>
        <w:rPr>
          <w:rtl/>
          <w:lang w:bidi="ar-EG"/>
        </w:rPr>
      </w:pPr>
      <w:r w:rsidRPr="00B84ED5">
        <w:rPr>
          <w:spacing w:val="-2"/>
          <w:lang w:bidi="ar-EG"/>
        </w:rPr>
        <w:t>1</w:t>
      </w:r>
      <w:r w:rsidRPr="00B84ED5">
        <w:rPr>
          <w:spacing w:val="-2"/>
          <w:lang w:bidi="ar-EG"/>
        </w:rPr>
        <w:tab/>
      </w:r>
      <w:r w:rsidR="00B84ED5">
        <w:rPr>
          <w:rFonts w:hint="cs"/>
          <w:spacing w:val="-2"/>
          <w:rtl/>
        </w:rPr>
        <w:t>إلحاقاً</w:t>
      </w:r>
      <w:r w:rsidRPr="00B84ED5">
        <w:rPr>
          <w:rFonts w:hint="cs"/>
          <w:spacing w:val="-2"/>
          <w:rtl/>
        </w:rPr>
        <w:t xml:space="preserve"> بالإعلان </w:t>
      </w:r>
      <w:hyperlink r:id="rId12" w:history="1">
        <w:r w:rsidRPr="00B84ED5">
          <w:rPr>
            <w:rStyle w:val="Hyperlink"/>
            <w:spacing w:val="-2"/>
          </w:rPr>
          <w:t>AAP-42</w:t>
        </w:r>
      </w:hyperlink>
      <w:r w:rsidRPr="00B84ED5">
        <w:rPr>
          <w:rFonts w:hint="cs"/>
          <w:spacing w:val="-2"/>
          <w:rtl/>
        </w:rPr>
        <w:t xml:space="preserve"> </w:t>
      </w:r>
      <w:r w:rsidR="00B84ED5">
        <w:rPr>
          <w:rFonts w:hint="cs"/>
          <w:spacing w:val="-2"/>
          <w:rtl/>
          <w:lang w:bidi="ar-EG"/>
        </w:rPr>
        <w:t>المؤرخ</w:t>
      </w:r>
      <w:r w:rsidRPr="00B84ED5">
        <w:rPr>
          <w:rFonts w:hint="cs"/>
          <w:spacing w:val="-2"/>
          <w:rtl/>
          <w:lang w:bidi="ar-EG"/>
        </w:rPr>
        <w:t xml:space="preserve"> </w:t>
      </w:r>
      <w:r w:rsidRPr="00B84ED5">
        <w:rPr>
          <w:spacing w:val="-2"/>
          <w:lang w:bidi="ar-EG"/>
        </w:rPr>
        <w:t>1</w:t>
      </w:r>
      <w:r w:rsidRPr="00B84ED5">
        <w:rPr>
          <w:rFonts w:hint="cs"/>
          <w:spacing w:val="-2"/>
          <w:rtl/>
          <w:lang w:bidi="ar-EG"/>
        </w:rPr>
        <w:t xml:space="preserve"> سبتمبر </w:t>
      </w:r>
      <w:r w:rsidRPr="00B84ED5">
        <w:rPr>
          <w:spacing w:val="-2"/>
          <w:lang w:bidi="ar-EG"/>
        </w:rPr>
        <w:t>2018</w:t>
      </w:r>
      <w:r w:rsidRPr="00B84ED5">
        <w:rPr>
          <w:rFonts w:hint="cs"/>
          <w:spacing w:val="-2"/>
          <w:rtl/>
          <w:lang w:bidi="ar-EG"/>
        </w:rPr>
        <w:t xml:space="preserve"> </w:t>
      </w:r>
      <w:r w:rsidR="00B84ED5">
        <w:rPr>
          <w:rFonts w:hint="cs"/>
          <w:spacing w:val="-2"/>
          <w:rtl/>
          <w:lang w:bidi="ar-EG"/>
        </w:rPr>
        <w:t>لمكتب</w:t>
      </w:r>
      <w:r w:rsidRPr="00B84ED5">
        <w:rPr>
          <w:rFonts w:hint="cs"/>
          <w:spacing w:val="-2"/>
          <w:rtl/>
          <w:lang w:bidi="ar-EG"/>
        </w:rPr>
        <w:t xml:space="preserve"> تقييس الاتصالات وعملاً بالفقرة</w:t>
      </w:r>
      <w:r w:rsidRPr="00B84ED5">
        <w:rPr>
          <w:rFonts w:hint="eastAsia"/>
          <w:spacing w:val="-2"/>
          <w:rtl/>
          <w:lang w:bidi="ar-EG"/>
        </w:rPr>
        <w:t> </w:t>
      </w:r>
      <w:r w:rsidRPr="00B84ED5">
        <w:rPr>
          <w:spacing w:val="-2"/>
          <w:lang w:bidi="ar-EG"/>
        </w:rPr>
        <w:t>2.6</w:t>
      </w:r>
      <w:r w:rsidRPr="00B84ED5">
        <w:rPr>
          <w:rFonts w:hint="cs"/>
          <w:spacing w:val="-2"/>
          <w:rtl/>
          <w:lang w:bidi="ar-EG"/>
        </w:rPr>
        <w:t xml:space="preserve"> من التوصية</w:t>
      </w:r>
      <w:r w:rsidRPr="00B84ED5">
        <w:rPr>
          <w:rFonts w:hint="eastAsia"/>
          <w:spacing w:val="-2"/>
          <w:rtl/>
          <w:lang w:bidi="ar-EG"/>
        </w:rPr>
        <w:t> </w:t>
      </w:r>
      <w:r w:rsidRPr="00B84ED5">
        <w:rPr>
          <w:spacing w:val="-2"/>
        </w:rPr>
        <w:t>ITU</w:t>
      </w:r>
      <w:r w:rsidRPr="00B84ED5">
        <w:rPr>
          <w:spacing w:val="-2"/>
        </w:rPr>
        <w:noBreakHyphen/>
        <w:t>T A.8</w:t>
      </w:r>
      <w:r w:rsidRPr="00B84ED5">
        <w:rPr>
          <w:rFonts w:hint="cs"/>
          <w:spacing w:val="-2"/>
          <w:rtl/>
          <w:lang w:bidi="ar-EG"/>
        </w:rPr>
        <w:t xml:space="preserve"> </w:t>
      </w:r>
      <w:r w:rsidRPr="00EE631F">
        <w:rPr>
          <w:rFonts w:hint="cs"/>
          <w:rtl/>
          <w:lang w:bidi="ar-EG"/>
        </w:rPr>
        <w:t xml:space="preserve">(جوهانسبرغ، </w:t>
      </w:r>
      <w:r w:rsidRPr="00EE631F">
        <w:rPr>
          <w:lang w:bidi="ar-EG"/>
        </w:rPr>
        <w:t>2008</w:t>
      </w:r>
      <w:r w:rsidRPr="00EE631F">
        <w:rPr>
          <w:rFonts w:hint="cs"/>
          <w:rtl/>
          <w:lang w:bidi="ar-EG"/>
        </w:rPr>
        <w:t xml:space="preserve">)، أود إبلاغكم بأن </w:t>
      </w:r>
      <w:r w:rsidR="00B84ED5" w:rsidRPr="00EE631F">
        <w:rPr>
          <w:rFonts w:hint="cs"/>
          <w:rtl/>
          <w:lang w:bidi="ar-EG"/>
        </w:rPr>
        <w:t>لجنة</w:t>
      </w:r>
      <w:r w:rsidRPr="00EE631F">
        <w:rPr>
          <w:rFonts w:hint="cs"/>
          <w:rtl/>
          <w:lang w:bidi="ar-EG"/>
        </w:rPr>
        <w:t xml:space="preserve"> الدراسات </w:t>
      </w:r>
      <w:r w:rsidRPr="00EE631F">
        <w:rPr>
          <w:lang w:bidi="ar-EG"/>
        </w:rPr>
        <w:t>5</w:t>
      </w:r>
      <w:r w:rsidRPr="00EE631F">
        <w:rPr>
          <w:rFonts w:hint="cs"/>
          <w:rtl/>
          <w:lang w:bidi="ar-EG"/>
        </w:rPr>
        <w:t xml:space="preserve"> لقطاع تقييس الاتصالات توصلت إلى القرار</w:t>
      </w:r>
      <w:r w:rsidRPr="00EE631F">
        <w:rPr>
          <w:rFonts w:hint="cs"/>
          <w:rtl/>
        </w:rPr>
        <w:t>ات</w:t>
      </w:r>
      <w:r w:rsidRPr="00EE631F">
        <w:rPr>
          <w:rFonts w:hint="cs"/>
          <w:rtl/>
          <w:lang w:bidi="ar-EG"/>
        </w:rPr>
        <w:t xml:space="preserve"> التالية خلال جلستها العامة </w:t>
      </w:r>
      <w:r w:rsidR="00B84ED5" w:rsidRPr="00EE631F">
        <w:rPr>
          <w:rFonts w:hint="cs"/>
          <w:rtl/>
          <w:lang w:bidi="ar-EG"/>
        </w:rPr>
        <w:t>المعقودة</w:t>
      </w:r>
      <w:r w:rsidRPr="00EE631F">
        <w:rPr>
          <w:rFonts w:hint="cs"/>
          <w:rtl/>
          <w:lang w:bidi="ar-EG"/>
        </w:rPr>
        <w:t xml:space="preserve"> في</w:t>
      </w:r>
      <w:r w:rsidRPr="00EE631F">
        <w:rPr>
          <w:rFonts w:hint="eastAsia"/>
          <w:rtl/>
          <w:lang w:bidi="ar-EG"/>
        </w:rPr>
        <w:t> </w:t>
      </w:r>
      <w:r w:rsidRPr="00EE631F">
        <w:rPr>
          <w:lang w:val="fr-FR" w:bidi="ar-EG"/>
        </w:rPr>
        <w:t>21</w:t>
      </w:r>
      <w:r w:rsidRPr="00EE631F">
        <w:rPr>
          <w:rFonts w:hint="eastAsia"/>
          <w:rtl/>
          <w:lang w:val="fr-FR"/>
        </w:rPr>
        <w:t> </w:t>
      </w:r>
      <w:r w:rsidRPr="00EE631F">
        <w:rPr>
          <w:rFonts w:hint="cs"/>
          <w:rtl/>
          <w:lang w:val="fr-FR"/>
        </w:rPr>
        <w:t>سبتمبر</w:t>
      </w:r>
      <w:r w:rsidRPr="00EE631F">
        <w:rPr>
          <w:rFonts w:hint="eastAsia"/>
          <w:rtl/>
          <w:lang w:val="fr-FR"/>
        </w:rPr>
        <w:t> </w:t>
      </w:r>
      <w:r w:rsidRPr="00EE631F">
        <w:rPr>
          <w:lang w:val="fr-FR"/>
        </w:rPr>
        <w:t>2018</w:t>
      </w:r>
      <w:r w:rsidRPr="00EE631F">
        <w:rPr>
          <w:rFonts w:hint="cs"/>
          <w:rtl/>
          <w:lang w:val="fr-FR"/>
        </w:rPr>
        <w:t xml:space="preserve"> </w:t>
      </w:r>
      <w:r w:rsidR="00B84ED5" w:rsidRPr="00EE631F">
        <w:rPr>
          <w:rFonts w:hint="cs"/>
          <w:rtl/>
          <w:lang w:val="fr-FR"/>
        </w:rPr>
        <w:t>المتعلقة</w:t>
      </w:r>
      <w:r w:rsidRPr="00EE631F">
        <w:rPr>
          <w:rFonts w:hint="cs"/>
          <w:rtl/>
          <w:lang w:val="fr-FR"/>
        </w:rPr>
        <w:t xml:space="preserve"> </w:t>
      </w:r>
      <w:r w:rsidR="00B84ED5" w:rsidRPr="00EE631F">
        <w:rPr>
          <w:rFonts w:hint="cs"/>
          <w:rtl/>
          <w:lang w:val="fr-FR"/>
        </w:rPr>
        <w:t xml:space="preserve">بمشروع </w:t>
      </w:r>
      <w:r w:rsidRPr="00EE631F">
        <w:rPr>
          <w:rFonts w:hint="cs"/>
          <w:rtl/>
          <w:lang w:val="fr-FR"/>
        </w:rPr>
        <w:t>التوصية التالية لقطاع تقييس الاتصالات:</w:t>
      </w:r>
    </w:p>
    <w:p w:rsidR="00EC6805" w:rsidRDefault="00EC6805" w:rsidP="00EC6805">
      <w:pPr>
        <w:spacing w:before="0"/>
        <w:rPr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008"/>
        <w:gridCol w:w="1045"/>
      </w:tblGrid>
      <w:tr w:rsidR="00EC6805" w:rsidRPr="003C1C03" w:rsidTr="00AA3F7B">
        <w:trPr>
          <w:tblHeader/>
          <w:jc w:val="center"/>
        </w:trPr>
        <w:tc>
          <w:tcPr>
            <w:tcW w:w="1954" w:type="dxa"/>
            <w:tcBorders>
              <w:bottom w:val="single" w:sz="12" w:space="0" w:color="auto"/>
            </w:tcBorders>
          </w:tcPr>
          <w:p w:rsidR="00EC6805" w:rsidRPr="003C1C03" w:rsidRDefault="00EC6805" w:rsidP="00AA3F7B">
            <w:pPr>
              <w:pStyle w:val="Tablehead"/>
              <w:spacing w:before="120" w:after="120" w:line="360" w:lineRule="exact"/>
              <w:rPr>
                <w:b w:val="0"/>
                <w:bCs w:val="0"/>
                <w:sz w:val="22"/>
                <w:szCs w:val="30"/>
                <w:rtl/>
              </w:rPr>
            </w:pPr>
            <w:r w:rsidRPr="003C1C03">
              <w:rPr>
                <w:b w:val="0"/>
                <w:sz w:val="22"/>
                <w:szCs w:val="30"/>
                <w:rtl/>
              </w:rPr>
              <w:t>الرقم</w:t>
            </w:r>
          </w:p>
        </w:tc>
        <w:tc>
          <w:tcPr>
            <w:tcW w:w="6008" w:type="dxa"/>
            <w:tcBorders>
              <w:bottom w:val="single" w:sz="12" w:space="0" w:color="auto"/>
            </w:tcBorders>
          </w:tcPr>
          <w:p w:rsidR="00EC6805" w:rsidRPr="003C1C03" w:rsidRDefault="00EC6805" w:rsidP="00AA3F7B">
            <w:pPr>
              <w:pStyle w:val="Tablehead"/>
              <w:spacing w:before="120" w:after="120" w:line="360" w:lineRule="exact"/>
              <w:rPr>
                <w:b w:val="0"/>
                <w:bCs w:val="0"/>
                <w:sz w:val="22"/>
                <w:szCs w:val="30"/>
              </w:rPr>
            </w:pPr>
            <w:r w:rsidRPr="003C1C03">
              <w:rPr>
                <w:b w:val="0"/>
                <w:sz w:val="22"/>
                <w:szCs w:val="30"/>
                <w:rtl/>
              </w:rPr>
              <w:t>العنوان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EC6805" w:rsidRPr="003C1C03" w:rsidRDefault="00EC6805" w:rsidP="00AA3F7B">
            <w:pPr>
              <w:pStyle w:val="Tablehead"/>
              <w:spacing w:before="120" w:after="120" w:line="360" w:lineRule="exact"/>
              <w:rPr>
                <w:b w:val="0"/>
                <w:bCs w:val="0"/>
                <w:sz w:val="22"/>
                <w:szCs w:val="30"/>
              </w:rPr>
            </w:pPr>
            <w:r w:rsidRPr="003C1C03">
              <w:rPr>
                <w:b w:val="0"/>
                <w:sz w:val="22"/>
                <w:szCs w:val="30"/>
                <w:rtl/>
              </w:rPr>
              <w:t>القرار</w:t>
            </w:r>
          </w:p>
        </w:tc>
      </w:tr>
      <w:tr w:rsidR="00EC6805" w:rsidRPr="003C1C03" w:rsidTr="00AA3F7B">
        <w:trPr>
          <w:jc w:val="center"/>
        </w:trPr>
        <w:tc>
          <w:tcPr>
            <w:tcW w:w="1954" w:type="dxa"/>
          </w:tcPr>
          <w:p w:rsidR="00EC6805" w:rsidRPr="003C1C03" w:rsidRDefault="004F493D" w:rsidP="00EC6805">
            <w:pPr>
              <w:pStyle w:val="Tabletext"/>
              <w:spacing w:before="120" w:after="120" w:line="360" w:lineRule="exact"/>
              <w:jc w:val="right"/>
              <w:rPr>
                <w:sz w:val="22"/>
                <w:szCs w:val="30"/>
              </w:rPr>
            </w:pPr>
            <w:hyperlink r:id="rId13" w:history="1">
              <w:r w:rsidR="00EC6805" w:rsidRPr="003C1C03">
                <w:rPr>
                  <w:rStyle w:val="Hyperlink"/>
                  <w:lang w:val="es-ES"/>
                </w:rPr>
                <w:t>L.1450 (ex. L.MAE)</w:t>
              </w:r>
            </w:hyperlink>
          </w:p>
        </w:tc>
        <w:tc>
          <w:tcPr>
            <w:tcW w:w="6008" w:type="dxa"/>
          </w:tcPr>
          <w:p w:rsidR="00EC6805" w:rsidRPr="003C1C03" w:rsidRDefault="00EC6805" w:rsidP="00EC6805">
            <w:pPr>
              <w:spacing w:after="120" w:line="360" w:lineRule="exact"/>
              <w:rPr>
                <w:lang w:val="fr-CH"/>
              </w:rPr>
            </w:pPr>
            <w:r w:rsidRPr="003C1C03">
              <w:rPr>
                <w:rtl/>
              </w:rPr>
              <w:t xml:space="preserve">منهجية لتقييم الأثر البيئي </w:t>
            </w:r>
            <w:r w:rsidRPr="003C1C03">
              <w:rPr>
                <w:rFonts w:hint="cs"/>
                <w:rtl/>
              </w:rPr>
              <w:t>لقطاع تكنولوجيا</w:t>
            </w:r>
            <w:r w:rsidRPr="003C1C03">
              <w:rPr>
                <w:rtl/>
              </w:rPr>
              <w:t xml:space="preserve"> المعلومات والاتصالات</w:t>
            </w:r>
          </w:p>
        </w:tc>
        <w:tc>
          <w:tcPr>
            <w:tcW w:w="0" w:type="auto"/>
          </w:tcPr>
          <w:p w:rsidR="00EC6805" w:rsidRPr="003C1C03" w:rsidRDefault="00EC6805" w:rsidP="00AA3F7B">
            <w:pPr>
              <w:pStyle w:val="Tabletext"/>
              <w:spacing w:before="120" w:after="120" w:line="360" w:lineRule="exact"/>
              <w:rPr>
                <w:sz w:val="22"/>
                <w:szCs w:val="30"/>
              </w:rPr>
            </w:pPr>
            <w:r w:rsidRPr="003C1C03">
              <w:rPr>
                <w:rFonts w:hint="cs"/>
                <w:sz w:val="22"/>
                <w:szCs w:val="30"/>
                <w:rtl/>
              </w:rPr>
              <w:t>ووفق</w:t>
            </w:r>
            <w:r w:rsidRPr="003C1C03">
              <w:rPr>
                <w:sz w:val="22"/>
                <w:szCs w:val="30"/>
                <w:rtl/>
              </w:rPr>
              <w:t xml:space="preserve"> عليها</w:t>
            </w:r>
          </w:p>
        </w:tc>
      </w:tr>
    </w:tbl>
    <w:p w:rsidR="00EC6805" w:rsidRDefault="00EC6805" w:rsidP="00EC6805">
      <w:pPr>
        <w:rPr>
          <w:lang w:bidi="ar-EG"/>
        </w:rPr>
      </w:pPr>
      <w:r>
        <w:rPr>
          <w:lang w:bidi="ar-EG"/>
        </w:rPr>
        <w:br w:type="page"/>
      </w:r>
    </w:p>
    <w:p w:rsidR="00EC6805" w:rsidRPr="00AC5114" w:rsidRDefault="00EC6805" w:rsidP="00A4677E">
      <w:pPr>
        <w:rPr>
          <w:spacing w:val="-2"/>
          <w:rtl/>
          <w:lang w:bidi="ar-EG"/>
        </w:rPr>
      </w:pPr>
      <w:r w:rsidRPr="00AC5114">
        <w:rPr>
          <w:spacing w:val="-2"/>
          <w:lang w:bidi="ar-EG"/>
        </w:rPr>
        <w:lastRenderedPageBreak/>
        <w:t>2</w:t>
      </w:r>
      <w:r w:rsidRPr="00AC5114">
        <w:rPr>
          <w:rFonts w:hint="cs"/>
          <w:spacing w:val="-2"/>
          <w:rtl/>
          <w:lang w:bidi="ar-EG"/>
        </w:rPr>
        <w:tab/>
      </w:r>
      <w:r w:rsidR="00A4677E">
        <w:rPr>
          <w:rFonts w:hint="cs"/>
          <w:spacing w:val="-2"/>
          <w:rtl/>
        </w:rPr>
        <w:t>ويمكن</w:t>
      </w:r>
      <w:r w:rsidRPr="00AC5114">
        <w:rPr>
          <w:rFonts w:hint="cs"/>
          <w:spacing w:val="-2"/>
          <w:rtl/>
          <w:lang w:bidi="ar-EG"/>
        </w:rPr>
        <w:t xml:space="preserve"> الاطلاع على </w:t>
      </w:r>
      <w:r w:rsidR="00B84ED5">
        <w:rPr>
          <w:rFonts w:hint="cs"/>
          <w:spacing w:val="-2"/>
          <w:rtl/>
          <w:lang w:bidi="ar-EG"/>
        </w:rPr>
        <w:t>المعلومات المتاحة</w:t>
      </w:r>
      <w:r w:rsidRPr="00AC5114">
        <w:rPr>
          <w:rFonts w:hint="cs"/>
          <w:spacing w:val="-2"/>
          <w:rtl/>
          <w:lang w:bidi="ar-EG"/>
        </w:rPr>
        <w:t xml:space="preserve"> بشأن براءات الاختراع بالرجوع إلى </w:t>
      </w:r>
      <w:hyperlink r:id="rId14" w:history="1">
        <w:r w:rsidR="00B84ED5">
          <w:rPr>
            <w:rStyle w:val="Hyperlink"/>
            <w:rFonts w:hint="cs"/>
            <w:spacing w:val="-2"/>
            <w:rtl/>
            <w:lang w:bidi="ar-EG"/>
          </w:rPr>
          <w:t>الموقع</w:t>
        </w:r>
        <w:r w:rsidRPr="00AC5114">
          <w:rPr>
            <w:rStyle w:val="Hyperlink"/>
            <w:rFonts w:hint="cs"/>
            <w:spacing w:val="-2"/>
            <w:rtl/>
            <w:lang w:bidi="ar-EG"/>
          </w:rPr>
          <w:t xml:space="preserve"> الإلكتروني لقطاع تقييس</w:t>
        </w:r>
        <w:r w:rsidRPr="00AC5114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AC5114">
          <w:rPr>
            <w:rStyle w:val="Hyperlink"/>
            <w:rFonts w:hint="cs"/>
            <w:spacing w:val="-2"/>
            <w:rtl/>
            <w:lang w:bidi="ar-EG"/>
          </w:rPr>
          <w:t>الاتصالات</w:t>
        </w:r>
      </w:hyperlink>
      <w:r w:rsidRPr="00AC5114">
        <w:rPr>
          <w:rFonts w:hint="cs"/>
          <w:spacing w:val="-2"/>
          <w:rtl/>
          <w:lang w:bidi="ar-EG"/>
        </w:rPr>
        <w:t>.</w:t>
      </w:r>
    </w:p>
    <w:p w:rsidR="00EC6805" w:rsidRPr="00F05AE0" w:rsidRDefault="00EC6805" w:rsidP="00B84ED5">
      <w:pPr>
        <w:rPr>
          <w:rtl/>
          <w:lang w:bidi="ar-EG"/>
        </w:rPr>
      </w:pPr>
      <w:r>
        <w:rPr>
          <w:lang w:bidi="ar-EG"/>
        </w:rPr>
        <w:t>3</w:t>
      </w:r>
      <w:r w:rsidRPr="00F05AE0">
        <w:rPr>
          <w:rFonts w:hint="cs"/>
          <w:rtl/>
          <w:lang w:bidi="ar-EG"/>
        </w:rPr>
        <w:tab/>
        <w:t xml:space="preserve">وسيتاح قريباً نص التوصية في صيغتها السابقة للنشر في </w:t>
      </w:r>
      <w:r w:rsidR="00B84ED5">
        <w:rPr>
          <w:rFonts w:hint="cs"/>
          <w:rtl/>
          <w:lang w:bidi="ar-EG"/>
        </w:rPr>
        <w:t>الموقع</w:t>
      </w:r>
      <w:r w:rsidRPr="00F05AE0">
        <w:rPr>
          <w:rFonts w:hint="cs"/>
          <w:rtl/>
          <w:lang w:bidi="ar-EG"/>
        </w:rPr>
        <w:t xml:space="preserve"> الإلكتروني لقطاع تقييس</w:t>
      </w:r>
      <w:r w:rsidRPr="00F05AE0">
        <w:rPr>
          <w:rFonts w:hint="eastAsia"/>
          <w:rtl/>
          <w:lang w:bidi="ar-EG"/>
        </w:rPr>
        <w:t> </w:t>
      </w:r>
      <w:r w:rsidRPr="00F05AE0">
        <w:rPr>
          <w:rFonts w:hint="cs"/>
          <w:rtl/>
          <w:lang w:bidi="ar-EG"/>
        </w:rPr>
        <w:t>الاتصالات في العنوان التالي:</w:t>
      </w:r>
      <w:r w:rsidRPr="00F05AE0">
        <w:t xml:space="preserve"> </w:t>
      </w:r>
      <w:hyperlink r:id="rId15" w:history="1">
        <w:r w:rsidRPr="00F05AE0">
          <w:rPr>
            <w:rStyle w:val="Hyperlink"/>
          </w:rPr>
          <w:t>http://itu.int/itu-t/recommendations/</w:t>
        </w:r>
      </w:hyperlink>
      <w:r>
        <w:rPr>
          <w:rFonts w:hint="cs"/>
          <w:rtl/>
        </w:rPr>
        <w:t>.</w:t>
      </w:r>
    </w:p>
    <w:p w:rsidR="00EC6805" w:rsidRPr="00521E65" w:rsidRDefault="00EC6805" w:rsidP="00B84ED5">
      <w:pPr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  <w:t xml:space="preserve">وسوف ينشر </w:t>
      </w:r>
      <w:r w:rsidR="00B84ED5">
        <w:rPr>
          <w:rFonts w:hint="cs"/>
          <w:rtl/>
          <w:lang w:bidi="ar-EG"/>
        </w:rPr>
        <w:t>الاتحاد</w:t>
      </w:r>
      <w:r>
        <w:rPr>
          <w:rFonts w:hint="cs"/>
          <w:rtl/>
          <w:lang w:bidi="ar-EG"/>
        </w:rPr>
        <w:t xml:space="preserve"> نص هذه التوصية</w:t>
      </w:r>
      <w:r w:rsidRPr="008246AF">
        <w:rPr>
          <w:rFonts w:hint="cs"/>
          <w:rtl/>
          <w:lang w:bidi="ar-EG"/>
        </w:rPr>
        <w:t xml:space="preserve"> في أقرب وقت </w:t>
      </w:r>
      <w:r w:rsidR="00B84ED5">
        <w:rPr>
          <w:rFonts w:hint="cs"/>
          <w:rtl/>
          <w:lang w:bidi="ar-EG"/>
        </w:rPr>
        <w:t>ممكن</w:t>
      </w:r>
      <w:r w:rsidRPr="008246AF">
        <w:rPr>
          <w:rFonts w:hint="cs"/>
          <w:rtl/>
          <w:lang w:bidi="ar-EG"/>
        </w:rPr>
        <w:t>.</w:t>
      </w:r>
    </w:p>
    <w:p w:rsidR="00EC6805" w:rsidRDefault="00EC6805" w:rsidP="00EC6805">
      <w:pPr>
        <w:spacing w:before="240"/>
        <w:rPr>
          <w:rtl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EC6805" w:rsidRPr="000D28DF" w:rsidRDefault="00EC6805" w:rsidP="00E9797C">
      <w:pPr>
        <w:spacing w:before="720" w:after="720"/>
        <w:rPr>
          <w:i/>
          <w:iCs/>
          <w:rtl/>
        </w:rPr>
      </w:pPr>
      <w:r>
        <w:rPr>
          <w:rFonts w:hint="cs"/>
          <w:i/>
          <w:iCs/>
          <w:rtl/>
        </w:rPr>
        <w:t>(توقي</w:t>
      </w:r>
      <w:bookmarkStart w:id="0" w:name="_GoBack"/>
      <w:bookmarkEnd w:id="0"/>
      <w:r>
        <w:rPr>
          <w:rFonts w:hint="cs"/>
          <w:i/>
          <w:iCs/>
          <w:rtl/>
        </w:rPr>
        <w:t>ع)</w:t>
      </w:r>
    </w:p>
    <w:p w:rsidR="00EC6805" w:rsidRDefault="00EC6805" w:rsidP="00E9797C">
      <w:pPr>
        <w:spacing w:before="720"/>
        <w:jc w:val="left"/>
        <w:rPr>
          <w:rtl/>
          <w:lang w:bidi="ar-EG"/>
        </w:rPr>
      </w:pPr>
      <w:r>
        <w:rPr>
          <w:rFonts w:hint="cs"/>
          <w:rtl/>
          <w:lang w:bidi="ar-SY"/>
        </w:rPr>
        <w:t>تشيساب</w:t>
      </w:r>
      <w:r w:rsidR="00691AFB">
        <w:rPr>
          <w:rFonts w:hint="cs"/>
          <w:rtl/>
          <w:lang w:bidi="ar-SY"/>
        </w:rPr>
        <w:t> 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sectPr w:rsidR="00EC6805" w:rsidSect="008B5B5D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E4" w:rsidRDefault="004976E4" w:rsidP="00E07379">
      <w:pPr>
        <w:spacing w:before="0" w:line="240" w:lineRule="auto"/>
      </w:pPr>
      <w:r>
        <w:separator/>
      </w:r>
    </w:p>
  </w:endnote>
  <w:endnote w:type="continuationSeparator" w:id="0">
    <w:p w:rsidR="004976E4" w:rsidRDefault="004976E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99" w:rsidRPr="00EF1399" w:rsidRDefault="00EF1399" w:rsidP="00EF1399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EF1399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EF1399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EF1399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EF1399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EF1399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EF1399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EF1399">
      <w:rPr>
        <w:rFonts w:cs="Calibri"/>
        <w:caps/>
        <w:noProof/>
        <w:color w:val="0070C0"/>
        <w:sz w:val="18"/>
        <w:szCs w:val="18"/>
        <w:lang w:val="fr-CH"/>
      </w:rPr>
      <w:br/>
    </w:r>
    <w:r w:rsidRPr="00EF1399">
      <w:rPr>
        <w:rFonts w:cs="Calibri"/>
        <w:noProof/>
        <w:color w:val="0070C0"/>
        <w:sz w:val="18"/>
        <w:szCs w:val="18"/>
        <w:lang w:val="fr-CH"/>
      </w:rPr>
      <w:t>Tel:</w:t>
    </w:r>
    <w:r w:rsidRPr="00EF1399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EF1399">
      <w:rPr>
        <w:rFonts w:cs="Calibri"/>
        <w:noProof/>
        <w:color w:val="0070C0"/>
        <w:sz w:val="18"/>
        <w:szCs w:val="18"/>
        <w:lang w:val="fr-CH"/>
      </w:rPr>
      <w:t>Fax</w:t>
    </w:r>
    <w:r w:rsidRPr="00EF1399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EF1399">
      <w:rPr>
        <w:rFonts w:cs="Calibri"/>
        <w:noProof/>
        <w:color w:val="0070C0"/>
        <w:sz w:val="18"/>
        <w:szCs w:val="18"/>
        <w:lang w:val="fr-CH"/>
      </w:rPr>
      <w:t>mail</w:t>
    </w:r>
    <w:r w:rsidRPr="00EF1399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EF1399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EF1399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EF1399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E4" w:rsidRDefault="004976E4" w:rsidP="00E07379">
      <w:pPr>
        <w:spacing w:before="0" w:line="240" w:lineRule="auto"/>
      </w:pPr>
      <w:r>
        <w:separator/>
      </w:r>
    </w:p>
  </w:footnote>
  <w:footnote w:type="continuationSeparator" w:id="0">
    <w:p w:rsidR="004976E4" w:rsidRDefault="004976E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EC6805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4F493D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EC6805">
      <w:rPr>
        <w:rStyle w:val="PageNumber"/>
        <w:rFonts w:cs="Traditional Arabic"/>
        <w:szCs w:val="26"/>
        <w:lang w:bidi="ar-EG"/>
      </w:rPr>
      <w:t>117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E4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1C03"/>
    <w:rsid w:val="003C475F"/>
    <w:rsid w:val="003E4132"/>
    <w:rsid w:val="003F678F"/>
    <w:rsid w:val="00425492"/>
    <w:rsid w:val="0042686F"/>
    <w:rsid w:val="004367CE"/>
    <w:rsid w:val="00443869"/>
    <w:rsid w:val="004712C6"/>
    <w:rsid w:val="004976E4"/>
    <w:rsid w:val="00497703"/>
    <w:rsid w:val="004F0F06"/>
    <w:rsid w:val="004F493D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5EC7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1AFB"/>
    <w:rsid w:val="006C1556"/>
    <w:rsid w:val="006F267F"/>
    <w:rsid w:val="006F63F7"/>
    <w:rsid w:val="006F6F03"/>
    <w:rsid w:val="00706D7A"/>
    <w:rsid w:val="00714D0F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4677E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36F6F"/>
    <w:rsid w:val="00B66B9A"/>
    <w:rsid w:val="00B7598C"/>
    <w:rsid w:val="00B82089"/>
    <w:rsid w:val="00B84ED5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431C"/>
    <w:rsid w:val="00D355E8"/>
    <w:rsid w:val="00D45542"/>
    <w:rsid w:val="00D77D0F"/>
    <w:rsid w:val="00D86A8B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9797C"/>
    <w:rsid w:val="00EC6805"/>
    <w:rsid w:val="00EE631F"/>
    <w:rsid w:val="00EF1399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00CDA1B0-4091-448F-A47C-37CD829D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5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workprog/wp_item.aspx?isn=1416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pubaap/01/T0101001042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F4912-3B2A-4DD8-B13A-3EF4A32A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Osvath, Alexandra</cp:lastModifiedBy>
  <cp:revision>5</cp:revision>
  <cp:lastPrinted>2018-10-03T13:37:00Z</cp:lastPrinted>
  <dcterms:created xsi:type="dcterms:W3CDTF">2018-10-03T12:48:00Z</dcterms:created>
  <dcterms:modified xsi:type="dcterms:W3CDTF">2018-10-03T13:37:00Z</dcterms:modified>
  <cp:category>Conference document</cp:category>
</cp:coreProperties>
</file>