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826B5B" w:rsidP="0036112E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3117D61" wp14:editId="7103BC57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36112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36112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36112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36112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36112E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8F3374">
              <w:t>8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B03378">
              <w:rPr>
                <w:lang w:eastAsia="zh-CN"/>
              </w:rPr>
              <w:t>10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8F3374">
              <w:t>1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6D6DBA">
        <w:trPr>
          <w:cantSplit/>
          <w:trHeight w:val="715"/>
        </w:trPr>
        <w:tc>
          <w:tcPr>
            <w:tcW w:w="1276" w:type="dxa"/>
          </w:tcPr>
          <w:p w:rsidR="00113BC0" w:rsidRPr="000D22C5" w:rsidRDefault="00113BC0" w:rsidP="0036112E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B091E" w:rsidRPr="00D31AE5" w:rsidRDefault="00017004" w:rsidP="0036112E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B03378">
              <w:rPr>
                <w:b/>
                <w:bCs/>
                <w:lang w:eastAsia="zh-CN"/>
              </w:rPr>
              <w:t>118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36112E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B31069" w:rsidRDefault="00A372A1" w:rsidP="0036112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val="en-US"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  <w:r w:rsidR="00B31069">
              <w:rPr>
                <w:rFonts w:ascii="Calibri" w:eastAsia="SimSun" w:hAnsi="Calibri" w:hint="eastAsia"/>
                <w:lang w:eastAsia="zh-CN"/>
              </w:rPr>
              <w:t>；</w:t>
            </w:r>
          </w:p>
          <w:p w:rsidR="00834349" w:rsidRPr="00B31069" w:rsidRDefault="008F066A" w:rsidP="0036112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val="en-US"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Pr="008F066A">
              <w:rPr>
                <w:rFonts w:ascii="Calibri" w:eastAsia="SimSun" w:hAnsi="Calibri"/>
                <w:lang w:eastAsia="zh-CN"/>
              </w:rPr>
              <w:t>部门成员</w:t>
            </w:r>
            <w:r w:rsidR="00B31069">
              <w:rPr>
                <w:rFonts w:ascii="Calibri" w:eastAsia="SimSun" w:hAnsi="Calibri" w:hint="eastAsia"/>
                <w:lang w:val="en-US" w:eastAsia="zh-CN"/>
              </w:rPr>
              <w:t>；</w:t>
            </w:r>
          </w:p>
          <w:p w:rsidR="008F066A" w:rsidRDefault="008F066A" w:rsidP="0036112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="00B03378">
              <w:rPr>
                <w:rFonts w:ascii="Calibri" w:eastAsia="SimSun" w:hAnsi="Calibri" w:hint="eastAsia"/>
                <w:lang w:eastAsia="zh-CN"/>
              </w:rPr>
              <w:t>部门</w:t>
            </w:r>
            <w:r w:rsidRPr="008F066A">
              <w:rPr>
                <w:rFonts w:ascii="Calibri" w:eastAsia="SimSun" w:hAnsi="Calibri" w:hint="eastAsia"/>
                <w:lang w:eastAsia="zh-CN"/>
              </w:rPr>
              <w:t>准成员</w:t>
            </w:r>
            <w:r w:rsidR="00B31069">
              <w:rPr>
                <w:rFonts w:ascii="Calibri" w:eastAsia="SimSun" w:hAnsi="Calibri" w:hint="eastAsia"/>
                <w:lang w:eastAsia="zh-CN"/>
              </w:rPr>
              <w:t>；</w:t>
            </w:r>
            <w:r w:rsidRPr="008F066A">
              <w:rPr>
                <w:rFonts w:ascii="Calibri" w:eastAsia="SimSun" w:hAnsi="Calibri"/>
                <w:lang w:eastAsia="zh-CN"/>
              </w:rPr>
              <w:t xml:space="preserve"> </w:t>
            </w:r>
          </w:p>
          <w:p w:rsidR="008F066A" w:rsidRDefault="008F066A" w:rsidP="0036112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国际电联学术成员</w:t>
            </w:r>
          </w:p>
          <w:p w:rsidR="008F066A" w:rsidRPr="0055099D" w:rsidRDefault="008F066A" w:rsidP="0036112E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  <w:trHeight w:val="416"/>
        </w:trPr>
        <w:tc>
          <w:tcPr>
            <w:tcW w:w="1276" w:type="dxa"/>
          </w:tcPr>
          <w:p w:rsidR="00017004" w:rsidRPr="00017004" w:rsidRDefault="00017004" w:rsidP="0036112E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:rsidR="00017004" w:rsidRPr="00017004" w:rsidRDefault="00B03378" w:rsidP="0036112E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t>+41 22 730 6239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36112E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</w:trPr>
        <w:tc>
          <w:tcPr>
            <w:tcW w:w="1276" w:type="dxa"/>
          </w:tcPr>
          <w:p w:rsidR="00017004" w:rsidRPr="00017004" w:rsidRDefault="00017004" w:rsidP="0036112E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017004" w:rsidRPr="00017004" w:rsidRDefault="00B03378" w:rsidP="0036112E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36112E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55099D" w:rsidRDefault="00113BC0" w:rsidP="0036112E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55099D" w:rsidRDefault="00782283" w:rsidP="0036112E">
            <w:pPr>
              <w:pStyle w:val="Tabletext"/>
              <w:spacing w:before="120"/>
              <w:ind w:left="142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B03378" w:rsidRPr="00467F8F">
                <w:rPr>
                  <w:rStyle w:val="Hyperlink"/>
                </w:rPr>
                <w:t>tsbdir@itu.int</w:t>
              </w:r>
            </w:hyperlink>
          </w:p>
        </w:tc>
        <w:tc>
          <w:tcPr>
            <w:tcW w:w="3969" w:type="dxa"/>
            <w:gridSpan w:val="2"/>
          </w:tcPr>
          <w:p w:rsidR="00834349" w:rsidRPr="0055099D" w:rsidRDefault="00834349" w:rsidP="0036112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223861" w:rsidRDefault="00223861" w:rsidP="0036112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C75DBD">
              <w:rPr>
                <w:rFonts w:ascii="Calibri" w:hAnsi="Calibri" w:hint="eastAsia"/>
                <w:lang w:eastAsia="zh-CN"/>
              </w:rPr>
              <w:t>各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</w:p>
          <w:p w:rsidR="00223861" w:rsidRDefault="00223861" w:rsidP="0036112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电信发展局主任；</w:t>
            </w:r>
          </w:p>
          <w:p w:rsidR="00113BC0" w:rsidRDefault="00223861" w:rsidP="0036112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  <w:r w:rsidR="00C75DBD">
              <w:rPr>
                <w:rFonts w:ascii="Calibri" w:hAnsi="Calibri" w:hint="eastAsia"/>
                <w:lang w:eastAsia="zh-CN"/>
              </w:rPr>
              <w:t>；</w:t>
            </w:r>
          </w:p>
          <w:p w:rsidR="00C75DBD" w:rsidRDefault="00C75DBD" w:rsidP="0036112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t>TIES</w:t>
            </w:r>
            <w:r>
              <w:rPr>
                <w:rFonts w:hint="eastAsia"/>
                <w:lang w:eastAsia="zh-CN"/>
              </w:rPr>
              <w:t>联系人；</w:t>
            </w:r>
          </w:p>
          <w:p w:rsidR="00C75DBD" w:rsidRDefault="00C75DBD" w:rsidP="0036112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t>ITU-T</w:t>
            </w:r>
            <w:r>
              <w:rPr>
                <w:rFonts w:hint="eastAsia"/>
                <w:lang w:eastAsia="zh-CN"/>
              </w:rPr>
              <w:t>注册联系人</w:t>
            </w:r>
          </w:p>
          <w:p w:rsidR="00714A1B" w:rsidRPr="00714A1B" w:rsidRDefault="00714A1B" w:rsidP="0036112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1C5996" w:rsidRDefault="00113BC0" w:rsidP="0036112E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55099D" w:rsidRDefault="008375AF" w:rsidP="0036112E">
            <w:pPr>
              <w:tabs>
                <w:tab w:val="left" w:pos="4111"/>
              </w:tabs>
              <w:spacing w:before="24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启用</w:t>
            </w:r>
            <w:r w:rsidR="000E5C1F" w:rsidRPr="000E5C1F">
              <w:rPr>
                <w:rFonts w:hint="eastAsia"/>
                <w:b/>
                <w:bCs/>
                <w:lang w:eastAsia="zh-CN"/>
              </w:rPr>
              <w:t>ITU-T</w:t>
            </w:r>
            <w:r w:rsidR="000E5C1F" w:rsidRPr="000E5C1F">
              <w:rPr>
                <w:rFonts w:hint="eastAsia"/>
                <w:b/>
                <w:bCs/>
                <w:lang w:eastAsia="zh-CN"/>
              </w:rPr>
              <w:t>法定活动注册</w:t>
            </w:r>
            <w:r w:rsidR="000A551B">
              <w:rPr>
                <w:rFonts w:hint="eastAsia"/>
                <w:b/>
                <w:bCs/>
                <w:lang w:eastAsia="zh-CN"/>
              </w:rPr>
              <w:t>申请</w:t>
            </w:r>
            <w:r w:rsidR="000E5C1F">
              <w:rPr>
                <w:rFonts w:hint="eastAsia"/>
                <w:b/>
                <w:bCs/>
                <w:lang w:eastAsia="zh-CN"/>
              </w:rPr>
              <w:t>的</w:t>
            </w:r>
            <w:r w:rsidR="000E5C1F" w:rsidRPr="000E5C1F">
              <w:rPr>
                <w:rFonts w:hint="eastAsia"/>
                <w:b/>
                <w:bCs/>
                <w:lang w:eastAsia="zh-CN"/>
              </w:rPr>
              <w:t>自动批准</w:t>
            </w:r>
            <w:r w:rsidR="00413C88">
              <w:rPr>
                <w:rFonts w:hint="eastAsia"/>
                <w:b/>
                <w:bCs/>
                <w:lang w:eastAsia="zh-CN"/>
              </w:rPr>
              <w:t>功能</w:t>
            </w:r>
          </w:p>
        </w:tc>
      </w:tr>
    </w:tbl>
    <w:p w:rsidR="00017004" w:rsidRPr="00DD5635" w:rsidRDefault="00017004" w:rsidP="0036112E">
      <w:pPr>
        <w:spacing w:before="72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:rsidR="00C75DBD" w:rsidRPr="00467F8F" w:rsidRDefault="000E5C1F" w:rsidP="0036112E">
      <w:pPr>
        <w:ind w:firstLineChars="200" w:firstLine="480"/>
        <w:rPr>
          <w:lang w:eastAsia="zh-CN"/>
        </w:rPr>
      </w:pPr>
      <w:r w:rsidRPr="000E5C1F">
        <w:rPr>
          <w:rFonts w:hint="eastAsia"/>
          <w:lang w:eastAsia="zh-CN"/>
        </w:rPr>
        <w:t>在</w:t>
      </w:r>
      <w:r w:rsidRPr="000E5C1F">
        <w:rPr>
          <w:rFonts w:hint="eastAsia"/>
          <w:lang w:eastAsia="zh-CN"/>
        </w:rPr>
        <w:t>2018</w:t>
      </w:r>
      <w:r w:rsidRPr="000E5C1F">
        <w:rPr>
          <w:rFonts w:hint="eastAsia"/>
          <w:lang w:eastAsia="zh-CN"/>
        </w:rPr>
        <w:t>年</w:t>
      </w:r>
      <w:r w:rsidRPr="000E5C1F">
        <w:rPr>
          <w:rFonts w:hint="eastAsia"/>
          <w:lang w:eastAsia="zh-CN"/>
        </w:rPr>
        <w:t>2</w:t>
      </w:r>
      <w:r w:rsidRPr="000E5C1F">
        <w:rPr>
          <w:rFonts w:hint="eastAsia"/>
          <w:lang w:eastAsia="zh-CN"/>
        </w:rPr>
        <w:t>月</w:t>
      </w:r>
      <w:r w:rsidRPr="000E5C1F">
        <w:rPr>
          <w:rFonts w:hint="eastAsia"/>
          <w:lang w:eastAsia="zh-CN"/>
        </w:rPr>
        <w:t>26</w:t>
      </w:r>
      <w:r w:rsidRPr="000E5C1F">
        <w:rPr>
          <w:rFonts w:hint="eastAsia"/>
          <w:lang w:eastAsia="zh-CN"/>
        </w:rPr>
        <w:t>日至</w:t>
      </w:r>
      <w:r w:rsidRPr="000E5C1F">
        <w:rPr>
          <w:rFonts w:hint="eastAsia"/>
          <w:lang w:eastAsia="zh-CN"/>
        </w:rPr>
        <w:t>3</w:t>
      </w:r>
      <w:r w:rsidRPr="000E5C1F">
        <w:rPr>
          <w:rFonts w:hint="eastAsia"/>
          <w:lang w:eastAsia="zh-CN"/>
        </w:rPr>
        <w:t>月</w:t>
      </w:r>
      <w:r w:rsidRPr="000E5C1F">
        <w:rPr>
          <w:rFonts w:hint="eastAsia"/>
          <w:lang w:eastAsia="zh-CN"/>
        </w:rPr>
        <w:t>2</w:t>
      </w:r>
      <w:r w:rsidRPr="000E5C1F">
        <w:rPr>
          <w:rFonts w:hint="eastAsia"/>
          <w:lang w:eastAsia="zh-CN"/>
        </w:rPr>
        <w:t>日在瑞士日内瓦</w:t>
      </w:r>
      <w:r>
        <w:rPr>
          <w:rFonts w:hint="eastAsia"/>
          <w:lang w:eastAsia="zh-CN"/>
        </w:rPr>
        <w:t>召开</w:t>
      </w:r>
      <w:r w:rsidRPr="000E5C1F">
        <w:rPr>
          <w:rFonts w:hint="eastAsia"/>
          <w:lang w:eastAsia="zh-CN"/>
        </w:rPr>
        <w:t>的电信标准化顾问组</w:t>
      </w:r>
      <w:r>
        <w:rPr>
          <w:rFonts w:hint="eastAsia"/>
          <w:lang w:eastAsia="zh-CN"/>
        </w:rPr>
        <w:t>（</w:t>
      </w:r>
      <w:r w:rsidR="000A551B" w:rsidRPr="00467F8F">
        <w:rPr>
          <w:lang w:eastAsia="zh-CN"/>
        </w:rPr>
        <w:t>TSAG</w:t>
      </w:r>
      <w:r>
        <w:rPr>
          <w:rFonts w:hint="eastAsia"/>
          <w:lang w:eastAsia="zh-CN"/>
        </w:rPr>
        <w:t>）</w:t>
      </w:r>
      <w:r w:rsidRPr="000E5C1F">
        <w:rPr>
          <w:rFonts w:hint="eastAsia"/>
          <w:lang w:eastAsia="zh-CN"/>
        </w:rPr>
        <w:t>会议上</w:t>
      </w:r>
      <w:r w:rsidR="000A551B">
        <w:rPr>
          <w:rFonts w:hint="eastAsia"/>
          <w:lang w:eastAsia="zh-CN"/>
        </w:rPr>
        <w:t>，</w:t>
      </w:r>
      <w:r w:rsidRPr="000E5C1F">
        <w:rPr>
          <w:rFonts w:hint="eastAsia"/>
          <w:lang w:eastAsia="zh-CN"/>
        </w:rPr>
        <w:t>电信标准化局向</w:t>
      </w:r>
      <w:r w:rsidR="000A551B">
        <w:rPr>
          <w:rFonts w:hint="eastAsia"/>
          <w:lang w:eastAsia="zh-CN"/>
        </w:rPr>
        <w:t>成</w:t>
      </w:r>
      <w:r w:rsidRPr="000E5C1F">
        <w:rPr>
          <w:rFonts w:hint="eastAsia"/>
          <w:lang w:eastAsia="zh-CN"/>
        </w:rPr>
        <w:t>员</w:t>
      </w:r>
      <w:r w:rsidR="000A551B">
        <w:rPr>
          <w:rFonts w:hint="eastAsia"/>
          <w:lang w:eastAsia="zh-CN"/>
        </w:rPr>
        <w:t>介绍</w:t>
      </w:r>
      <w:r w:rsidRPr="000E5C1F">
        <w:rPr>
          <w:rFonts w:hint="eastAsia"/>
          <w:lang w:eastAsia="zh-CN"/>
        </w:rPr>
        <w:t>了新的基于</w:t>
      </w:r>
      <w:r w:rsidRPr="000E5C1F">
        <w:rPr>
          <w:rFonts w:hint="eastAsia"/>
          <w:lang w:eastAsia="zh-CN"/>
        </w:rPr>
        <w:t>CRM</w:t>
      </w:r>
      <w:r w:rsidRPr="000E5C1F">
        <w:rPr>
          <w:rFonts w:hint="eastAsia"/>
          <w:lang w:eastAsia="zh-CN"/>
        </w:rPr>
        <w:t>的注册系统</w:t>
      </w:r>
      <w:r w:rsidR="000A551B">
        <w:rPr>
          <w:rFonts w:hint="eastAsia"/>
          <w:lang w:eastAsia="zh-CN"/>
        </w:rPr>
        <w:t>。</w:t>
      </w:r>
      <w:r w:rsidR="00556001">
        <w:rPr>
          <w:rFonts w:hint="eastAsia"/>
          <w:lang w:eastAsia="zh-CN"/>
        </w:rPr>
        <w:t>到会的</w:t>
      </w:r>
      <w:r w:rsidR="000A551B">
        <w:rPr>
          <w:rFonts w:hint="eastAsia"/>
          <w:lang w:eastAsia="zh-CN"/>
        </w:rPr>
        <w:t>与会者对</w:t>
      </w:r>
      <w:r w:rsidRPr="000E5C1F">
        <w:rPr>
          <w:rFonts w:hint="eastAsia"/>
          <w:lang w:eastAsia="zh-CN"/>
        </w:rPr>
        <w:t>新方法</w:t>
      </w:r>
      <w:r w:rsidR="000A551B">
        <w:rPr>
          <w:rFonts w:hint="eastAsia"/>
          <w:lang w:eastAsia="zh-CN"/>
        </w:rPr>
        <w:t>表示支持，</w:t>
      </w:r>
      <w:r w:rsidRPr="000E5C1F">
        <w:rPr>
          <w:rFonts w:hint="eastAsia"/>
          <w:lang w:eastAsia="zh-CN"/>
        </w:rPr>
        <w:t>但</w:t>
      </w:r>
      <w:r w:rsidR="00556001">
        <w:rPr>
          <w:rFonts w:hint="eastAsia"/>
          <w:lang w:eastAsia="zh-CN"/>
        </w:rPr>
        <w:t>提出</w:t>
      </w:r>
      <w:r w:rsidR="000A551B">
        <w:rPr>
          <w:rFonts w:hint="eastAsia"/>
          <w:lang w:eastAsia="zh-CN"/>
        </w:rPr>
        <w:t>要求</w:t>
      </w:r>
      <w:r w:rsidR="00556001">
        <w:rPr>
          <w:rFonts w:hint="eastAsia"/>
          <w:lang w:eastAsia="zh-CN"/>
        </w:rPr>
        <w:t>，对于其代表参加</w:t>
      </w:r>
      <w:r w:rsidR="00556001">
        <w:rPr>
          <w:rFonts w:hint="eastAsia"/>
          <w:lang w:eastAsia="zh-CN"/>
        </w:rPr>
        <w:t>I</w:t>
      </w:r>
      <w:r w:rsidR="00556001">
        <w:rPr>
          <w:lang w:eastAsia="zh-CN"/>
        </w:rPr>
        <w:t>TU</w:t>
      </w:r>
      <w:r w:rsidR="00556001">
        <w:rPr>
          <w:rFonts w:hint="eastAsia"/>
          <w:lang w:eastAsia="zh-CN"/>
        </w:rPr>
        <w:t>-</w:t>
      </w:r>
      <w:r w:rsidR="00556001">
        <w:rPr>
          <w:lang w:eastAsia="zh-CN"/>
        </w:rPr>
        <w:t>T</w:t>
      </w:r>
      <w:r w:rsidR="00556001">
        <w:rPr>
          <w:rFonts w:hint="eastAsia"/>
          <w:lang w:eastAsia="zh-CN"/>
        </w:rPr>
        <w:t>法定活动</w:t>
      </w:r>
      <w:r w:rsidRPr="000E5C1F">
        <w:rPr>
          <w:rFonts w:hint="eastAsia"/>
          <w:lang w:eastAsia="zh-CN"/>
        </w:rPr>
        <w:t>每个成员</w:t>
      </w:r>
      <w:r w:rsidR="00556001">
        <w:rPr>
          <w:rFonts w:hint="eastAsia"/>
          <w:lang w:eastAsia="zh-CN"/>
        </w:rPr>
        <w:t>应能</w:t>
      </w:r>
      <w:r w:rsidR="00413C88">
        <w:rPr>
          <w:rFonts w:hint="eastAsia"/>
          <w:lang w:eastAsia="zh-CN"/>
        </w:rPr>
        <w:t>有</w:t>
      </w:r>
      <w:r w:rsidR="00556001">
        <w:rPr>
          <w:rFonts w:hint="eastAsia"/>
          <w:lang w:eastAsia="zh-CN"/>
        </w:rPr>
        <w:t>做出</w:t>
      </w:r>
      <w:r w:rsidR="000A551B">
        <w:rPr>
          <w:rFonts w:hint="eastAsia"/>
          <w:lang w:eastAsia="zh-CN"/>
        </w:rPr>
        <w:t>“</w:t>
      </w:r>
      <w:r w:rsidR="00556001">
        <w:rPr>
          <w:rFonts w:hint="eastAsia"/>
          <w:lang w:eastAsia="zh-CN"/>
        </w:rPr>
        <w:t>选择</w:t>
      </w:r>
      <w:r w:rsidR="007C2AB0">
        <w:rPr>
          <w:rFonts w:hint="eastAsia"/>
          <w:lang w:eastAsia="zh-CN"/>
        </w:rPr>
        <w:t>（</w:t>
      </w:r>
      <w:r w:rsidR="007C2AB0" w:rsidRPr="00467F8F">
        <w:rPr>
          <w:lang w:eastAsia="zh-CN"/>
        </w:rPr>
        <w:t>opt in</w:t>
      </w:r>
      <w:r w:rsidR="007C2AB0">
        <w:rPr>
          <w:rFonts w:hint="eastAsia"/>
          <w:lang w:eastAsia="zh-CN"/>
        </w:rPr>
        <w:t>）</w:t>
      </w:r>
      <w:r w:rsidR="000A551B">
        <w:rPr>
          <w:rFonts w:hint="eastAsia"/>
          <w:lang w:eastAsia="zh-CN"/>
        </w:rPr>
        <w:t>”</w:t>
      </w:r>
      <w:r w:rsidRPr="000E5C1F">
        <w:rPr>
          <w:rFonts w:hint="eastAsia"/>
          <w:lang w:eastAsia="zh-CN"/>
        </w:rPr>
        <w:t>自动批准</w:t>
      </w:r>
      <w:r w:rsidR="00556001" w:rsidRPr="000E5C1F">
        <w:rPr>
          <w:rFonts w:hint="eastAsia"/>
          <w:lang w:eastAsia="zh-CN"/>
        </w:rPr>
        <w:t>注册申请</w:t>
      </w:r>
      <w:r w:rsidR="00556001">
        <w:rPr>
          <w:rFonts w:hint="eastAsia"/>
          <w:lang w:eastAsia="zh-CN"/>
        </w:rPr>
        <w:t>的机会</w:t>
      </w:r>
      <w:r w:rsidR="009E7857">
        <w:rPr>
          <w:rFonts w:hint="eastAsia"/>
          <w:lang w:eastAsia="zh-CN"/>
        </w:rPr>
        <w:t>。</w:t>
      </w:r>
    </w:p>
    <w:p w:rsidR="00C75DBD" w:rsidRPr="00467F8F" w:rsidRDefault="009E7857" w:rsidP="0036112E">
      <w:pPr>
        <w:ind w:firstLineChars="200" w:firstLine="480"/>
        <w:rPr>
          <w:lang w:eastAsia="zh-CN"/>
        </w:rPr>
      </w:pPr>
      <w:r>
        <w:rPr>
          <w:lang w:eastAsia="zh-CN"/>
        </w:rPr>
        <w:t>ITU-T</w:t>
      </w:r>
      <w:r w:rsidRPr="009E7857">
        <w:rPr>
          <w:rFonts w:hint="eastAsia"/>
          <w:lang w:eastAsia="zh-CN"/>
        </w:rPr>
        <w:t>电信标准化局</w:t>
      </w:r>
      <w:r>
        <w:rPr>
          <w:rFonts w:hint="eastAsia"/>
          <w:lang w:eastAsia="zh-CN"/>
        </w:rPr>
        <w:t>（</w:t>
      </w:r>
      <w:r w:rsidRPr="00467F8F">
        <w:rPr>
          <w:lang w:eastAsia="zh-CN"/>
        </w:rPr>
        <w:t>TSB</w:t>
      </w:r>
      <w:r>
        <w:rPr>
          <w:rFonts w:hint="eastAsia"/>
          <w:lang w:eastAsia="zh-CN"/>
        </w:rPr>
        <w:t>）</w:t>
      </w:r>
      <w:r w:rsidRPr="009E7857">
        <w:rPr>
          <w:rFonts w:hint="eastAsia"/>
          <w:lang w:eastAsia="zh-CN"/>
        </w:rPr>
        <w:t>跟进</w:t>
      </w:r>
      <w:r>
        <w:rPr>
          <w:rFonts w:hint="eastAsia"/>
          <w:lang w:eastAsia="zh-CN"/>
        </w:rPr>
        <w:t>了这一</w:t>
      </w:r>
      <w:r w:rsidR="00CD7A4A">
        <w:rPr>
          <w:rFonts w:hint="eastAsia"/>
          <w:lang w:eastAsia="zh-CN"/>
        </w:rPr>
        <w:t>要求</w:t>
      </w:r>
      <w:r>
        <w:rPr>
          <w:rFonts w:hint="eastAsia"/>
          <w:lang w:eastAsia="zh-CN"/>
        </w:rPr>
        <w:t>，</w:t>
      </w:r>
      <w:r w:rsidRPr="009E7857">
        <w:rPr>
          <w:rFonts w:hint="eastAsia"/>
          <w:lang w:eastAsia="zh-CN"/>
        </w:rPr>
        <w:t>现在可提供所</w:t>
      </w:r>
      <w:r w:rsidR="00CD7A4A">
        <w:rPr>
          <w:rFonts w:hint="eastAsia"/>
          <w:lang w:eastAsia="zh-CN"/>
        </w:rPr>
        <w:t>要求</w:t>
      </w:r>
      <w:r w:rsidRPr="009E7857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“</w:t>
      </w:r>
      <w:r w:rsidR="001A2B93">
        <w:rPr>
          <w:rFonts w:hint="eastAsia"/>
          <w:lang w:eastAsia="zh-CN"/>
        </w:rPr>
        <w:t>选择</w:t>
      </w:r>
      <w:r>
        <w:rPr>
          <w:rFonts w:hint="eastAsia"/>
          <w:lang w:eastAsia="zh-CN"/>
        </w:rPr>
        <w:t>”</w:t>
      </w:r>
      <w:r w:rsidRPr="009E7857">
        <w:rPr>
          <w:rFonts w:hint="eastAsia"/>
          <w:lang w:eastAsia="zh-CN"/>
        </w:rPr>
        <w:t>功能</w:t>
      </w:r>
      <w:r w:rsidR="00CD7A4A">
        <w:rPr>
          <w:rFonts w:hint="eastAsia"/>
          <w:lang w:eastAsia="zh-CN"/>
        </w:rPr>
        <w:t>。</w:t>
      </w:r>
      <w:r w:rsidR="001A2B93">
        <w:rPr>
          <w:rFonts w:hint="eastAsia"/>
          <w:lang w:eastAsia="zh-CN"/>
        </w:rPr>
        <w:t>在选择</w:t>
      </w:r>
      <w:r w:rsidRPr="004D1ACD">
        <w:rPr>
          <w:rFonts w:hint="eastAsia"/>
          <w:lang w:eastAsia="zh-CN"/>
        </w:rPr>
        <w:t>自动批准注册</w:t>
      </w:r>
      <w:r w:rsidR="00CD7A4A" w:rsidRPr="004D1ACD">
        <w:rPr>
          <w:rFonts w:hint="eastAsia"/>
          <w:lang w:eastAsia="zh-CN"/>
        </w:rPr>
        <w:t>申请</w:t>
      </w:r>
      <w:r w:rsidR="001A2B93">
        <w:rPr>
          <w:rFonts w:hint="eastAsia"/>
          <w:lang w:eastAsia="zh-CN"/>
        </w:rPr>
        <w:t>之后</w:t>
      </w:r>
      <w:r w:rsidR="00CD7A4A" w:rsidRPr="004D1ACD">
        <w:rPr>
          <w:rFonts w:hint="eastAsia"/>
          <w:lang w:eastAsia="zh-CN"/>
        </w:rPr>
        <w:t>，</w:t>
      </w:r>
      <w:r w:rsidR="004D1ACD" w:rsidRPr="004D1ACD">
        <w:rPr>
          <w:rFonts w:hint="eastAsia"/>
          <w:lang w:eastAsia="zh-CN"/>
        </w:rPr>
        <w:t>在本研究期剩</w:t>
      </w:r>
      <w:r w:rsidR="001A2B93">
        <w:rPr>
          <w:rFonts w:hint="eastAsia"/>
          <w:lang w:eastAsia="zh-CN"/>
        </w:rPr>
        <w:t>下的</w:t>
      </w:r>
      <w:r w:rsidR="004D1ACD" w:rsidRPr="004D1ACD">
        <w:rPr>
          <w:rFonts w:hint="eastAsia"/>
          <w:lang w:eastAsia="zh-CN"/>
        </w:rPr>
        <w:t>时间</w:t>
      </w:r>
      <w:r w:rsidR="001A2B93">
        <w:rPr>
          <w:rFonts w:hint="eastAsia"/>
          <w:lang w:eastAsia="zh-CN"/>
        </w:rPr>
        <w:t>段</w:t>
      </w:r>
      <w:r w:rsidR="004D1ACD" w:rsidRPr="004D1ACD">
        <w:rPr>
          <w:rFonts w:hint="eastAsia"/>
          <w:lang w:eastAsia="zh-CN"/>
        </w:rPr>
        <w:t>（目前为</w:t>
      </w:r>
      <w:r w:rsidR="004D1ACD" w:rsidRPr="004D1ACD">
        <w:rPr>
          <w:lang w:eastAsia="zh-CN"/>
        </w:rPr>
        <w:t>WTSA-20</w:t>
      </w:r>
      <w:r w:rsidR="004D1ACD" w:rsidRPr="004D1ACD">
        <w:rPr>
          <w:rFonts w:hint="eastAsia"/>
          <w:lang w:eastAsia="zh-CN"/>
        </w:rPr>
        <w:t>之前）</w:t>
      </w:r>
      <w:r w:rsidR="001A2B93">
        <w:rPr>
          <w:rFonts w:hint="eastAsia"/>
          <w:lang w:eastAsia="zh-CN"/>
        </w:rPr>
        <w:t>以内</w:t>
      </w:r>
      <w:r w:rsidR="004D1ACD" w:rsidRPr="004D1ACD">
        <w:rPr>
          <w:rFonts w:hint="eastAsia"/>
          <w:lang w:val="en-US" w:eastAsia="zh-CN"/>
        </w:rPr>
        <w:t>，</w:t>
      </w:r>
      <w:r w:rsidR="00CD7A4A" w:rsidRPr="004D1ACD">
        <w:rPr>
          <w:rFonts w:hint="eastAsia"/>
          <w:lang w:eastAsia="zh-CN"/>
        </w:rPr>
        <w:t>成</w:t>
      </w:r>
      <w:r w:rsidRPr="004D1ACD">
        <w:rPr>
          <w:rFonts w:hint="eastAsia"/>
          <w:lang w:eastAsia="zh-CN"/>
        </w:rPr>
        <w:t>员</w:t>
      </w:r>
      <w:r w:rsidR="001A2B93">
        <w:rPr>
          <w:rFonts w:hint="eastAsia"/>
          <w:lang w:eastAsia="zh-CN"/>
        </w:rPr>
        <w:t>均</w:t>
      </w:r>
      <w:r w:rsidR="00CD7A4A" w:rsidRPr="004D1ACD">
        <w:rPr>
          <w:rFonts w:hint="eastAsia"/>
          <w:lang w:eastAsia="zh-CN"/>
        </w:rPr>
        <w:t>可</w:t>
      </w:r>
      <w:r w:rsidRPr="004D1ACD">
        <w:rPr>
          <w:rFonts w:hint="eastAsia"/>
          <w:lang w:eastAsia="zh-CN"/>
        </w:rPr>
        <w:t>自动批准</w:t>
      </w:r>
      <w:r w:rsidR="001A2B93">
        <w:rPr>
          <w:rFonts w:hint="eastAsia"/>
          <w:lang w:eastAsia="zh-CN"/>
        </w:rPr>
        <w:t>其</w:t>
      </w:r>
      <w:r w:rsidR="00BB4840" w:rsidRPr="004D1ACD">
        <w:rPr>
          <w:rFonts w:hint="eastAsia"/>
          <w:lang w:eastAsia="zh-CN"/>
        </w:rPr>
        <w:t>所属</w:t>
      </w:r>
      <w:r w:rsidR="001A2B93">
        <w:rPr>
          <w:rFonts w:hint="eastAsia"/>
          <w:lang w:eastAsia="zh-CN"/>
        </w:rPr>
        <w:t>的</w:t>
      </w:r>
      <w:r w:rsidR="00BB4840" w:rsidRPr="004D1ACD">
        <w:rPr>
          <w:rFonts w:hint="eastAsia"/>
          <w:lang w:eastAsia="zh-CN"/>
        </w:rPr>
        <w:t>所有</w:t>
      </w:r>
      <w:r w:rsidR="007C2AB0" w:rsidRPr="004D1ACD">
        <w:rPr>
          <w:rFonts w:hint="eastAsia"/>
          <w:lang w:eastAsia="zh-CN"/>
        </w:rPr>
        <w:t>具有</w:t>
      </w:r>
      <w:r w:rsidRPr="009E7857">
        <w:rPr>
          <w:rFonts w:hint="eastAsia"/>
          <w:lang w:eastAsia="zh-CN"/>
        </w:rPr>
        <w:t>TIES</w:t>
      </w:r>
      <w:r w:rsidR="007C2AB0">
        <w:rPr>
          <w:rFonts w:hint="eastAsia"/>
          <w:lang w:eastAsia="zh-CN"/>
        </w:rPr>
        <w:t>访问权限</w:t>
      </w:r>
      <w:r w:rsidRPr="009E7857">
        <w:rPr>
          <w:rFonts w:hint="eastAsia"/>
          <w:lang w:eastAsia="zh-CN"/>
        </w:rPr>
        <w:t>的有效</w:t>
      </w:r>
      <w:r w:rsidR="007C2AB0">
        <w:rPr>
          <w:lang w:eastAsia="zh-CN"/>
        </w:rPr>
        <w:t>ITU</w:t>
      </w:r>
      <w:r w:rsidR="007C2AB0">
        <w:rPr>
          <w:lang w:eastAsia="zh-CN"/>
        </w:rPr>
        <w:noBreakHyphen/>
        <w:t>T</w:t>
      </w:r>
      <w:r w:rsidRPr="009E7857">
        <w:rPr>
          <w:rFonts w:hint="eastAsia"/>
          <w:lang w:eastAsia="zh-CN"/>
        </w:rPr>
        <w:t>账户的注册</w:t>
      </w:r>
      <w:r w:rsidR="007C2AB0">
        <w:rPr>
          <w:rFonts w:hint="eastAsia"/>
          <w:lang w:eastAsia="zh-CN"/>
        </w:rPr>
        <w:t>申请。</w:t>
      </w:r>
    </w:p>
    <w:p w:rsidR="00C75DBD" w:rsidRDefault="007C2AB0" w:rsidP="0036112E">
      <w:pPr>
        <w:ind w:firstLineChars="200" w:firstLine="480"/>
        <w:rPr>
          <w:lang w:eastAsia="zh-CN"/>
        </w:rPr>
      </w:pPr>
      <w:r w:rsidRPr="007C2AB0">
        <w:rPr>
          <w:rFonts w:hint="eastAsia"/>
          <w:lang w:eastAsia="zh-CN"/>
        </w:rPr>
        <w:t>在此框架内</w:t>
      </w:r>
      <w:r>
        <w:rPr>
          <w:rFonts w:hint="eastAsia"/>
          <w:lang w:eastAsia="zh-CN"/>
        </w:rPr>
        <w:t>，</w:t>
      </w:r>
      <w:r w:rsidRPr="007C2AB0">
        <w:rPr>
          <w:rFonts w:hint="eastAsia"/>
          <w:lang w:eastAsia="zh-CN"/>
        </w:rPr>
        <w:t>电信标准化局请</w:t>
      </w:r>
      <w:r w:rsidR="00BC4B2B">
        <w:rPr>
          <w:rFonts w:hint="eastAsia"/>
          <w:lang w:eastAsia="zh-CN"/>
        </w:rPr>
        <w:t>有意采用此方法的</w:t>
      </w:r>
      <w:r w:rsidR="00BA5C3D" w:rsidRPr="007C2AB0">
        <w:rPr>
          <w:rFonts w:hint="eastAsia"/>
          <w:lang w:eastAsia="zh-CN"/>
        </w:rPr>
        <w:t>成员</w:t>
      </w:r>
      <w:r w:rsidR="00BC4B2B">
        <w:rPr>
          <w:rFonts w:hint="eastAsia"/>
          <w:lang w:eastAsia="zh-CN"/>
        </w:rPr>
        <w:t>方指定的</w:t>
      </w:r>
      <w:r w:rsidRPr="007C2AB0">
        <w:rPr>
          <w:rFonts w:hint="eastAsia"/>
          <w:lang w:eastAsia="zh-CN"/>
        </w:rPr>
        <w:t>负责批准代表参加</w:t>
      </w:r>
      <w:r w:rsidRPr="00467F8F">
        <w:rPr>
          <w:lang w:eastAsia="zh-CN"/>
        </w:rPr>
        <w:t>ITU-T</w:t>
      </w:r>
      <w:r w:rsidRPr="007C2AB0">
        <w:rPr>
          <w:rFonts w:hint="eastAsia"/>
          <w:lang w:eastAsia="zh-CN"/>
        </w:rPr>
        <w:t>法定会议</w:t>
      </w:r>
      <w:r>
        <w:rPr>
          <w:rFonts w:hint="eastAsia"/>
          <w:lang w:eastAsia="zh-CN"/>
        </w:rPr>
        <w:t>的</w:t>
      </w:r>
      <w:r w:rsidRPr="007C2AB0">
        <w:rPr>
          <w:rFonts w:hint="eastAsia"/>
          <w:lang w:eastAsia="zh-CN"/>
        </w:rPr>
        <w:t>联</w:t>
      </w:r>
      <w:r>
        <w:rPr>
          <w:rFonts w:hint="eastAsia"/>
          <w:lang w:eastAsia="zh-CN"/>
        </w:rPr>
        <w:t>系</w:t>
      </w:r>
      <w:r w:rsidRPr="007C2AB0">
        <w:rPr>
          <w:rFonts w:hint="eastAsia"/>
          <w:lang w:eastAsia="zh-CN"/>
        </w:rPr>
        <w:t>人</w:t>
      </w:r>
      <w:r>
        <w:rPr>
          <w:rFonts w:hint="eastAsia"/>
          <w:lang w:eastAsia="zh-CN"/>
        </w:rPr>
        <w:t>（</w:t>
      </w:r>
      <w:r>
        <w:rPr>
          <w:lang w:eastAsia="zh-CN"/>
        </w:rPr>
        <w:t>DFP</w:t>
      </w:r>
      <w:r>
        <w:rPr>
          <w:rFonts w:hint="eastAsia"/>
          <w:lang w:eastAsia="zh-CN"/>
        </w:rPr>
        <w:t>）</w:t>
      </w:r>
      <w:r w:rsidRPr="007C2AB0">
        <w:rPr>
          <w:rFonts w:hint="eastAsia"/>
          <w:lang w:eastAsia="zh-CN"/>
        </w:rPr>
        <w:t>向电信标准化局主任提交书面申请</w:t>
      </w:r>
      <w:r>
        <w:rPr>
          <w:rFonts w:hint="eastAsia"/>
          <w:lang w:eastAsia="zh-CN"/>
        </w:rPr>
        <w:t>，</w:t>
      </w:r>
      <w:r w:rsidRPr="007C2AB0">
        <w:rPr>
          <w:rFonts w:hint="eastAsia"/>
          <w:lang w:eastAsia="zh-CN"/>
        </w:rPr>
        <w:t>以激活此</w:t>
      </w:r>
      <w:r w:rsidR="00061B9B">
        <w:rPr>
          <w:rFonts w:hint="eastAsia"/>
          <w:lang w:val="en-US" w:eastAsia="zh-CN"/>
        </w:rPr>
        <w:t>“</w:t>
      </w:r>
      <w:r w:rsidR="00BF783B">
        <w:rPr>
          <w:rFonts w:hint="eastAsia"/>
          <w:lang w:val="en-US" w:eastAsia="zh-CN"/>
        </w:rPr>
        <w:t>选择</w:t>
      </w:r>
      <w:r>
        <w:rPr>
          <w:rFonts w:hint="eastAsia"/>
          <w:lang w:eastAsia="zh-CN"/>
        </w:rPr>
        <w:t>”</w:t>
      </w:r>
      <w:r w:rsidRPr="007C2AB0">
        <w:rPr>
          <w:rFonts w:hint="eastAsia"/>
          <w:lang w:eastAsia="zh-CN"/>
        </w:rPr>
        <w:t>选项</w:t>
      </w:r>
      <w:r>
        <w:rPr>
          <w:rFonts w:hint="eastAsia"/>
          <w:lang w:eastAsia="zh-CN"/>
        </w:rPr>
        <w:t>。</w:t>
      </w:r>
      <w:r w:rsidR="00BF783B">
        <w:rPr>
          <w:rFonts w:hint="eastAsia"/>
          <w:lang w:eastAsia="zh-CN"/>
        </w:rPr>
        <w:t>之</w:t>
      </w:r>
      <w:r>
        <w:rPr>
          <w:rFonts w:hint="eastAsia"/>
          <w:lang w:eastAsia="zh-CN"/>
        </w:rPr>
        <w:t>后</w:t>
      </w:r>
      <w:r w:rsidRPr="007C2AB0">
        <w:rPr>
          <w:rFonts w:hint="eastAsia"/>
          <w:lang w:eastAsia="zh-CN"/>
        </w:rPr>
        <w:t>秘书处将在</w:t>
      </w:r>
      <w:r w:rsidRPr="00467F8F">
        <w:rPr>
          <w:lang w:eastAsia="zh-CN"/>
        </w:rPr>
        <w:t>CRM</w:t>
      </w:r>
      <w:r w:rsidRPr="007C2AB0">
        <w:rPr>
          <w:rFonts w:hint="eastAsia"/>
          <w:lang w:eastAsia="zh-CN"/>
        </w:rPr>
        <w:t>注册系统中为该成员启用此功能</w:t>
      </w:r>
      <w:r>
        <w:rPr>
          <w:rFonts w:hint="eastAsia"/>
          <w:lang w:eastAsia="zh-CN"/>
        </w:rPr>
        <w:t>。</w:t>
      </w:r>
    </w:p>
    <w:p w:rsidR="00C75DBD" w:rsidRDefault="00F51310" w:rsidP="0036112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成</w:t>
      </w:r>
      <w:r w:rsidRPr="00F51310">
        <w:rPr>
          <w:rFonts w:hint="eastAsia"/>
          <w:lang w:eastAsia="zh-CN"/>
        </w:rPr>
        <w:t>员</w:t>
      </w:r>
      <w:r>
        <w:rPr>
          <w:rFonts w:hint="eastAsia"/>
          <w:lang w:eastAsia="zh-CN"/>
        </w:rPr>
        <w:t>亦</w:t>
      </w:r>
      <w:r w:rsidRPr="00F51310">
        <w:rPr>
          <w:rFonts w:hint="eastAsia"/>
          <w:lang w:eastAsia="zh-CN"/>
        </w:rPr>
        <w:t>可</w:t>
      </w:r>
      <w:r w:rsidR="006677B7" w:rsidRPr="00F51310">
        <w:rPr>
          <w:rFonts w:hint="eastAsia"/>
          <w:lang w:eastAsia="zh-CN"/>
        </w:rPr>
        <w:t>随时</w:t>
      </w:r>
      <w:r w:rsidRPr="00F51310">
        <w:rPr>
          <w:rFonts w:hint="eastAsia"/>
          <w:lang w:eastAsia="zh-CN"/>
        </w:rPr>
        <w:t>通过</w:t>
      </w:r>
      <w:r w:rsidR="00BC0103">
        <w:rPr>
          <w:rFonts w:hint="eastAsia"/>
          <w:lang w:eastAsia="zh-CN"/>
        </w:rPr>
        <w:t>提交类似</w:t>
      </w:r>
      <w:r w:rsidR="00BF783B">
        <w:rPr>
          <w:rFonts w:hint="eastAsia"/>
          <w:lang w:eastAsia="zh-CN"/>
        </w:rPr>
        <w:t>函件</w:t>
      </w:r>
      <w:r w:rsidR="006677B7">
        <w:rPr>
          <w:rFonts w:hint="eastAsia"/>
          <w:lang w:eastAsia="zh-CN"/>
        </w:rPr>
        <w:t>取消这一选择。</w:t>
      </w:r>
    </w:p>
    <w:p w:rsidR="00C75DBD" w:rsidRDefault="006677B7" w:rsidP="0036112E">
      <w:pPr>
        <w:ind w:firstLineChars="200" w:firstLine="480"/>
        <w:rPr>
          <w:lang w:eastAsia="zh-CN"/>
        </w:rPr>
      </w:pPr>
      <w:r w:rsidRPr="006677B7">
        <w:rPr>
          <w:rFonts w:hint="eastAsia"/>
          <w:lang w:eastAsia="zh-CN"/>
        </w:rPr>
        <w:t>附件包含对</w:t>
      </w:r>
      <w:r w:rsidRPr="003E1407">
        <w:rPr>
          <w:lang w:eastAsia="zh-CN"/>
        </w:rPr>
        <w:t>DFP</w:t>
      </w:r>
      <w:r>
        <w:rPr>
          <w:rFonts w:hint="eastAsia"/>
          <w:lang w:eastAsia="zh-CN"/>
        </w:rPr>
        <w:t>和</w:t>
      </w:r>
      <w:r w:rsidRPr="003E1407">
        <w:rPr>
          <w:lang w:eastAsia="zh-CN"/>
        </w:rPr>
        <w:t>TIES</w:t>
      </w:r>
      <w:r w:rsidRPr="006677B7">
        <w:rPr>
          <w:rFonts w:hint="eastAsia"/>
          <w:lang w:eastAsia="zh-CN"/>
        </w:rPr>
        <w:t>联</w:t>
      </w:r>
      <w:r>
        <w:rPr>
          <w:rFonts w:hint="eastAsia"/>
          <w:lang w:eastAsia="zh-CN"/>
        </w:rPr>
        <w:t>系人</w:t>
      </w:r>
      <w:r w:rsidRPr="006677B7">
        <w:rPr>
          <w:rFonts w:hint="eastAsia"/>
          <w:lang w:eastAsia="zh-CN"/>
        </w:rPr>
        <w:t>的具体</w:t>
      </w:r>
      <w:r>
        <w:rPr>
          <w:rFonts w:hint="eastAsia"/>
          <w:lang w:eastAsia="zh-CN"/>
        </w:rPr>
        <w:t>职责</w:t>
      </w:r>
      <w:r w:rsidRPr="006677B7">
        <w:rPr>
          <w:rFonts w:hint="eastAsia"/>
          <w:lang w:eastAsia="zh-CN"/>
        </w:rPr>
        <w:t>的进一步说明</w:t>
      </w:r>
      <w:r>
        <w:rPr>
          <w:rFonts w:hint="eastAsia"/>
          <w:lang w:eastAsia="zh-CN"/>
        </w:rPr>
        <w:t>，</w:t>
      </w:r>
      <w:r w:rsidRPr="006677B7">
        <w:rPr>
          <w:rFonts w:hint="eastAsia"/>
          <w:lang w:eastAsia="zh-CN"/>
        </w:rPr>
        <w:t>并</w:t>
      </w:r>
      <w:r w:rsidR="00BC0103">
        <w:rPr>
          <w:rFonts w:hint="eastAsia"/>
          <w:lang w:eastAsia="zh-CN"/>
        </w:rPr>
        <w:t>提供了建议的</w:t>
      </w:r>
      <w:r w:rsidR="002F2B59">
        <w:rPr>
          <w:rFonts w:hint="eastAsia"/>
          <w:lang w:eastAsia="zh-CN"/>
        </w:rPr>
        <w:t>、</w:t>
      </w:r>
      <w:r w:rsidR="00BF783B">
        <w:rPr>
          <w:rFonts w:hint="eastAsia"/>
          <w:lang w:eastAsia="zh-CN"/>
        </w:rPr>
        <w:t>需</w:t>
      </w:r>
      <w:r w:rsidR="00BF783B" w:rsidRPr="006677B7">
        <w:rPr>
          <w:rFonts w:hint="eastAsia"/>
          <w:lang w:eastAsia="zh-CN"/>
        </w:rPr>
        <w:t>通过电子邮件发送给</w:t>
      </w:r>
      <w:r w:rsidR="00BF783B">
        <w:rPr>
          <w:rFonts w:hint="eastAsia"/>
          <w:lang w:eastAsia="zh-CN"/>
        </w:rPr>
        <w:t>电信标准化局主任的</w:t>
      </w:r>
      <w:r w:rsidR="00BC0103">
        <w:rPr>
          <w:rFonts w:hint="eastAsia"/>
          <w:lang w:eastAsia="zh-CN"/>
        </w:rPr>
        <w:t>“</w:t>
      </w:r>
      <w:r w:rsidR="003A4FDB">
        <w:rPr>
          <w:rFonts w:hint="eastAsia"/>
          <w:lang w:eastAsia="zh-CN"/>
        </w:rPr>
        <w:t>选择</w:t>
      </w:r>
      <w:r w:rsidR="00BC0103">
        <w:rPr>
          <w:rFonts w:hint="eastAsia"/>
          <w:lang w:eastAsia="zh-CN"/>
        </w:rPr>
        <w:t>”</w:t>
      </w:r>
      <w:r w:rsidR="00BC5271">
        <w:rPr>
          <w:rFonts w:hint="eastAsia"/>
          <w:lang w:eastAsia="zh-CN"/>
        </w:rPr>
        <w:t>或</w:t>
      </w:r>
      <w:r w:rsidR="00BF783B">
        <w:rPr>
          <w:rFonts w:hint="eastAsia"/>
          <w:lang w:eastAsia="zh-CN"/>
        </w:rPr>
        <w:t>“</w:t>
      </w:r>
      <w:r w:rsidR="00BC5271">
        <w:rPr>
          <w:rFonts w:hint="eastAsia"/>
          <w:lang w:eastAsia="zh-CN"/>
        </w:rPr>
        <w:t>拒绝</w:t>
      </w:r>
      <w:r w:rsidR="00BF783B">
        <w:rPr>
          <w:rFonts w:hint="eastAsia"/>
          <w:lang w:eastAsia="zh-CN"/>
        </w:rPr>
        <w:t>”</w:t>
      </w:r>
      <w:r w:rsidR="00BC0103">
        <w:rPr>
          <w:rFonts w:hint="eastAsia"/>
          <w:lang w:eastAsia="zh-CN"/>
        </w:rPr>
        <w:t>自动批准</w:t>
      </w:r>
      <w:r w:rsidR="00BF783B">
        <w:rPr>
          <w:rFonts w:hint="eastAsia"/>
          <w:lang w:eastAsia="zh-CN"/>
        </w:rPr>
        <w:t>的</w:t>
      </w:r>
      <w:r w:rsidR="00BC5271">
        <w:rPr>
          <w:rFonts w:hint="eastAsia"/>
          <w:lang w:eastAsia="zh-CN"/>
        </w:rPr>
        <w:t>申请</w:t>
      </w:r>
      <w:r w:rsidR="00BC0103">
        <w:rPr>
          <w:rFonts w:hint="eastAsia"/>
          <w:lang w:eastAsia="zh-CN"/>
        </w:rPr>
        <w:t>函</w:t>
      </w:r>
      <w:r w:rsidR="00BC5271">
        <w:rPr>
          <w:rFonts w:hint="eastAsia"/>
          <w:lang w:eastAsia="zh-CN"/>
        </w:rPr>
        <w:t>范本。</w:t>
      </w:r>
    </w:p>
    <w:p w:rsidR="00C75DBD" w:rsidRDefault="00BC5271" w:rsidP="0036112E">
      <w:pPr>
        <w:ind w:firstLineChars="200" w:firstLine="480"/>
        <w:rPr>
          <w:b/>
          <w:bCs/>
          <w:lang w:eastAsia="zh-CN"/>
        </w:rPr>
      </w:pPr>
      <w:r w:rsidRPr="00BC5271">
        <w:rPr>
          <w:rFonts w:hint="eastAsia"/>
          <w:lang w:eastAsia="zh-CN"/>
        </w:rPr>
        <w:t>请注意</w:t>
      </w:r>
      <w:r>
        <w:rPr>
          <w:rFonts w:hint="eastAsia"/>
          <w:lang w:eastAsia="zh-CN"/>
        </w:rPr>
        <w:t>，“</w:t>
      </w:r>
      <w:r w:rsidR="0059471D">
        <w:rPr>
          <w:rFonts w:hint="eastAsia"/>
          <w:lang w:eastAsia="zh-CN"/>
        </w:rPr>
        <w:t>选择</w:t>
      </w:r>
      <w:r>
        <w:rPr>
          <w:rFonts w:hint="eastAsia"/>
          <w:lang w:eastAsia="zh-CN"/>
        </w:rPr>
        <w:t>”</w:t>
      </w:r>
      <w:r w:rsidR="009B3065">
        <w:rPr>
          <w:rFonts w:hint="eastAsia"/>
          <w:lang w:eastAsia="zh-CN"/>
        </w:rPr>
        <w:t>功能</w:t>
      </w:r>
      <w:r w:rsidR="0059471D">
        <w:rPr>
          <w:rFonts w:hint="eastAsia"/>
          <w:lang w:eastAsia="zh-CN"/>
        </w:rPr>
        <w:t>并未移除成员方联系人</w:t>
      </w:r>
      <w:r>
        <w:rPr>
          <w:rFonts w:hint="eastAsia"/>
          <w:lang w:eastAsia="zh-CN"/>
        </w:rPr>
        <w:t>批准</w:t>
      </w:r>
      <w:r w:rsidR="008801D7">
        <w:rPr>
          <w:rFonts w:hint="eastAsia"/>
          <w:lang w:eastAsia="zh-CN"/>
        </w:rPr>
        <w:t>参加</w:t>
      </w:r>
      <w:r>
        <w:rPr>
          <w:rFonts w:hint="eastAsia"/>
          <w:lang w:eastAsia="zh-CN"/>
        </w:rPr>
        <w:t>活动的职责，而</w:t>
      </w:r>
      <w:r w:rsidRPr="00BC5271">
        <w:rPr>
          <w:rFonts w:hint="eastAsia"/>
          <w:lang w:eastAsia="zh-CN"/>
        </w:rPr>
        <w:t>只</w:t>
      </w:r>
      <w:r>
        <w:rPr>
          <w:rFonts w:hint="eastAsia"/>
          <w:lang w:eastAsia="zh-CN"/>
        </w:rPr>
        <w:t>是根据联系人的申请</w:t>
      </w:r>
      <w:r w:rsidR="0059471D">
        <w:rPr>
          <w:rFonts w:hint="eastAsia"/>
          <w:lang w:eastAsia="zh-CN"/>
        </w:rPr>
        <w:t>进行</w:t>
      </w:r>
      <w:r w:rsidRPr="00BC5271">
        <w:rPr>
          <w:rFonts w:hint="eastAsia"/>
          <w:lang w:eastAsia="zh-CN"/>
        </w:rPr>
        <w:t>自动批准</w:t>
      </w:r>
      <w:r>
        <w:rPr>
          <w:rFonts w:hint="eastAsia"/>
          <w:lang w:eastAsia="zh-CN"/>
        </w:rPr>
        <w:t>。</w:t>
      </w:r>
    </w:p>
    <w:p w:rsidR="001B750E" w:rsidRDefault="001B75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75DBD" w:rsidRDefault="0059471D" w:rsidP="0036112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特</w:t>
      </w:r>
      <w:r w:rsidR="008801D7">
        <w:rPr>
          <w:rFonts w:hint="eastAsia"/>
          <w:lang w:eastAsia="zh-CN"/>
        </w:rPr>
        <w:t>提请联系人注意，成员国</w:t>
      </w:r>
      <w:r>
        <w:rPr>
          <w:rFonts w:hint="eastAsia"/>
          <w:lang w:eastAsia="zh-CN"/>
        </w:rPr>
        <w:t>以及</w:t>
      </w:r>
      <w:r w:rsidR="008801D7" w:rsidRPr="00BC5271">
        <w:rPr>
          <w:rFonts w:hint="eastAsia"/>
          <w:lang w:eastAsia="zh-CN"/>
        </w:rPr>
        <w:t>根据</w:t>
      </w:r>
      <w:r w:rsidR="008801D7">
        <w:rPr>
          <w:rFonts w:hint="eastAsia"/>
          <w:lang w:eastAsia="zh-CN"/>
        </w:rPr>
        <w:t>《</w:t>
      </w:r>
      <w:r w:rsidR="008801D7" w:rsidRPr="00BC5271">
        <w:rPr>
          <w:rFonts w:hint="eastAsia"/>
          <w:lang w:eastAsia="zh-CN"/>
        </w:rPr>
        <w:t>公约</w:t>
      </w:r>
      <w:r w:rsidR="008801D7">
        <w:rPr>
          <w:rFonts w:hint="eastAsia"/>
          <w:lang w:eastAsia="zh-CN"/>
        </w:rPr>
        <w:t>》</w:t>
      </w:r>
      <w:r w:rsidR="008801D7" w:rsidRPr="00BC5271">
        <w:rPr>
          <w:rFonts w:hint="eastAsia"/>
          <w:lang w:eastAsia="zh-CN"/>
        </w:rPr>
        <w:t>第</w:t>
      </w:r>
      <w:r w:rsidR="008801D7" w:rsidRPr="00BC5271">
        <w:rPr>
          <w:rFonts w:hint="eastAsia"/>
          <w:lang w:eastAsia="zh-CN"/>
        </w:rPr>
        <w:t>19</w:t>
      </w:r>
      <w:r w:rsidR="008801D7" w:rsidRPr="00BC5271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获得</w:t>
      </w:r>
      <w:r w:rsidR="008801D7">
        <w:rPr>
          <w:rFonts w:hint="eastAsia"/>
          <w:lang w:eastAsia="zh-CN"/>
        </w:rPr>
        <w:t>授权的</w:t>
      </w:r>
      <w:r w:rsidR="008801D7" w:rsidRPr="00BC5271">
        <w:rPr>
          <w:rFonts w:hint="eastAsia"/>
          <w:lang w:eastAsia="zh-CN"/>
        </w:rPr>
        <w:t>其他实体</w:t>
      </w:r>
      <w:r>
        <w:rPr>
          <w:rFonts w:hint="eastAsia"/>
          <w:lang w:eastAsia="zh-CN"/>
        </w:rPr>
        <w:t>自行</w:t>
      </w:r>
      <w:r w:rsidR="008801D7" w:rsidRPr="00BC5271">
        <w:rPr>
          <w:rFonts w:hint="eastAsia"/>
          <w:lang w:eastAsia="zh-CN"/>
        </w:rPr>
        <w:t>选择</w:t>
      </w:r>
      <w:r>
        <w:rPr>
          <w:rFonts w:hint="eastAsia"/>
          <w:lang w:eastAsia="zh-CN"/>
        </w:rPr>
        <w:t>合格的与会者</w:t>
      </w:r>
      <w:r w:rsidR="008801D7">
        <w:rPr>
          <w:rFonts w:hint="eastAsia"/>
          <w:lang w:eastAsia="zh-CN"/>
        </w:rPr>
        <w:t>参加</w:t>
      </w:r>
      <w:r w:rsidR="008801D7" w:rsidRPr="00467F8F">
        <w:rPr>
          <w:lang w:eastAsia="zh-CN"/>
        </w:rPr>
        <w:t>ITU</w:t>
      </w:r>
      <w:r w:rsidR="008801D7">
        <w:rPr>
          <w:lang w:eastAsia="zh-CN"/>
        </w:rPr>
        <w:noBreakHyphen/>
      </w:r>
      <w:r w:rsidR="008801D7" w:rsidRPr="00467F8F">
        <w:rPr>
          <w:lang w:eastAsia="zh-CN"/>
        </w:rPr>
        <w:t>T</w:t>
      </w:r>
      <w:r w:rsidR="008801D7">
        <w:rPr>
          <w:rFonts w:hint="eastAsia"/>
          <w:lang w:eastAsia="zh-CN"/>
        </w:rPr>
        <w:t>研究组及其</w:t>
      </w:r>
      <w:r w:rsidR="008801D7" w:rsidRPr="00BC5271">
        <w:rPr>
          <w:rFonts w:hint="eastAsia"/>
          <w:lang w:eastAsia="zh-CN"/>
        </w:rPr>
        <w:t>相关</w:t>
      </w:r>
      <w:r w:rsidR="008801D7">
        <w:rPr>
          <w:rFonts w:hint="eastAsia"/>
          <w:lang w:eastAsia="zh-CN"/>
        </w:rPr>
        <w:t>组</w:t>
      </w:r>
      <w:r>
        <w:rPr>
          <w:rFonts w:hint="eastAsia"/>
          <w:lang w:eastAsia="zh-CN"/>
        </w:rPr>
        <w:t>的</w:t>
      </w:r>
      <w:r w:rsidR="008801D7" w:rsidRPr="00BC5271">
        <w:rPr>
          <w:rFonts w:hint="eastAsia"/>
          <w:lang w:eastAsia="zh-CN"/>
        </w:rPr>
        <w:t>会议</w:t>
      </w:r>
      <w:r w:rsidR="00790867">
        <w:rPr>
          <w:rFonts w:hint="eastAsia"/>
          <w:lang w:eastAsia="zh-CN"/>
        </w:rPr>
        <w:t>。</w:t>
      </w:r>
      <w:r w:rsidR="008801D7" w:rsidRPr="00BC5271">
        <w:rPr>
          <w:rFonts w:hint="eastAsia"/>
          <w:lang w:eastAsia="zh-CN"/>
        </w:rPr>
        <w:t>因此</w:t>
      </w:r>
      <w:r w:rsidR="008801D7">
        <w:rPr>
          <w:rFonts w:hint="eastAsia"/>
          <w:lang w:eastAsia="zh-CN"/>
        </w:rPr>
        <w:t>，“</w:t>
      </w:r>
      <w:r>
        <w:rPr>
          <w:rFonts w:hint="eastAsia"/>
          <w:lang w:eastAsia="zh-CN"/>
        </w:rPr>
        <w:t>选择</w:t>
      </w:r>
      <w:r w:rsidR="008801D7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采用</w:t>
      </w:r>
      <w:r w:rsidR="008801D7">
        <w:rPr>
          <w:rFonts w:hint="eastAsia"/>
          <w:lang w:eastAsia="zh-CN"/>
        </w:rPr>
        <w:t>自动</w:t>
      </w:r>
      <w:r w:rsidR="008801D7" w:rsidRPr="00BC5271">
        <w:rPr>
          <w:rFonts w:hint="eastAsia"/>
          <w:lang w:eastAsia="zh-CN"/>
        </w:rPr>
        <w:t>批准</w:t>
      </w:r>
      <w:r w:rsidR="008801D7">
        <w:rPr>
          <w:rFonts w:hint="eastAsia"/>
          <w:lang w:eastAsia="zh-CN"/>
        </w:rPr>
        <w:t>其拥有有效</w:t>
      </w:r>
      <w:r w:rsidR="008801D7" w:rsidRPr="00467F8F">
        <w:rPr>
          <w:lang w:eastAsia="zh-CN"/>
        </w:rPr>
        <w:t>TIES</w:t>
      </w:r>
      <w:r w:rsidR="008801D7">
        <w:rPr>
          <w:rFonts w:hint="eastAsia"/>
          <w:lang w:eastAsia="zh-CN"/>
        </w:rPr>
        <w:t>账户的代表</w:t>
      </w:r>
      <w:r w:rsidR="008801D7" w:rsidRPr="00BC5271">
        <w:rPr>
          <w:rFonts w:hint="eastAsia"/>
          <w:lang w:eastAsia="zh-CN"/>
        </w:rPr>
        <w:t>参加所有</w:t>
      </w:r>
      <w:r w:rsidR="008801D7" w:rsidRPr="00467F8F">
        <w:rPr>
          <w:lang w:eastAsia="zh-CN"/>
        </w:rPr>
        <w:t>ITU-T</w:t>
      </w:r>
      <w:r w:rsidR="008801D7" w:rsidRPr="00BC5271">
        <w:rPr>
          <w:rFonts w:hint="eastAsia"/>
          <w:lang w:eastAsia="zh-CN"/>
        </w:rPr>
        <w:t>法定会议的</w:t>
      </w:r>
      <w:r w:rsidR="008801D7" w:rsidRPr="00467F8F">
        <w:rPr>
          <w:lang w:eastAsia="zh-CN"/>
        </w:rPr>
        <w:t>ITU-T</w:t>
      </w:r>
      <w:r w:rsidR="008801D7" w:rsidRPr="00BC5271">
        <w:rPr>
          <w:rFonts w:hint="eastAsia"/>
          <w:lang w:eastAsia="zh-CN"/>
        </w:rPr>
        <w:t>成员</w:t>
      </w:r>
      <w:r w:rsidR="008801D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须</w:t>
      </w:r>
      <w:r w:rsidR="00790867">
        <w:rPr>
          <w:rFonts w:hint="eastAsia"/>
          <w:lang w:eastAsia="zh-CN"/>
        </w:rPr>
        <w:t>对批准</w:t>
      </w:r>
      <w:r w:rsidR="008801D7" w:rsidRPr="00BC5271">
        <w:rPr>
          <w:rFonts w:hint="eastAsia"/>
          <w:lang w:eastAsia="zh-CN"/>
        </w:rPr>
        <w:t>其代表参</w:t>
      </w:r>
      <w:r w:rsidR="008801D7">
        <w:rPr>
          <w:rFonts w:hint="eastAsia"/>
          <w:lang w:eastAsia="zh-CN"/>
        </w:rPr>
        <w:t>会</w:t>
      </w:r>
      <w:r w:rsidR="00790867">
        <w:rPr>
          <w:rFonts w:hint="eastAsia"/>
          <w:lang w:eastAsia="zh-CN"/>
        </w:rPr>
        <w:t>承担全部责任</w:t>
      </w:r>
      <w:r w:rsidR="008801D7">
        <w:rPr>
          <w:rFonts w:hint="eastAsia"/>
          <w:lang w:eastAsia="zh-CN"/>
        </w:rPr>
        <w:t>。</w:t>
      </w:r>
      <w:r w:rsidR="00BC5271" w:rsidRPr="00BC5271">
        <w:rPr>
          <w:rFonts w:hint="eastAsia"/>
          <w:lang w:eastAsia="zh-CN"/>
        </w:rPr>
        <w:t>因此</w:t>
      </w:r>
      <w:r w:rsidR="003B125A">
        <w:rPr>
          <w:rFonts w:hint="eastAsia"/>
          <w:lang w:eastAsia="zh-CN"/>
        </w:rPr>
        <w:t>，建议</w:t>
      </w:r>
      <w:r>
        <w:rPr>
          <w:rFonts w:hint="eastAsia"/>
          <w:lang w:eastAsia="zh-CN"/>
        </w:rPr>
        <w:t>采用</w:t>
      </w:r>
      <w:r w:rsidR="003B125A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选择</w:t>
      </w:r>
      <w:r w:rsidR="003B125A">
        <w:rPr>
          <w:rFonts w:hint="eastAsia"/>
          <w:lang w:eastAsia="zh-CN"/>
        </w:rPr>
        <w:t>”</w:t>
      </w:r>
      <w:r w:rsidR="00BC5271" w:rsidRPr="00BC5271">
        <w:rPr>
          <w:rFonts w:hint="eastAsia"/>
          <w:lang w:eastAsia="zh-CN"/>
        </w:rPr>
        <w:t>自动批准的</w:t>
      </w:r>
      <w:r w:rsidR="003B125A" w:rsidRPr="00467F8F">
        <w:rPr>
          <w:lang w:eastAsia="zh-CN"/>
        </w:rPr>
        <w:t>ITU</w:t>
      </w:r>
      <w:r w:rsidR="003B125A">
        <w:rPr>
          <w:lang w:eastAsia="zh-CN"/>
        </w:rPr>
        <w:noBreakHyphen/>
      </w:r>
      <w:r w:rsidR="003B125A" w:rsidRPr="00467F8F">
        <w:rPr>
          <w:lang w:eastAsia="zh-CN"/>
        </w:rPr>
        <w:t>T</w:t>
      </w:r>
      <w:r w:rsidR="00BC5271" w:rsidRPr="00BC5271">
        <w:rPr>
          <w:rFonts w:hint="eastAsia"/>
          <w:lang w:eastAsia="zh-CN"/>
        </w:rPr>
        <w:t>成员</w:t>
      </w:r>
      <w:r w:rsidR="00C25508">
        <w:rPr>
          <w:rFonts w:hint="eastAsia"/>
          <w:lang w:eastAsia="zh-CN"/>
        </w:rPr>
        <w:t>确保</w:t>
      </w:r>
      <w:r w:rsidR="00790867">
        <w:rPr>
          <w:rFonts w:hint="eastAsia"/>
          <w:lang w:eastAsia="zh-CN"/>
        </w:rPr>
        <w:t>其</w:t>
      </w:r>
      <w:r w:rsidR="00BC5271" w:rsidRPr="004D1ACD">
        <w:rPr>
          <w:rFonts w:hint="eastAsia"/>
          <w:lang w:eastAsia="zh-CN"/>
        </w:rPr>
        <w:t>账户授权</w:t>
      </w:r>
      <w:r w:rsidR="00C25508">
        <w:rPr>
          <w:rFonts w:hint="eastAsia"/>
          <w:lang w:eastAsia="zh-CN"/>
        </w:rPr>
        <w:t>名单保持</w:t>
      </w:r>
      <w:r>
        <w:rPr>
          <w:rFonts w:hint="eastAsia"/>
          <w:lang w:eastAsia="zh-CN"/>
        </w:rPr>
        <w:t>在</w:t>
      </w:r>
      <w:r w:rsidR="00C25508">
        <w:rPr>
          <w:rFonts w:hint="eastAsia"/>
          <w:lang w:eastAsia="zh-CN"/>
        </w:rPr>
        <w:t>最新状态</w:t>
      </w:r>
      <w:r w:rsidR="003B125A">
        <w:rPr>
          <w:rFonts w:hint="eastAsia"/>
          <w:lang w:eastAsia="zh-CN"/>
        </w:rPr>
        <w:t>。</w:t>
      </w:r>
      <w:r w:rsidR="00BC5271" w:rsidRPr="00BC5271">
        <w:rPr>
          <w:rFonts w:hint="eastAsia"/>
          <w:lang w:eastAsia="zh-CN"/>
        </w:rPr>
        <w:t>国际电联明确表示</w:t>
      </w:r>
      <w:r w:rsidR="003B125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拒绝承担与</w:t>
      </w:r>
      <w:r w:rsidR="00BC5271" w:rsidRPr="00BC5271">
        <w:rPr>
          <w:rFonts w:hint="eastAsia"/>
          <w:lang w:eastAsia="zh-CN"/>
        </w:rPr>
        <w:t>通过</w:t>
      </w:r>
      <w:r w:rsidR="003B125A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选择</w:t>
      </w:r>
      <w:r w:rsidR="003B125A">
        <w:rPr>
          <w:rFonts w:hint="eastAsia"/>
          <w:lang w:eastAsia="zh-CN"/>
        </w:rPr>
        <w:t>”</w:t>
      </w:r>
      <w:r w:rsidR="00A81FCE">
        <w:rPr>
          <w:rFonts w:hint="eastAsia"/>
          <w:lang w:eastAsia="zh-CN"/>
        </w:rPr>
        <w:t>自动批准系统注册的代表</w:t>
      </w:r>
      <w:r w:rsidR="003B125A">
        <w:rPr>
          <w:rFonts w:hint="eastAsia"/>
          <w:lang w:eastAsia="zh-CN"/>
        </w:rPr>
        <w:t>与会</w:t>
      </w:r>
      <w:r w:rsidR="003B125A" w:rsidRPr="00467F8F">
        <w:rPr>
          <w:lang w:eastAsia="zh-CN"/>
        </w:rPr>
        <w:t>/</w:t>
      </w:r>
      <w:r w:rsidR="00BC5271" w:rsidRPr="00BC5271">
        <w:rPr>
          <w:rFonts w:hint="eastAsia"/>
          <w:lang w:eastAsia="zh-CN"/>
        </w:rPr>
        <w:t>出席</w:t>
      </w:r>
      <w:r w:rsidR="00A81FCE">
        <w:rPr>
          <w:rFonts w:hint="eastAsia"/>
          <w:lang w:eastAsia="zh-CN"/>
        </w:rPr>
        <w:t>相关的</w:t>
      </w:r>
      <w:r w:rsidR="00C25508">
        <w:rPr>
          <w:rFonts w:hint="eastAsia"/>
          <w:lang w:eastAsia="zh-CN"/>
        </w:rPr>
        <w:t>任何责任</w:t>
      </w:r>
      <w:r w:rsidR="003B125A">
        <w:rPr>
          <w:rFonts w:hint="eastAsia"/>
          <w:lang w:eastAsia="zh-CN"/>
        </w:rPr>
        <w:t>。</w:t>
      </w:r>
    </w:p>
    <w:p w:rsidR="00B37BD9" w:rsidRDefault="00B37BD9" w:rsidP="0036112E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B37BD9" w:rsidRPr="00D50818" w:rsidRDefault="00406625" w:rsidP="0036112E">
      <w:pPr>
        <w:tabs>
          <w:tab w:val="left" w:pos="1418"/>
          <w:tab w:val="left" w:pos="1702"/>
          <w:tab w:val="left" w:pos="2160"/>
        </w:tabs>
        <w:spacing w:before="360"/>
        <w:rPr>
          <w:rFonts w:ascii="KaiTi" w:eastAsia="STKaiti" w:hAnsi="KaiTi"/>
          <w:lang w:val="en-US" w:eastAsia="zh-CN"/>
        </w:rPr>
      </w:pPr>
      <w:r w:rsidRPr="00D50818">
        <w:rPr>
          <w:rFonts w:ascii="KaiTi" w:eastAsia="STKaiti" w:hAnsi="KaiTi" w:hint="eastAsia"/>
          <w:lang w:val="en-US" w:eastAsia="zh-CN"/>
        </w:rPr>
        <w:t>（</w:t>
      </w:r>
      <w:r w:rsidR="00D6374D" w:rsidRPr="00D50818">
        <w:rPr>
          <w:rFonts w:ascii="KaiTi" w:eastAsia="STKaiti" w:hAnsi="KaiTi" w:hint="eastAsia"/>
          <w:lang w:val="en-US" w:eastAsia="zh-CN"/>
        </w:rPr>
        <w:t>原</w:t>
      </w:r>
      <w:r w:rsidR="00223861" w:rsidRPr="00D50818">
        <w:rPr>
          <w:rFonts w:ascii="KaiTi" w:eastAsia="STKaiti" w:hAnsi="KaiTi" w:hint="eastAsia"/>
          <w:lang w:val="en-US" w:eastAsia="zh-CN"/>
        </w:rPr>
        <w:t>件</w:t>
      </w:r>
      <w:r w:rsidRPr="00D50818">
        <w:rPr>
          <w:rFonts w:ascii="KaiTi" w:eastAsia="STKaiti" w:hAnsi="KaiTi" w:hint="eastAsia"/>
          <w:lang w:val="en-US" w:eastAsia="zh-CN"/>
        </w:rPr>
        <w:t>已签）</w:t>
      </w:r>
    </w:p>
    <w:p w:rsidR="00714A1B" w:rsidRPr="00714A1B" w:rsidRDefault="00B37BD9" w:rsidP="002C4B66">
      <w:pPr>
        <w:tabs>
          <w:tab w:val="left" w:pos="1418"/>
          <w:tab w:val="left" w:pos="1702"/>
          <w:tab w:val="left" w:pos="2160"/>
        </w:tabs>
        <w:spacing w:before="36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B37BD9" w:rsidRDefault="00B37BD9" w:rsidP="0036112E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:rsidR="00C75DBD" w:rsidRDefault="00C75DBD" w:rsidP="0036112E">
      <w:pPr>
        <w:spacing w:before="0"/>
        <w:rPr>
          <w:lang w:eastAsia="zh-CN"/>
        </w:rPr>
      </w:pPr>
    </w:p>
    <w:p w:rsidR="00C75DBD" w:rsidRDefault="00C75DBD" w:rsidP="0036112E">
      <w:pPr>
        <w:spacing w:before="0"/>
        <w:rPr>
          <w:lang w:eastAsia="zh-CN"/>
        </w:rPr>
      </w:pPr>
    </w:p>
    <w:p w:rsidR="00C75DBD" w:rsidRDefault="003B125A" w:rsidP="0036112E">
      <w:pPr>
        <w:spacing w:before="0"/>
        <w:rPr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 w:rsidR="00C75DBD">
        <w:rPr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C75DBD" w:rsidRDefault="00C75DBD" w:rsidP="0036112E">
      <w:pPr>
        <w:spacing w:before="0"/>
        <w:rPr>
          <w:lang w:eastAsia="zh-CN"/>
        </w:rPr>
      </w:pPr>
    </w:p>
    <w:p w:rsidR="00C75DBD" w:rsidRDefault="00C75DBD" w:rsidP="003611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 w:hAnsi="SimSun"/>
          <w:lang w:eastAsia="zh-CN"/>
        </w:rPr>
      </w:pPr>
      <w:r>
        <w:rPr>
          <w:rFonts w:ascii="SimSun" w:hAnsi="SimSun"/>
          <w:lang w:eastAsia="zh-CN"/>
        </w:rPr>
        <w:br w:type="page"/>
      </w:r>
    </w:p>
    <w:p w:rsidR="00A20931" w:rsidRPr="00A20931" w:rsidRDefault="003B125A" w:rsidP="00A20931">
      <w:pPr>
        <w:pStyle w:val="AnnexNo"/>
        <w:rPr>
          <w:sz w:val="24"/>
          <w:szCs w:val="24"/>
          <w:lang w:eastAsia="zh-CN"/>
        </w:rPr>
      </w:pPr>
      <w:r w:rsidRPr="00A20931">
        <w:rPr>
          <w:rFonts w:hint="eastAsia"/>
          <w:sz w:val="24"/>
          <w:szCs w:val="24"/>
          <w:lang w:eastAsia="zh-CN"/>
        </w:rPr>
        <w:lastRenderedPageBreak/>
        <w:t>附件</w:t>
      </w:r>
      <w:r w:rsidR="00C75DBD" w:rsidRPr="00A20931">
        <w:rPr>
          <w:sz w:val="24"/>
          <w:szCs w:val="24"/>
          <w:lang w:eastAsia="zh-CN"/>
        </w:rPr>
        <w:t>1</w:t>
      </w:r>
    </w:p>
    <w:p w:rsidR="00C75DBD" w:rsidRPr="00C235C0" w:rsidRDefault="003B125A" w:rsidP="00A20931">
      <w:pPr>
        <w:pStyle w:val="AnnexTitle0"/>
        <w:rPr>
          <w:szCs w:val="18"/>
          <w:lang w:eastAsia="zh-CN"/>
        </w:rPr>
      </w:pPr>
      <w:r>
        <w:rPr>
          <w:rFonts w:eastAsia="SimSun" w:hint="eastAsia"/>
          <w:lang w:eastAsia="zh-CN"/>
        </w:rPr>
        <w:t>联系人职责和</w:t>
      </w:r>
      <w:r w:rsidR="00C25508">
        <w:rPr>
          <w:rFonts w:eastAsia="SimSun" w:hint="eastAsia"/>
          <w:lang w:eastAsia="zh-CN"/>
        </w:rPr>
        <w:t>提交</w:t>
      </w:r>
      <w:r>
        <w:rPr>
          <w:rFonts w:eastAsia="SimSun" w:hint="eastAsia"/>
          <w:lang w:eastAsia="zh-CN"/>
        </w:rPr>
        <w:t>申请</w:t>
      </w:r>
      <w:r w:rsidR="00C75DBD" w:rsidRPr="00FD4B48">
        <w:rPr>
          <w:lang w:eastAsia="zh-CN"/>
        </w:rPr>
        <w:br/>
      </w:r>
    </w:p>
    <w:p w:rsidR="00C75DBD" w:rsidRPr="007C4368" w:rsidRDefault="003B125A" w:rsidP="0036112E">
      <w:pPr>
        <w:pStyle w:val="Headingb"/>
        <w:spacing w:before="0"/>
        <w:rPr>
          <w:lang w:eastAsia="zh-CN"/>
        </w:rPr>
      </w:pPr>
      <w:r w:rsidRPr="007C4368">
        <w:rPr>
          <w:lang w:eastAsia="zh-CN"/>
        </w:rPr>
        <w:t>DFP</w:t>
      </w:r>
      <w:r>
        <w:rPr>
          <w:rFonts w:ascii="SimSun" w:eastAsia="SimSun" w:hAnsi="SimSun" w:cs="SimSun" w:hint="eastAsia"/>
          <w:lang w:eastAsia="zh-CN"/>
        </w:rPr>
        <w:t>和</w:t>
      </w:r>
      <w:r w:rsidRPr="007C4368">
        <w:rPr>
          <w:lang w:eastAsia="zh-CN"/>
        </w:rPr>
        <w:t>TIES</w:t>
      </w:r>
      <w:r>
        <w:rPr>
          <w:rFonts w:ascii="SimSun" w:eastAsia="SimSun" w:hAnsi="SimSun" w:cs="SimSun" w:hint="eastAsia"/>
          <w:lang w:eastAsia="zh-CN"/>
        </w:rPr>
        <w:t>联系人的具体职责</w:t>
      </w:r>
      <w:r w:rsidR="00C25508">
        <w:rPr>
          <w:rFonts w:ascii="SimSun" w:eastAsia="SimSun" w:hAnsi="SimSun" w:cs="SimSun" w:hint="eastAsia"/>
          <w:lang w:eastAsia="zh-CN"/>
        </w:rPr>
        <w:t>：</w:t>
      </w:r>
    </w:p>
    <w:p w:rsidR="00C75DBD" w:rsidRPr="00563730" w:rsidRDefault="005803D9" w:rsidP="0036112E">
      <w:pPr>
        <w:spacing w:after="120"/>
        <w:rPr>
          <w:szCs w:val="24"/>
          <w:lang w:eastAsia="zh-CN"/>
        </w:rPr>
      </w:pPr>
      <w:r>
        <w:rPr>
          <w:rFonts w:hint="eastAsia"/>
          <w:lang w:eastAsia="zh-CN"/>
        </w:rPr>
        <w:t>“</w:t>
      </w:r>
      <w:r w:rsidR="00BE182F">
        <w:rPr>
          <w:rFonts w:hint="eastAsia"/>
          <w:lang w:eastAsia="zh-CN"/>
        </w:rPr>
        <w:t>选择</w:t>
      </w:r>
      <w:r>
        <w:rPr>
          <w:rFonts w:hint="eastAsia"/>
          <w:lang w:eastAsia="zh-CN"/>
        </w:rPr>
        <w:t>”功能</w:t>
      </w:r>
      <w:r w:rsidR="003B125A" w:rsidRPr="003B125A">
        <w:rPr>
          <w:rFonts w:hint="eastAsia"/>
          <w:szCs w:val="24"/>
          <w:lang w:eastAsia="zh-CN"/>
        </w:rPr>
        <w:t>的应用</w:t>
      </w:r>
      <w:r>
        <w:rPr>
          <w:rFonts w:hint="eastAsia"/>
          <w:szCs w:val="24"/>
          <w:lang w:eastAsia="zh-CN"/>
        </w:rPr>
        <w:t>涉及</w:t>
      </w:r>
      <w:r w:rsidR="003B125A" w:rsidRPr="003B125A">
        <w:rPr>
          <w:rFonts w:hint="eastAsia"/>
          <w:szCs w:val="24"/>
          <w:lang w:eastAsia="zh-CN"/>
        </w:rPr>
        <w:t>以下</w:t>
      </w:r>
      <w:r>
        <w:rPr>
          <w:rFonts w:hint="eastAsia"/>
          <w:szCs w:val="24"/>
          <w:lang w:eastAsia="zh-CN"/>
        </w:rPr>
        <w:t>职责：</w:t>
      </w:r>
    </w:p>
    <w:p w:rsidR="00C75DBD" w:rsidRPr="00FD4B48" w:rsidRDefault="00C75DBD" w:rsidP="0036112E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20" w:hanging="720"/>
        <w:rPr>
          <w:lang w:eastAsia="zh-CN"/>
        </w:rPr>
      </w:pPr>
      <w:r>
        <w:rPr>
          <w:lang w:eastAsia="zh-CN"/>
        </w:rPr>
        <w:t>̶̵</w:t>
      </w:r>
      <w:r w:rsidRPr="00FD4B48">
        <w:rPr>
          <w:lang w:eastAsia="zh-CN"/>
        </w:rPr>
        <w:tab/>
      </w:r>
      <w:r w:rsidR="005803D9">
        <w:rPr>
          <w:rFonts w:hint="eastAsia"/>
          <w:lang w:eastAsia="zh-CN"/>
        </w:rPr>
        <w:t>指定联系人（</w:t>
      </w:r>
      <w:r w:rsidR="005803D9" w:rsidRPr="00FD4B48">
        <w:rPr>
          <w:lang w:eastAsia="zh-CN"/>
        </w:rPr>
        <w:t>DFP</w:t>
      </w:r>
      <w:r w:rsidR="005803D9">
        <w:rPr>
          <w:rFonts w:hint="eastAsia"/>
          <w:lang w:eastAsia="zh-CN"/>
        </w:rPr>
        <w:t>）：</w:t>
      </w:r>
      <w:r w:rsidR="005803D9" w:rsidRPr="005803D9">
        <w:rPr>
          <w:rFonts w:hint="eastAsia"/>
          <w:lang w:eastAsia="zh-CN"/>
        </w:rPr>
        <w:t>成员负责批准国际电联活动代表注册</w:t>
      </w:r>
      <w:r w:rsidR="005803D9">
        <w:rPr>
          <w:rFonts w:hint="eastAsia"/>
          <w:lang w:eastAsia="zh-CN"/>
        </w:rPr>
        <w:t>的联系人。</w:t>
      </w:r>
      <w:r w:rsidR="005803D9" w:rsidRPr="005803D9">
        <w:rPr>
          <w:rFonts w:hint="eastAsia"/>
          <w:lang w:eastAsia="zh-CN"/>
        </w:rPr>
        <w:t>国际电联每个部门的</w:t>
      </w:r>
      <w:r w:rsidR="005803D9" w:rsidRPr="00FD4B48">
        <w:rPr>
          <w:lang w:eastAsia="zh-CN"/>
        </w:rPr>
        <w:t>DFP</w:t>
      </w:r>
      <w:r w:rsidR="005803D9" w:rsidRPr="005803D9">
        <w:rPr>
          <w:rFonts w:hint="eastAsia"/>
          <w:lang w:eastAsia="zh-CN"/>
        </w:rPr>
        <w:t>可</w:t>
      </w:r>
      <w:r w:rsidR="009B3065">
        <w:rPr>
          <w:rFonts w:hint="eastAsia"/>
          <w:lang w:eastAsia="zh-CN"/>
        </w:rPr>
        <w:t>以</w:t>
      </w:r>
      <w:r w:rsidR="005803D9" w:rsidRPr="005803D9">
        <w:rPr>
          <w:rFonts w:hint="eastAsia"/>
          <w:lang w:eastAsia="zh-CN"/>
        </w:rPr>
        <w:t>不同</w:t>
      </w:r>
      <w:r w:rsidR="005803D9">
        <w:rPr>
          <w:rFonts w:hint="eastAsia"/>
          <w:lang w:eastAsia="zh-CN"/>
        </w:rPr>
        <w:t>，</w:t>
      </w:r>
      <w:r w:rsidR="005803D9" w:rsidRPr="005803D9">
        <w:rPr>
          <w:rFonts w:hint="eastAsia"/>
          <w:lang w:eastAsia="zh-CN"/>
        </w:rPr>
        <w:t>可与</w:t>
      </w:r>
      <w:r w:rsidR="005803D9" w:rsidRPr="00FD4B48">
        <w:rPr>
          <w:lang w:eastAsia="zh-CN"/>
        </w:rPr>
        <w:t>TIES</w:t>
      </w:r>
      <w:r w:rsidR="005803D9">
        <w:rPr>
          <w:rFonts w:hint="eastAsia"/>
          <w:lang w:eastAsia="zh-CN"/>
        </w:rPr>
        <w:t>联系人</w:t>
      </w:r>
      <w:r w:rsidR="005803D9" w:rsidRPr="005803D9">
        <w:rPr>
          <w:rFonts w:hint="eastAsia"/>
          <w:lang w:eastAsia="zh-CN"/>
        </w:rPr>
        <w:t>相同</w:t>
      </w:r>
      <w:r w:rsidR="005803D9">
        <w:rPr>
          <w:rFonts w:hint="eastAsia"/>
          <w:lang w:eastAsia="zh-CN"/>
        </w:rPr>
        <w:t>，也可</w:t>
      </w:r>
      <w:r w:rsidR="005803D9" w:rsidRPr="005803D9">
        <w:rPr>
          <w:rFonts w:hint="eastAsia"/>
          <w:lang w:eastAsia="zh-CN"/>
        </w:rPr>
        <w:t>不同</w:t>
      </w:r>
      <w:r w:rsidR="005803D9">
        <w:rPr>
          <w:rFonts w:hint="eastAsia"/>
          <w:lang w:eastAsia="zh-CN"/>
        </w:rPr>
        <w:t>。</w:t>
      </w:r>
    </w:p>
    <w:p w:rsidR="00C75DBD" w:rsidRDefault="00C75DBD" w:rsidP="0036112E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20" w:hanging="720"/>
        <w:rPr>
          <w:lang w:eastAsia="zh-CN"/>
        </w:rPr>
      </w:pPr>
      <w:r w:rsidRPr="00FD4B48">
        <w:rPr>
          <w:lang w:eastAsia="zh-CN"/>
        </w:rPr>
        <w:t>̶</w:t>
      </w:r>
      <w:r w:rsidRPr="00FD4B48">
        <w:rPr>
          <w:lang w:eastAsia="zh-CN"/>
        </w:rPr>
        <w:tab/>
        <w:t>TIES</w:t>
      </w:r>
      <w:r w:rsidR="005803D9">
        <w:rPr>
          <w:rFonts w:hint="eastAsia"/>
          <w:lang w:eastAsia="zh-CN"/>
        </w:rPr>
        <w:t>联系人：</w:t>
      </w:r>
      <w:r w:rsidR="009B3065">
        <w:rPr>
          <w:rFonts w:hint="eastAsia"/>
          <w:lang w:eastAsia="zh-CN"/>
        </w:rPr>
        <w:t>由</w:t>
      </w:r>
      <w:r w:rsidR="005803D9">
        <w:rPr>
          <w:rFonts w:hint="eastAsia"/>
          <w:lang w:eastAsia="zh-CN"/>
        </w:rPr>
        <w:t>成员指定</w:t>
      </w:r>
      <w:r w:rsidR="009B3065">
        <w:rPr>
          <w:rFonts w:hint="eastAsia"/>
          <w:lang w:eastAsia="zh-CN"/>
        </w:rPr>
        <w:t>的人员，</w:t>
      </w:r>
      <w:r w:rsidR="005803D9">
        <w:rPr>
          <w:rFonts w:hint="eastAsia"/>
          <w:lang w:eastAsia="zh-CN"/>
        </w:rPr>
        <w:t>负责向成员代表</w:t>
      </w:r>
      <w:r w:rsidR="005803D9" w:rsidRPr="005803D9">
        <w:rPr>
          <w:rFonts w:hint="eastAsia"/>
          <w:lang w:eastAsia="zh-CN"/>
        </w:rPr>
        <w:t>授予</w:t>
      </w:r>
      <w:r w:rsidR="005803D9" w:rsidRPr="00FD4B48">
        <w:rPr>
          <w:lang w:eastAsia="zh-CN"/>
        </w:rPr>
        <w:t>TIES</w:t>
      </w:r>
      <w:r w:rsidR="005803D9">
        <w:rPr>
          <w:rFonts w:hint="eastAsia"/>
          <w:lang w:eastAsia="zh-CN"/>
        </w:rPr>
        <w:t>访问权限</w:t>
      </w:r>
      <w:r w:rsidR="005803D9" w:rsidRPr="005803D9">
        <w:rPr>
          <w:rFonts w:hint="eastAsia"/>
          <w:lang w:eastAsia="zh-CN"/>
        </w:rPr>
        <w:t>并</w:t>
      </w:r>
      <w:r w:rsidR="009B3065">
        <w:rPr>
          <w:rFonts w:hint="eastAsia"/>
          <w:lang w:eastAsia="zh-CN"/>
        </w:rPr>
        <w:t>确保</w:t>
      </w:r>
      <w:r w:rsidR="005803D9" w:rsidRPr="00FD4B48">
        <w:rPr>
          <w:lang w:eastAsia="zh-CN"/>
        </w:rPr>
        <w:t>TIES</w:t>
      </w:r>
      <w:r w:rsidR="005803D9" w:rsidRPr="005803D9">
        <w:rPr>
          <w:rFonts w:hint="eastAsia"/>
          <w:lang w:eastAsia="zh-CN"/>
        </w:rPr>
        <w:t>用户</w:t>
      </w:r>
      <w:r w:rsidR="005803D9">
        <w:rPr>
          <w:rFonts w:hint="eastAsia"/>
          <w:lang w:eastAsia="zh-CN"/>
        </w:rPr>
        <w:t>名单保持</w:t>
      </w:r>
      <w:r w:rsidR="005803D9" w:rsidRPr="005803D9">
        <w:rPr>
          <w:rFonts w:hint="eastAsia"/>
          <w:lang w:eastAsia="zh-CN"/>
        </w:rPr>
        <w:t>最新</w:t>
      </w:r>
      <w:r w:rsidR="009B3065">
        <w:rPr>
          <w:rFonts w:hint="eastAsia"/>
          <w:lang w:eastAsia="zh-CN"/>
        </w:rPr>
        <w:t>状态</w:t>
      </w:r>
      <w:r w:rsidR="005803D9">
        <w:rPr>
          <w:rFonts w:hint="eastAsia"/>
          <w:lang w:eastAsia="zh-CN"/>
        </w:rPr>
        <w:t>。</w:t>
      </w:r>
      <w:r w:rsidR="005803D9" w:rsidRPr="005803D9">
        <w:rPr>
          <w:rFonts w:hint="eastAsia"/>
          <w:lang w:eastAsia="zh-CN"/>
        </w:rPr>
        <w:t>每个成员只有一个</w:t>
      </w:r>
      <w:r w:rsidR="005803D9" w:rsidRPr="005803D9">
        <w:rPr>
          <w:rFonts w:hint="eastAsia"/>
          <w:lang w:eastAsia="zh-CN"/>
        </w:rPr>
        <w:t>TIES</w:t>
      </w:r>
      <w:r w:rsidR="005803D9">
        <w:rPr>
          <w:rFonts w:hint="eastAsia"/>
          <w:lang w:eastAsia="zh-CN"/>
        </w:rPr>
        <w:t>联系人，</w:t>
      </w:r>
      <w:r w:rsidR="005803D9" w:rsidRPr="005803D9">
        <w:rPr>
          <w:rFonts w:hint="eastAsia"/>
          <w:lang w:eastAsia="zh-CN"/>
        </w:rPr>
        <w:t>即使该成员</w:t>
      </w:r>
      <w:r w:rsidR="00BE182F">
        <w:rPr>
          <w:rFonts w:hint="eastAsia"/>
          <w:lang w:eastAsia="zh-CN"/>
        </w:rPr>
        <w:t>参加</w:t>
      </w:r>
      <w:r w:rsidR="005803D9">
        <w:rPr>
          <w:rFonts w:hint="eastAsia"/>
          <w:lang w:eastAsia="zh-CN"/>
        </w:rPr>
        <w:t>一个以上</w:t>
      </w:r>
      <w:r w:rsidR="005803D9" w:rsidRPr="005803D9">
        <w:rPr>
          <w:rFonts w:hint="eastAsia"/>
          <w:lang w:eastAsia="zh-CN"/>
        </w:rPr>
        <w:t>国际电联部门</w:t>
      </w:r>
      <w:r w:rsidR="00BE182F">
        <w:rPr>
          <w:rFonts w:hint="eastAsia"/>
          <w:lang w:eastAsia="zh-CN"/>
        </w:rPr>
        <w:t>的活动</w:t>
      </w:r>
      <w:r w:rsidR="005803D9">
        <w:rPr>
          <w:rFonts w:hint="eastAsia"/>
          <w:lang w:eastAsia="zh-CN"/>
        </w:rPr>
        <w:t>。</w:t>
      </w:r>
    </w:p>
    <w:p w:rsidR="00C75DBD" w:rsidRDefault="005803D9" w:rsidP="0036112E">
      <w:pPr>
        <w:spacing w:after="120"/>
        <w:rPr>
          <w:lang w:eastAsia="zh-CN"/>
        </w:rPr>
      </w:pPr>
      <w:r>
        <w:rPr>
          <w:rFonts w:hint="eastAsia"/>
          <w:lang w:eastAsia="zh-CN"/>
        </w:rPr>
        <w:t>说明：</w:t>
      </w:r>
    </w:p>
    <w:p w:rsidR="00C75DBD" w:rsidRPr="00FD4B48" w:rsidRDefault="009B3065" w:rsidP="001B750E">
      <w:pPr>
        <w:spacing w:after="120"/>
        <w:ind w:firstLineChars="200" w:firstLine="480"/>
        <w:rPr>
          <w:rFonts w:cs="Segoe UI"/>
          <w:szCs w:val="24"/>
          <w:lang w:eastAsia="zh-CN"/>
        </w:rPr>
      </w:pPr>
      <w:r>
        <w:rPr>
          <w:rFonts w:hint="eastAsia"/>
          <w:lang w:eastAsia="zh-CN"/>
        </w:rPr>
        <w:t>可应要求</w:t>
      </w:r>
      <w:r w:rsidR="005803D9" w:rsidRPr="005803D9">
        <w:rPr>
          <w:rFonts w:cs="Segoe UI" w:hint="eastAsia"/>
          <w:szCs w:val="24"/>
          <w:lang w:eastAsia="zh-CN"/>
        </w:rPr>
        <w:t>向国际电联成员</w:t>
      </w:r>
      <w:r w:rsidR="005803D9">
        <w:rPr>
          <w:rFonts w:cs="Segoe UI" w:hint="eastAsia"/>
          <w:szCs w:val="24"/>
          <w:lang w:eastAsia="zh-CN"/>
        </w:rPr>
        <w:t>（</w:t>
      </w:r>
      <w:r w:rsidR="005803D9" w:rsidRPr="005803D9">
        <w:rPr>
          <w:rFonts w:cs="Segoe UI" w:hint="eastAsia"/>
          <w:szCs w:val="24"/>
          <w:lang w:eastAsia="zh-CN"/>
        </w:rPr>
        <w:t>成员国</w:t>
      </w:r>
      <w:r w:rsidR="005803D9">
        <w:rPr>
          <w:rFonts w:cs="Segoe UI" w:hint="eastAsia"/>
          <w:szCs w:val="24"/>
          <w:lang w:eastAsia="zh-CN"/>
        </w:rPr>
        <w:t>、</w:t>
      </w:r>
      <w:r w:rsidR="005803D9" w:rsidRPr="005803D9">
        <w:rPr>
          <w:rFonts w:cs="Segoe UI" w:hint="eastAsia"/>
          <w:szCs w:val="24"/>
          <w:lang w:eastAsia="zh-CN"/>
        </w:rPr>
        <w:t>部门成员</w:t>
      </w:r>
      <w:r w:rsidR="005803D9">
        <w:rPr>
          <w:rFonts w:cs="Segoe UI" w:hint="eastAsia"/>
          <w:szCs w:val="24"/>
          <w:lang w:eastAsia="zh-CN"/>
        </w:rPr>
        <w:t>、</w:t>
      </w:r>
      <w:r w:rsidR="005803D9" w:rsidRPr="005803D9">
        <w:rPr>
          <w:rFonts w:cs="Segoe UI" w:hint="eastAsia"/>
          <w:szCs w:val="24"/>
          <w:lang w:eastAsia="zh-CN"/>
        </w:rPr>
        <w:t>部门准成员和学术成员</w:t>
      </w:r>
      <w:r w:rsidR="005803D9">
        <w:rPr>
          <w:rFonts w:cs="Segoe UI" w:hint="eastAsia"/>
          <w:szCs w:val="24"/>
          <w:lang w:eastAsia="zh-CN"/>
        </w:rPr>
        <w:t>）的</w:t>
      </w:r>
      <w:r w:rsidR="005803D9" w:rsidRPr="005803D9">
        <w:rPr>
          <w:rFonts w:cs="Segoe UI" w:hint="eastAsia"/>
          <w:szCs w:val="24"/>
          <w:lang w:eastAsia="zh-CN"/>
        </w:rPr>
        <w:t>代表提供</w:t>
      </w:r>
      <w:r w:rsidR="005803D9" w:rsidRPr="005803D9">
        <w:rPr>
          <w:rFonts w:cs="Segoe UI" w:hint="eastAsia"/>
          <w:szCs w:val="24"/>
          <w:lang w:eastAsia="zh-CN"/>
        </w:rPr>
        <w:t>TIES</w:t>
      </w:r>
      <w:r w:rsidR="005803D9">
        <w:rPr>
          <w:rFonts w:cs="Segoe UI" w:hint="eastAsia"/>
          <w:szCs w:val="24"/>
          <w:lang w:eastAsia="zh-CN"/>
        </w:rPr>
        <w:t>访问权限。</w:t>
      </w:r>
      <w:r w:rsidR="005803D9" w:rsidRPr="00FD4B48">
        <w:rPr>
          <w:rFonts w:cs="Segoe UI"/>
          <w:szCs w:val="24"/>
          <w:lang w:eastAsia="zh-CN"/>
        </w:rPr>
        <w:t>TIES</w:t>
      </w:r>
      <w:r w:rsidR="005803D9">
        <w:rPr>
          <w:rFonts w:cs="Segoe UI" w:hint="eastAsia"/>
          <w:szCs w:val="24"/>
          <w:lang w:eastAsia="zh-CN"/>
        </w:rPr>
        <w:t>可</w:t>
      </w:r>
      <w:r>
        <w:rPr>
          <w:rFonts w:cs="Segoe UI" w:hint="eastAsia"/>
          <w:szCs w:val="24"/>
          <w:lang w:eastAsia="zh-CN"/>
        </w:rPr>
        <w:t>提供多项</w:t>
      </w:r>
      <w:r w:rsidR="005803D9" w:rsidRPr="005803D9">
        <w:rPr>
          <w:rFonts w:cs="Segoe UI" w:hint="eastAsia"/>
          <w:szCs w:val="24"/>
          <w:lang w:eastAsia="zh-CN"/>
        </w:rPr>
        <w:t>服务</w:t>
      </w:r>
      <w:r>
        <w:rPr>
          <w:rFonts w:cs="Segoe UI" w:hint="eastAsia"/>
          <w:szCs w:val="24"/>
          <w:lang w:eastAsia="zh-CN"/>
        </w:rPr>
        <w:t>的个人访问权限</w:t>
      </w:r>
      <w:r w:rsidR="005803D9">
        <w:rPr>
          <w:rFonts w:cs="Segoe UI" w:hint="eastAsia"/>
          <w:szCs w:val="24"/>
          <w:lang w:eastAsia="zh-CN"/>
        </w:rPr>
        <w:t>（</w:t>
      </w:r>
      <w:r w:rsidR="005803D9" w:rsidRPr="005803D9">
        <w:rPr>
          <w:rFonts w:cs="Segoe UI" w:hint="eastAsia"/>
          <w:szCs w:val="24"/>
          <w:lang w:eastAsia="zh-CN"/>
        </w:rPr>
        <w:t>通过用户名和密码</w:t>
      </w:r>
      <w:r w:rsidR="005803D9">
        <w:rPr>
          <w:rFonts w:cs="Segoe UI" w:hint="eastAsia"/>
          <w:szCs w:val="24"/>
          <w:lang w:eastAsia="zh-CN"/>
        </w:rPr>
        <w:t>）。</w:t>
      </w:r>
      <w:r w:rsidR="005803D9" w:rsidRPr="005803D9">
        <w:rPr>
          <w:rFonts w:cs="Segoe UI" w:hint="eastAsia"/>
          <w:szCs w:val="24"/>
          <w:lang w:eastAsia="zh-CN"/>
        </w:rPr>
        <w:t>TIES</w:t>
      </w:r>
      <w:r w:rsidR="005803D9" w:rsidRPr="005803D9">
        <w:rPr>
          <w:rFonts w:cs="Segoe UI" w:hint="eastAsia"/>
          <w:szCs w:val="24"/>
          <w:lang w:eastAsia="zh-CN"/>
        </w:rPr>
        <w:t>服务</w:t>
      </w:r>
      <w:r w:rsidR="005803D9">
        <w:rPr>
          <w:rFonts w:cs="Segoe UI" w:hint="eastAsia"/>
          <w:szCs w:val="24"/>
          <w:lang w:eastAsia="zh-CN"/>
        </w:rPr>
        <w:t>旨在</w:t>
      </w:r>
      <w:r w:rsidR="005803D9" w:rsidRPr="005803D9">
        <w:rPr>
          <w:rFonts w:cs="Segoe UI" w:hint="eastAsia"/>
          <w:szCs w:val="24"/>
          <w:lang w:eastAsia="zh-CN"/>
        </w:rPr>
        <w:t>支持成员</w:t>
      </w:r>
      <w:r>
        <w:rPr>
          <w:rFonts w:cs="Segoe UI" w:hint="eastAsia"/>
          <w:szCs w:val="24"/>
          <w:lang w:eastAsia="zh-CN"/>
        </w:rPr>
        <w:t>对</w:t>
      </w:r>
      <w:r w:rsidR="005803D9" w:rsidRPr="005803D9">
        <w:rPr>
          <w:rFonts w:cs="Segoe UI" w:hint="eastAsia"/>
          <w:szCs w:val="24"/>
          <w:lang w:eastAsia="zh-CN"/>
        </w:rPr>
        <w:t>国际电联</w:t>
      </w:r>
      <w:r>
        <w:rPr>
          <w:rFonts w:cs="Segoe UI" w:hint="eastAsia"/>
          <w:szCs w:val="24"/>
          <w:lang w:eastAsia="zh-CN"/>
        </w:rPr>
        <w:t>各项</w:t>
      </w:r>
      <w:r w:rsidR="005803D9" w:rsidRPr="005803D9">
        <w:rPr>
          <w:rFonts w:cs="Segoe UI" w:hint="eastAsia"/>
          <w:szCs w:val="24"/>
          <w:lang w:eastAsia="zh-CN"/>
        </w:rPr>
        <w:t>活动</w:t>
      </w:r>
      <w:r>
        <w:rPr>
          <w:rFonts w:cs="Segoe UI" w:hint="eastAsia"/>
          <w:szCs w:val="24"/>
          <w:lang w:eastAsia="zh-CN"/>
        </w:rPr>
        <w:t>的参与</w:t>
      </w:r>
      <w:r w:rsidR="005803D9">
        <w:rPr>
          <w:rFonts w:cs="Segoe UI" w:hint="eastAsia"/>
          <w:szCs w:val="24"/>
          <w:lang w:eastAsia="zh-CN"/>
        </w:rPr>
        <w:t>，</w:t>
      </w:r>
      <w:r w:rsidR="005803D9" w:rsidRPr="005803D9">
        <w:rPr>
          <w:rFonts w:cs="Segoe UI" w:hint="eastAsia"/>
          <w:szCs w:val="24"/>
          <w:lang w:eastAsia="zh-CN"/>
        </w:rPr>
        <w:t>包括在线协作工具</w:t>
      </w:r>
      <w:r w:rsidR="005803D9">
        <w:rPr>
          <w:rFonts w:cs="Segoe UI" w:hint="eastAsia"/>
          <w:szCs w:val="24"/>
          <w:lang w:eastAsia="zh-CN"/>
        </w:rPr>
        <w:t>、</w:t>
      </w:r>
      <w:r w:rsidR="005803D9" w:rsidRPr="005803D9">
        <w:rPr>
          <w:rFonts w:cs="Segoe UI" w:hint="eastAsia"/>
          <w:szCs w:val="24"/>
          <w:lang w:eastAsia="zh-CN"/>
        </w:rPr>
        <w:t>国际电联会议文件的</w:t>
      </w:r>
      <w:r w:rsidR="005803D9">
        <w:rPr>
          <w:rFonts w:cs="Segoe UI" w:hint="eastAsia"/>
          <w:szCs w:val="24"/>
          <w:lang w:eastAsia="zh-CN"/>
        </w:rPr>
        <w:t>获取、</w:t>
      </w:r>
      <w:r w:rsidR="005803D9" w:rsidRPr="005803D9">
        <w:rPr>
          <w:rFonts w:cs="Segoe UI" w:hint="eastAsia"/>
          <w:szCs w:val="24"/>
          <w:lang w:eastAsia="zh-CN"/>
        </w:rPr>
        <w:t>自动电子邮件通知等</w:t>
      </w:r>
      <w:r w:rsidR="005803D9">
        <w:rPr>
          <w:rFonts w:cs="Segoe UI" w:hint="eastAsia"/>
          <w:szCs w:val="24"/>
          <w:lang w:eastAsia="zh-CN"/>
        </w:rPr>
        <w:t>。</w:t>
      </w:r>
      <w:bookmarkStart w:id="2" w:name="eligible"/>
      <w:bookmarkEnd w:id="2"/>
    </w:p>
    <w:p w:rsidR="00C75DBD" w:rsidRPr="00FD4B48" w:rsidRDefault="009B3065" w:rsidP="001B750E">
      <w:pPr>
        <w:spacing w:after="120"/>
        <w:ind w:firstLineChars="200" w:firstLine="480"/>
        <w:rPr>
          <w:szCs w:val="24"/>
          <w:lang w:eastAsia="zh-CN"/>
        </w:rPr>
      </w:pPr>
      <w:r w:rsidRPr="00D34DEA">
        <w:rPr>
          <w:rFonts w:hint="eastAsia"/>
          <w:lang w:eastAsia="zh-CN"/>
        </w:rPr>
        <w:t>新的注册批准</w:t>
      </w:r>
      <w:r w:rsidR="00EE2158">
        <w:rPr>
          <w:rFonts w:hint="eastAsia"/>
          <w:lang w:eastAsia="zh-CN"/>
        </w:rPr>
        <w:t>系统</w:t>
      </w:r>
      <w:r w:rsidRPr="00D34DEA">
        <w:rPr>
          <w:rFonts w:hint="eastAsia"/>
          <w:lang w:eastAsia="zh-CN"/>
        </w:rPr>
        <w:t>基于以下假设</w:t>
      </w:r>
      <w:r>
        <w:rPr>
          <w:rFonts w:hint="eastAsia"/>
          <w:lang w:eastAsia="zh-CN"/>
        </w:rPr>
        <w:t>：</w:t>
      </w:r>
      <w:r w:rsidRPr="00D34DEA">
        <w:rPr>
          <w:rFonts w:hint="eastAsia"/>
          <w:lang w:eastAsia="zh-CN"/>
        </w:rPr>
        <w:t>成员将确保其每个部门的</w:t>
      </w:r>
      <w:r w:rsidRPr="00FD4B48">
        <w:rPr>
          <w:lang w:eastAsia="zh-CN"/>
        </w:rPr>
        <w:t>DFP</w:t>
      </w:r>
      <w:r w:rsidRPr="00D34DEA">
        <w:rPr>
          <w:rFonts w:hint="eastAsia"/>
          <w:lang w:eastAsia="zh-CN"/>
        </w:rPr>
        <w:t>与</w:t>
      </w:r>
      <w:r w:rsidRPr="00FD4B48">
        <w:rPr>
          <w:lang w:eastAsia="zh-CN"/>
        </w:rPr>
        <w:t>TIES</w:t>
      </w:r>
      <w:r>
        <w:rPr>
          <w:rFonts w:hint="eastAsia"/>
          <w:lang w:eastAsia="zh-CN"/>
        </w:rPr>
        <w:t>联系人</w:t>
      </w:r>
      <w:r w:rsidRPr="00D34DEA">
        <w:rPr>
          <w:rFonts w:hint="eastAsia"/>
          <w:lang w:eastAsia="zh-CN"/>
        </w:rPr>
        <w:t>协调和</w:t>
      </w:r>
      <w:r w:rsidRPr="00D34DEA">
        <w:rPr>
          <w:rFonts w:hint="eastAsia"/>
          <w:lang w:eastAsia="zh-CN"/>
        </w:rPr>
        <w:t>/</w:t>
      </w:r>
      <w:r w:rsidRPr="00D34DEA"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沟通，</w:t>
      </w:r>
      <w:r w:rsidR="00BE182F">
        <w:rPr>
          <w:rFonts w:hint="eastAsia"/>
          <w:lang w:eastAsia="zh-CN"/>
        </w:rPr>
        <w:t>而且成员很清楚</w:t>
      </w:r>
      <w:r>
        <w:rPr>
          <w:rFonts w:hint="eastAsia"/>
          <w:lang w:eastAsia="zh-CN"/>
        </w:rPr>
        <w:t>，</w:t>
      </w:r>
      <w:r w:rsidRPr="00FD4B48">
        <w:rPr>
          <w:lang w:eastAsia="zh-CN"/>
        </w:rPr>
        <w:t>TIES</w:t>
      </w:r>
      <w:r w:rsidRPr="00D34DEA">
        <w:rPr>
          <w:rFonts w:hint="eastAsia"/>
          <w:lang w:eastAsia="zh-CN"/>
        </w:rPr>
        <w:t>访问权限还将</w:t>
      </w:r>
      <w:r w:rsidR="00BE182F">
        <w:rPr>
          <w:rFonts w:hint="eastAsia"/>
          <w:lang w:eastAsia="zh-CN"/>
        </w:rPr>
        <w:t>赋予代表</w:t>
      </w:r>
      <w:r w:rsidRPr="00D34DEA">
        <w:rPr>
          <w:rFonts w:hint="eastAsia"/>
          <w:lang w:eastAsia="zh-CN"/>
        </w:rPr>
        <w:t>自动注册</w:t>
      </w:r>
      <w:r w:rsidRPr="00FD4B48">
        <w:rPr>
          <w:lang w:eastAsia="zh-CN"/>
        </w:rPr>
        <w:t>ITU-T</w:t>
      </w:r>
      <w:r w:rsidRPr="00D34DEA">
        <w:rPr>
          <w:rFonts w:hint="eastAsia"/>
          <w:lang w:eastAsia="zh-CN"/>
        </w:rPr>
        <w:t>法定</w:t>
      </w:r>
      <w:r>
        <w:rPr>
          <w:rFonts w:hint="eastAsia"/>
          <w:lang w:eastAsia="zh-CN"/>
        </w:rPr>
        <w:t>活动</w:t>
      </w:r>
      <w:r w:rsidR="00BE182F">
        <w:rPr>
          <w:rFonts w:hint="eastAsia"/>
          <w:lang w:eastAsia="zh-CN"/>
        </w:rPr>
        <w:t>的权利</w:t>
      </w:r>
      <w:r>
        <w:rPr>
          <w:rFonts w:hint="eastAsia"/>
          <w:lang w:eastAsia="zh-CN"/>
        </w:rPr>
        <w:t>。</w:t>
      </w:r>
      <w:r w:rsidR="00EE2158" w:rsidRPr="00D34DEA">
        <w:rPr>
          <w:rFonts w:hint="eastAsia"/>
          <w:lang w:eastAsia="zh-CN"/>
        </w:rPr>
        <w:t>目前</w:t>
      </w:r>
      <w:r w:rsidR="00EE2158">
        <w:rPr>
          <w:rFonts w:hint="eastAsia"/>
          <w:lang w:eastAsia="zh-CN"/>
        </w:rPr>
        <w:t>，</w:t>
      </w:r>
      <w:r w:rsidR="00EE2158" w:rsidRPr="00FD4B48">
        <w:rPr>
          <w:lang w:eastAsia="zh-CN"/>
        </w:rPr>
        <w:t>TIES</w:t>
      </w:r>
      <w:r w:rsidR="00EE2158">
        <w:rPr>
          <w:rFonts w:hint="eastAsia"/>
          <w:lang w:eastAsia="zh-CN"/>
        </w:rPr>
        <w:t>联系人不负责</w:t>
      </w:r>
      <w:r w:rsidR="00EE2158" w:rsidRPr="00D34DEA">
        <w:rPr>
          <w:rFonts w:hint="eastAsia"/>
          <w:lang w:eastAsia="zh-CN"/>
        </w:rPr>
        <w:t>批准</w:t>
      </w:r>
      <w:r w:rsidR="00BE182F">
        <w:rPr>
          <w:rFonts w:hint="eastAsia"/>
          <w:lang w:eastAsia="zh-CN"/>
        </w:rPr>
        <w:t>这些</w:t>
      </w:r>
      <w:r w:rsidR="00EE2158" w:rsidRPr="00D34DEA">
        <w:rPr>
          <w:rFonts w:hint="eastAsia"/>
          <w:lang w:eastAsia="zh-CN"/>
        </w:rPr>
        <w:t>活动</w:t>
      </w:r>
      <w:r w:rsidR="002F2B59">
        <w:rPr>
          <w:rFonts w:hint="eastAsia"/>
          <w:lang w:eastAsia="zh-CN"/>
        </w:rPr>
        <w:t>的</w:t>
      </w:r>
      <w:r w:rsidR="00EE2158" w:rsidRPr="00D34DEA">
        <w:rPr>
          <w:rFonts w:hint="eastAsia"/>
          <w:lang w:eastAsia="zh-CN"/>
        </w:rPr>
        <w:t>注册</w:t>
      </w:r>
      <w:r w:rsidR="00EE2158">
        <w:rPr>
          <w:rFonts w:hint="eastAsia"/>
          <w:lang w:eastAsia="zh-CN"/>
        </w:rPr>
        <w:t>。</w:t>
      </w:r>
      <w:r w:rsidR="00EE2158" w:rsidRPr="00D34DEA">
        <w:rPr>
          <w:rFonts w:hint="eastAsia"/>
          <w:lang w:eastAsia="zh-CN"/>
        </w:rPr>
        <w:t>因此</w:t>
      </w:r>
      <w:r w:rsidR="00EE2158">
        <w:rPr>
          <w:rFonts w:hint="eastAsia"/>
          <w:lang w:eastAsia="zh-CN"/>
        </w:rPr>
        <w:t>，</w:t>
      </w:r>
      <w:r w:rsidR="00EE2158" w:rsidRPr="00FD4B48">
        <w:rPr>
          <w:lang w:eastAsia="zh-CN"/>
        </w:rPr>
        <w:t>DFP</w:t>
      </w:r>
      <w:r w:rsidR="00EE2158">
        <w:rPr>
          <w:rFonts w:hint="eastAsia"/>
          <w:lang w:eastAsia="zh-CN"/>
        </w:rPr>
        <w:t>最好</w:t>
      </w:r>
      <w:r w:rsidR="00EE2158" w:rsidRPr="00D34DEA">
        <w:rPr>
          <w:rFonts w:hint="eastAsia"/>
          <w:lang w:eastAsia="zh-CN"/>
        </w:rPr>
        <w:t>定期</w:t>
      </w:r>
      <w:r w:rsidR="00EE2158">
        <w:rPr>
          <w:rFonts w:hint="eastAsia"/>
          <w:lang w:eastAsia="zh-CN"/>
        </w:rPr>
        <w:t>审查</w:t>
      </w:r>
      <w:r w:rsidR="00BE182F">
        <w:rPr>
          <w:rFonts w:hint="eastAsia"/>
          <w:lang w:eastAsia="zh-CN"/>
        </w:rPr>
        <w:t>其</w:t>
      </w:r>
      <w:r w:rsidR="00EE2158" w:rsidRPr="00D34DEA">
        <w:rPr>
          <w:rFonts w:hint="eastAsia"/>
          <w:lang w:eastAsia="zh-CN"/>
        </w:rPr>
        <w:t>代表团</w:t>
      </w:r>
      <w:r w:rsidR="00EE2158" w:rsidRPr="00FD4B48">
        <w:rPr>
          <w:lang w:eastAsia="zh-CN"/>
        </w:rPr>
        <w:t>TIES</w:t>
      </w:r>
      <w:r w:rsidR="00EE2158" w:rsidRPr="00D34DEA">
        <w:rPr>
          <w:rFonts w:hint="eastAsia"/>
          <w:lang w:eastAsia="zh-CN"/>
        </w:rPr>
        <w:t>用户</w:t>
      </w:r>
      <w:r w:rsidR="00EE2158">
        <w:rPr>
          <w:rFonts w:hint="eastAsia"/>
          <w:lang w:eastAsia="zh-CN"/>
        </w:rPr>
        <w:t>的名单。</w:t>
      </w:r>
      <w:r w:rsidR="00D34DEA" w:rsidRPr="00D34DEA">
        <w:rPr>
          <w:rFonts w:hint="eastAsia"/>
          <w:lang w:eastAsia="zh-CN"/>
        </w:rPr>
        <w:t>成员</w:t>
      </w:r>
      <w:r w:rsidR="00D34DEA">
        <w:rPr>
          <w:rFonts w:hint="eastAsia"/>
          <w:lang w:eastAsia="zh-CN"/>
        </w:rPr>
        <w:t>（</w:t>
      </w:r>
      <w:r w:rsidR="00D34DEA" w:rsidRPr="00D34DEA">
        <w:rPr>
          <w:rFonts w:hint="eastAsia"/>
          <w:lang w:eastAsia="zh-CN"/>
        </w:rPr>
        <w:t>特别是</w:t>
      </w:r>
      <w:r w:rsidR="00D34DEA" w:rsidRPr="00FD4B48">
        <w:rPr>
          <w:lang w:eastAsia="zh-CN"/>
        </w:rPr>
        <w:t>TIES</w:t>
      </w:r>
      <w:r w:rsidR="00D34DEA">
        <w:rPr>
          <w:rFonts w:hint="eastAsia"/>
          <w:lang w:eastAsia="zh-CN"/>
        </w:rPr>
        <w:t>联系人）</w:t>
      </w:r>
      <w:r w:rsidR="00BE182F">
        <w:rPr>
          <w:rFonts w:hint="eastAsia"/>
          <w:lang w:eastAsia="zh-CN"/>
        </w:rPr>
        <w:t>还需</w:t>
      </w:r>
      <w:r w:rsidR="00D34DEA" w:rsidRPr="00D34DEA">
        <w:rPr>
          <w:rFonts w:hint="eastAsia"/>
          <w:lang w:eastAsia="zh-CN"/>
        </w:rPr>
        <w:t>定期</w:t>
      </w:r>
      <w:r w:rsidR="00EE2158">
        <w:rPr>
          <w:rFonts w:hint="eastAsia"/>
          <w:lang w:eastAsia="zh-CN"/>
        </w:rPr>
        <w:t>更新</w:t>
      </w:r>
      <w:r w:rsidR="00D34DEA" w:rsidRPr="00FD4B48">
        <w:rPr>
          <w:lang w:eastAsia="zh-CN"/>
        </w:rPr>
        <w:t>TIES</w:t>
      </w:r>
      <w:r w:rsidR="00D34DEA" w:rsidRPr="00D34DEA">
        <w:rPr>
          <w:rFonts w:hint="eastAsia"/>
          <w:lang w:eastAsia="zh-CN"/>
        </w:rPr>
        <w:t>用户</w:t>
      </w:r>
      <w:r w:rsidR="00D34DEA">
        <w:rPr>
          <w:rFonts w:hint="eastAsia"/>
          <w:lang w:eastAsia="zh-CN"/>
        </w:rPr>
        <w:t>名单，</w:t>
      </w:r>
      <w:r w:rsidR="00D34DEA" w:rsidRPr="00D34DEA">
        <w:rPr>
          <w:rFonts w:hint="eastAsia"/>
          <w:lang w:eastAsia="zh-CN"/>
        </w:rPr>
        <w:t>因为具有</w:t>
      </w:r>
      <w:r w:rsidR="00D34DEA" w:rsidRPr="00D34DEA">
        <w:rPr>
          <w:rFonts w:hint="eastAsia"/>
          <w:lang w:eastAsia="zh-CN"/>
        </w:rPr>
        <w:t>TIES</w:t>
      </w:r>
      <w:r w:rsidR="00D34DEA" w:rsidRPr="00D34DEA">
        <w:rPr>
          <w:rFonts w:hint="eastAsia"/>
          <w:lang w:eastAsia="zh-CN"/>
        </w:rPr>
        <w:t>访问权限的代表</w:t>
      </w:r>
      <w:r w:rsidR="00D34DEA">
        <w:rPr>
          <w:rFonts w:hint="eastAsia"/>
          <w:lang w:eastAsia="zh-CN"/>
        </w:rPr>
        <w:t>可</w:t>
      </w:r>
      <w:r w:rsidR="00D34DEA" w:rsidRPr="00D34DEA">
        <w:rPr>
          <w:rFonts w:hint="eastAsia"/>
          <w:lang w:eastAsia="zh-CN"/>
        </w:rPr>
        <w:t>自动注册法定会议</w:t>
      </w:r>
      <w:r w:rsidR="00D34DEA">
        <w:rPr>
          <w:rFonts w:hint="eastAsia"/>
          <w:lang w:eastAsia="zh-CN"/>
        </w:rPr>
        <w:t>。</w:t>
      </w:r>
    </w:p>
    <w:p w:rsidR="00C75DBD" w:rsidRPr="00D34DEA" w:rsidRDefault="00D34DEA" w:rsidP="0036112E">
      <w:pPr>
        <w:pStyle w:val="Headingb"/>
        <w:rPr>
          <w:rFonts w:ascii="SimSun" w:eastAsia="SimSun" w:hAnsi="SimSun"/>
        </w:rPr>
      </w:pPr>
      <w:r>
        <w:rPr>
          <w:rFonts w:ascii="SimSun" w:eastAsia="SimSun" w:hAnsi="SimSun" w:cs="Microsoft YaHei" w:hint="eastAsia"/>
          <w:lang w:eastAsia="zh-CN"/>
        </w:rPr>
        <w:t>建议的</w:t>
      </w:r>
      <w:r w:rsidR="00BE182F">
        <w:rPr>
          <w:rFonts w:ascii="SimSun" w:eastAsia="SimSun" w:hAnsi="SimSun" w:cs="Microsoft YaHei" w:hint="eastAsia"/>
          <w:lang w:eastAsia="zh-CN"/>
        </w:rPr>
        <w:t>“选择”</w:t>
      </w:r>
      <w:r>
        <w:rPr>
          <w:rFonts w:ascii="SimSun" w:eastAsia="SimSun" w:hAnsi="SimSun" w:cs="Microsoft YaHei" w:hint="eastAsia"/>
          <w:lang w:eastAsia="zh-CN"/>
        </w:rPr>
        <w:t>或</w:t>
      </w:r>
      <w:r w:rsidR="00BE182F">
        <w:rPr>
          <w:rFonts w:ascii="SimSun" w:eastAsia="SimSun" w:hAnsi="SimSun" w:cs="Microsoft YaHei" w:hint="eastAsia"/>
          <w:lang w:eastAsia="zh-CN"/>
        </w:rPr>
        <w:t>“</w:t>
      </w:r>
      <w:r>
        <w:rPr>
          <w:rFonts w:ascii="SimSun" w:eastAsia="SimSun" w:hAnsi="SimSun" w:cs="Microsoft YaHei" w:hint="eastAsia"/>
          <w:lang w:eastAsia="zh-CN"/>
        </w:rPr>
        <w:t>拒绝</w:t>
      </w:r>
      <w:r w:rsidR="00BE182F">
        <w:rPr>
          <w:rFonts w:ascii="SimSun" w:eastAsia="SimSun" w:hAnsi="SimSun" w:cs="Microsoft YaHei" w:hint="eastAsia"/>
          <w:lang w:eastAsia="zh-CN"/>
        </w:rPr>
        <w:t>”</w:t>
      </w:r>
      <w:r w:rsidR="00EE2158">
        <w:rPr>
          <w:rFonts w:ascii="SimSun" w:eastAsia="SimSun" w:hAnsi="SimSun" w:cs="Microsoft YaHei" w:hint="eastAsia"/>
          <w:lang w:eastAsia="zh-CN"/>
        </w:rPr>
        <w:t>自动批准</w:t>
      </w:r>
      <w:r w:rsidR="00BE182F">
        <w:rPr>
          <w:rFonts w:ascii="SimSun" w:eastAsia="SimSun" w:hAnsi="SimSun" w:cs="Microsoft YaHei" w:hint="eastAsia"/>
          <w:lang w:eastAsia="zh-CN"/>
        </w:rPr>
        <w:t>的</w:t>
      </w:r>
      <w:r>
        <w:rPr>
          <w:rFonts w:ascii="SimSun" w:eastAsia="SimSun" w:hAnsi="SimSun" w:cs="Microsoft YaHei" w:hint="eastAsia"/>
          <w:lang w:eastAsia="zh-CN"/>
        </w:rPr>
        <w:t>申请函（</w:t>
      </w:r>
      <w:proofErr w:type="spellStart"/>
      <w:r w:rsidRPr="00D34DEA">
        <w:rPr>
          <w:rFonts w:ascii="SimSun" w:eastAsia="SimSun" w:hAnsi="SimSun" w:cs="Microsoft YaHei" w:hint="eastAsia"/>
        </w:rPr>
        <w:t>通过电子邮件发</w:t>
      </w:r>
      <w:proofErr w:type="spellEnd"/>
      <w:r>
        <w:rPr>
          <w:rFonts w:ascii="SimSun" w:eastAsia="SimSun" w:hAnsi="SimSun" w:cs="Microsoft YaHei" w:hint="eastAsia"/>
          <w:lang w:eastAsia="zh-CN"/>
        </w:rPr>
        <w:t>至</w:t>
      </w:r>
      <w:hyperlink r:id="rId10" w:history="1">
        <w:r w:rsidRPr="00FD4B48">
          <w:rPr>
            <w:rStyle w:val="Hyperlink"/>
            <w:szCs w:val="24"/>
          </w:rPr>
          <w:t>tsbdir@itu.int</w:t>
        </w:r>
      </w:hyperlink>
      <w:r>
        <w:rPr>
          <w:rFonts w:ascii="SimSun" w:eastAsia="SimSun" w:hAnsi="SimSun" w:cs="Microsoft YaHei" w:hint="eastAsia"/>
          <w:lang w:eastAsia="zh-CN"/>
        </w:rPr>
        <w:t>）：</w:t>
      </w:r>
    </w:p>
    <w:p w:rsidR="00C75DBD" w:rsidRPr="00FD4B48" w:rsidRDefault="00C75DBD" w:rsidP="0036112E">
      <w:pPr>
        <w:spacing w:before="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5DBD" w:rsidTr="00B75D5B">
        <w:tc>
          <w:tcPr>
            <w:tcW w:w="9719" w:type="dxa"/>
          </w:tcPr>
          <w:p w:rsidR="005E74BB" w:rsidRPr="00181F0F" w:rsidRDefault="005E74BB" w:rsidP="005E74BB">
            <w:pPr>
              <w:spacing w:before="0"/>
              <w:rPr>
                <w:szCs w:val="24"/>
              </w:rPr>
            </w:pPr>
            <w:r w:rsidRPr="00181F0F">
              <w:rPr>
                <w:szCs w:val="24"/>
              </w:rPr>
              <w:t xml:space="preserve">Dear </w:t>
            </w:r>
            <w:r>
              <w:rPr>
                <w:szCs w:val="24"/>
              </w:rPr>
              <w:t>Sir/Madam</w:t>
            </w:r>
            <w:r w:rsidRPr="00181F0F">
              <w:rPr>
                <w:szCs w:val="24"/>
              </w:rPr>
              <w:t xml:space="preserve">, </w:t>
            </w:r>
          </w:p>
          <w:p w:rsidR="005E74BB" w:rsidRPr="00181F0F" w:rsidRDefault="005E74BB" w:rsidP="005E74BB">
            <w:pPr>
              <w:spacing w:before="0"/>
              <w:rPr>
                <w:szCs w:val="24"/>
              </w:rPr>
            </w:pPr>
          </w:p>
          <w:p w:rsidR="005E74BB" w:rsidRPr="00181F0F" w:rsidRDefault="005E74BB" w:rsidP="005E74BB">
            <w:pPr>
              <w:spacing w:before="0"/>
              <w:rPr>
                <w:szCs w:val="24"/>
              </w:rPr>
            </w:pPr>
            <w:r w:rsidRPr="00181F0F">
              <w:rPr>
                <w:szCs w:val="24"/>
              </w:rPr>
              <w:t xml:space="preserve">I am writing to you </w:t>
            </w:r>
            <w:r>
              <w:rPr>
                <w:szCs w:val="24"/>
              </w:rPr>
              <w:t xml:space="preserve">with respect </w:t>
            </w:r>
            <w:r w:rsidRPr="00181F0F">
              <w:rPr>
                <w:szCs w:val="24"/>
              </w:rPr>
              <w:t>to the</w:t>
            </w:r>
            <w:r>
              <w:rPr>
                <w:szCs w:val="24"/>
              </w:rPr>
              <w:t xml:space="preserve"> enabling of</w:t>
            </w:r>
            <w:r w:rsidRPr="00181F0F">
              <w:rPr>
                <w:szCs w:val="24"/>
              </w:rPr>
              <w:t xml:space="preserve"> automatic approval of registration requests for ITU-T statutory events as described in </w:t>
            </w:r>
            <w:hyperlink r:id="rId11" w:history="1">
              <w:r w:rsidRPr="00181F0F">
                <w:rPr>
                  <w:rStyle w:val="Hyperlink"/>
                  <w:szCs w:val="24"/>
                </w:rPr>
                <w:t>TSB Circular 118</w:t>
              </w:r>
            </w:hyperlink>
            <w:r w:rsidRPr="00181F0F">
              <w:rPr>
                <w:szCs w:val="24"/>
              </w:rPr>
              <w:t>.</w:t>
            </w:r>
          </w:p>
          <w:p w:rsidR="005E74BB" w:rsidRPr="00181F0F" w:rsidRDefault="005E74BB" w:rsidP="005E74BB">
            <w:pPr>
              <w:spacing w:before="0"/>
              <w:rPr>
                <w:szCs w:val="24"/>
              </w:rPr>
            </w:pPr>
          </w:p>
          <w:p w:rsidR="005E74BB" w:rsidRPr="00181F0F" w:rsidRDefault="005E74BB" w:rsidP="005E74BB">
            <w:pPr>
              <w:spacing w:before="0"/>
              <w:rPr>
                <w:szCs w:val="24"/>
              </w:rPr>
            </w:pPr>
            <w:r w:rsidRPr="00181F0F">
              <w:rPr>
                <w:szCs w:val="24"/>
              </w:rPr>
              <w:t>On behalf of [</w:t>
            </w:r>
            <w:r w:rsidRPr="00FD4B48">
              <w:rPr>
                <w:szCs w:val="24"/>
              </w:rPr>
              <w:t>member organization</w:t>
            </w:r>
            <w:r w:rsidRPr="00181F0F">
              <w:rPr>
                <w:szCs w:val="24"/>
              </w:rPr>
              <w:t xml:space="preserve">], I wish to </w:t>
            </w:r>
            <w:r w:rsidRPr="00FD4B48">
              <w:rPr>
                <w:szCs w:val="24"/>
              </w:rPr>
              <w:t>[“opt in” to or “opt out” of]</w:t>
            </w:r>
            <w:r w:rsidRPr="00181F0F">
              <w:rPr>
                <w:szCs w:val="24"/>
              </w:rPr>
              <w:t xml:space="preserve"> automatic approval of registration requests for all Active </w:t>
            </w:r>
            <w:r>
              <w:rPr>
                <w:szCs w:val="24"/>
              </w:rPr>
              <w:t>ITU</w:t>
            </w:r>
            <w:r w:rsidRPr="00181F0F">
              <w:rPr>
                <w:szCs w:val="24"/>
              </w:rPr>
              <w:t xml:space="preserve"> Account</w:t>
            </w:r>
            <w:r>
              <w:rPr>
                <w:szCs w:val="24"/>
              </w:rPr>
              <w:t>s with TIES access</w:t>
            </w:r>
            <w:r w:rsidRPr="00181F0F">
              <w:rPr>
                <w:szCs w:val="24"/>
              </w:rPr>
              <w:t xml:space="preserve"> affiliated with this organization until further notice or for the remainder of the Study Period (currently until WTSA-20).</w:t>
            </w:r>
          </w:p>
          <w:p w:rsidR="005E74BB" w:rsidRPr="00181F0F" w:rsidRDefault="005E74BB" w:rsidP="005E74BB">
            <w:pPr>
              <w:spacing w:before="0"/>
              <w:rPr>
                <w:szCs w:val="24"/>
              </w:rPr>
            </w:pPr>
          </w:p>
          <w:p w:rsidR="005E74BB" w:rsidRPr="00181F0F" w:rsidRDefault="005E74BB" w:rsidP="005E74BB">
            <w:pPr>
              <w:spacing w:before="0"/>
              <w:rPr>
                <w:szCs w:val="24"/>
              </w:rPr>
            </w:pPr>
            <w:r w:rsidRPr="00181F0F">
              <w:rPr>
                <w:szCs w:val="24"/>
              </w:rPr>
              <w:t>Yours faithfully,</w:t>
            </w:r>
          </w:p>
          <w:p w:rsidR="005E74BB" w:rsidRPr="00181F0F" w:rsidRDefault="005E74BB" w:rsidP="005E74BB">
            <w:pPr>
              <w:spacing w:before="0"/>
              <w:rPr>
                <w:szCs w:val="24"/>
              </w:rPr>
            </w:pPr>
          </w:p>
          <w:p w:rsidR="005E74BB" w:rsidRPr="00FD4B48" w:rsidRDefault="005E74BB" w:rsidP="005E74BB">
            <w:pPr>
              <w:spacing w:before="0"/>
              <w:rPr>
                <w:szCs w:val="24"/>
              </w:rPr>
            </w:pPr>
            <w:r w:rsidRPr="00181F0F">
              <w:rPr>
                <w:szCs w:val="24"/>
              </w:rPr>
              <w:t>[</w:t>
            </w:r>
            <w:r w:rsidRPr="00FD4B48">
              <w:rPr>
                <w:szCs w:val="24"/>
              </w:rPr>
              <w:t>Name]</w:t>
            </w:r>
          </w:p>
          <w:p w:rsidR="005E74BB" w:rsidRPr="00FD4B48" w:rsidRDefault="005E74BB" w:rsidP="005E74BB">
            <w:pPr>
              <w:spacing w:before="0"/>
              <w:rPr>
                <w:szCs w:val="24"/>
              </w:rPr>
            </w:pPr>
            <w:r w:rsidRPr="00FD4B48">
              <w:rPr>
                <w:szCs w:val="24"/>
              </w:rPr>
              <w:t>[Official role/title]</w:t>
            </w:r>
          </w:p>
          <w:p w:rsidR="001F731A" w:rsidRPr="001F731A" w:rsidRDefault="005E74BB" w:rsidP="005E74BB">
            <w:pPr>
              <w:spacing w:before="0"/>
              <w:rPr>
                <w:szCs w:val="24"/>
                <w:lang w:eastAsia="zh-CN"/>
              </w:rPr>
            </w:pPr>
            <w:r w:rsidRPr="00FD4B48">
              <w:rPr>
                <w:szCs w:val="24"/>
              </w:rPr>
              <w:t>[Member organization</w:t>
            </w:r>
            <w:r w:rsidRPr="00181F0F">
              <w:rPr>
                <w:szCs w:val="24"/>
              </w:rPr>
              <w:t>]</w:t>
            </w:r>
          </w:p>
        </w:tc>
      </w:tr>
    </w:tbl>
    <w:p w:rsidR="00C75DBD" w:rsidRDefault="00C75DBD" w:rsidP="0036112E">
      <w:pPr>
        <w:spacing w:before="0"/>
        <w:rPr>
          <w:lang w:eastAsia="zh-CN"/>
        </w:rPr>
      </w:pPr>
    </w:p>
    <w:p w:rsidR="001B750E" w:rsidRDefault="001B750E" w:rsidP="0032202E">
      <w:pPr>
        <w:pStyle w:val="Reasons"/>
      </w:pPr>
    </w:p>
    <w:p w:rsidR="001B750E" w:rsidRDefault="001B750E">
      <w:pPr>
        <w:jc w:val="center"/>
      </w:pPr>
      <w:r>
        <w:t>______________</w:t>
      </w:r>
    </w:p>
    <w:p w:rsidR="00C75DBD" w:rsidRPr="00FD4B48" w:rsidRDefault="00C75DBD" w:rsidP="0036112E">
      <w:pPr>
        <w:spacing w:before="0"/>
        <w:jc w:val="center"/>
      </w:pPr>
      <w:bookmarkStart w:id="3" w:name="_GoBack"/>
      <w:bookmarkEnd w:id="3"/>
    </w:p>
    <w:sectPr w:rsidR="00C75DBD" w:rsidRPr="00FD4B48" w:rsidSect="00B37BD9">
      <w:headerReference w:type="even" r:id="rId12"/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3AF" w:rsidRDefault="00F133AF">
      <w:r>
        <w:separator/>
      </w:r>
    </w:p>
  </w:endnote>
  <w:endnote w:type="continuationSeparator" w:id="0">
    <w:p w:rsidR="00F133AF" w:rsidRDefault="00F1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3AF" w:rsidRDefault="00F133AF">
      <w:r>
        <w:separator/>
      </w:r>
    </w:p>
  </w:footnote>
  <w:footnote w:type="continuationSeparator" w:id="0">
    <w:p w:rsidR="00F133AF" w:rsidRDefault="00F13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DC" w:rsidRPr="002C2EDC" w:rsidRDefault="00782283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6C" w:rsidRPr="002C2EDC" w:rsidRDefault="00782283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3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Default="0099096C" w:rsidP="00826B5B">
    <w:pPr>
      <w:spacing w:before="0"/>
      <w:jc w:val="center"/>
      <w:rPr>
        <w:rFonts w:eastAsiaTheme="minorEastAsia" w:cs="Microsoft YaHei"/>
        <w:noProof/>
        <w:sz w:val="18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C75DBD" w:rsidRPr="00C75DBD">
      <w:rPr>
        <w:rFonts w:eastAsiaTheme="minorEastAsia" w:cs="Microsoft YaHei"/>
        <w:noProof/>
        <w:sz w:val="18"/>
      </w:rPr>
      <w:t>118</w:t>
    </w:r>
    <w:r w:rsidRPr="00997B88">
      <w:rPr>
        <w:rFonts w:eastAsiaTheme="minorEastAsia" w:cs="Microsoft YaHei"/>
        <w:noProof/>
        <w:sz w:val="18"/>
      </w:rPr>
      <w:t>号通函</w:t>
    </w:r>
  </w:p>
  <w:p w:rsidR="00782283" w:rsidRDefault="00782283" w:rsidP="00826B5B">
    <w:pPr>
      <w:spacing w:before="0"/>
      <w:jc w:val="center"/>
      <w:rPr>
        <w:rFonts w:eastAsiaTheme="minorEastAsia" w:cs="Microsoft YaHei"/>
        <w:noProof/>
        <w:sz w:val="18"/>
      </w:rPr>
    </w:pPr>
  </w:p>
  <w:p w:rsidR="00782283" w:rsidRPr="00997B88" w:rsidRDefault="00782283" w:rsidP="00826B5B">
    <w:pPr>
      <w:spacing w:before="0"/>
      <w:jc w:val="center"/>
      <w:rPr>
        <w:rFonts w:eastAsiaTheme="minorEastAsi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7004"/>
    <w:rsid w:val="00024D31"/>
    <w:rsid w:val="00027EE3"/>
    <w:rsid w:val="00041121"/>
    <w:rsid w:val="00053301"/>
    <w:rsid w:val="00057CFB"/>
    <w:rsid w:val="00061B9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551B"/>
    <w:rsid w:val="000A6A3A"/>
    <w:rsid w:val="000B5B42"/>
    <w:rsid w:val="000C07B5"/>
    <w:rsid w:val="000C12B1"/>
    <w:rsid w:val="000C4F7A"/>
    <w:rsid w:val="000D1DA5"/>
    <w:rsid w:val="000D205A"/>
    <w:rsid w:val="000D22C5"/>
    <w:rsid w:val="000E5C1F"/>
    <w:rsid w:val="000F67FA"/>
    <w:rsid w:val="000F7CEA"/>
    <w:rsid w:val="00107C89"/>
    <w:rsid w:val="00113BC0"/>
    <w:rsid w:val="001154A8"/>
    <w:rsid w:val="00117471"/>
    <w:rsid w:val="0012280C"/>
    <w:rsid w:val="001314B5"/>
    <w:rsid w:val="001421CF"/>
    <w:rsid w:val="001448EC"/>
    <w:rsid w:val="00160A43"/>
    <w:rsid w:val="00163AA5"/>
    <w:rsid w:val="001815CA"/>
    <w:rsid w:val="00185441"/>
    <w:rsid w:val="00186E9B"/>
    <w:rsid w:val="001A2B93"/>
    <w:rsid w:val="001A641B"/>
    <w:rsid w:val="001B0375"/>
    <w:rsid w:val="001B7130"/>
    <w:rsid w:val="001B750E"/>
    <w:rsid w:val="001B7C08"/>
    <w:rsid w:val="001C4D23"/>
    <w:rsid w:val="001C5996"/>
    <w:rsid w:val="001D6E70"/>
    <w:rsid w:val="001D737E"/>
    <w:rsid w:val="001E6C28"/>
    <w:rsid w:val="001F731A"/>
    <w:rsid w:val="00204823"/>
    <w:rsid w:val="00210C1D"/>
    <w:rsid w:val="002217BC"/>
    <w:rsid w:val="00223861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C4B66"/>
    <w:rsid w:val="002C506A"/>
    <w:rsid w:val="002D3D14"/>
    <w:rsid w:val="002E05E3"/>
    <w:rsid w:val="002E42A1"/>
    <w:rsid w:val="002E6F22"/>
    <w:rsid w:val="002F2B59"/>
    <w:rsid w:val="003036BC"/>
    <w:rsid w:val="00303A2A"/>
    <w:rsid w:val="003062D0"/>
    <w:rsid w:val="003064AD"/>
    <w:rsid w:val="00313752"/>
    <w:rsid w:val="00313DAE"/>
    <w:rsid w:val="0032142E"/>
    <w:rsid w:val="00333A9E"/>
    <w:rsid w:val="00334A24"/>
    <w:rsid w:val="00343E77"/>
    <w:rsid w:val="003546D7"/>
    <w:rsid w:val="0035674D"/>
    <w:rsid w:val="0036112E"/>
    <w:rsid w:val="00372530"/>
    <w:rsid w:val="0038372D"/>
    <w:rsid w:val="003860AE"/>
    <w:rsid w:val="003A4FDB"/>
    <w:rsid w:val="003B0056"/>
    <w:rsid w:val="003B125A"/>
    <w:rsid w:val="003B2CB1"/>
    <w:rsid w:val="003B3FAC"/>
    <w:rsid w:val="003B62B4"/>
    <w:rsid w:val="003D39BC"/>
    <w:rsid w:val="003D74CE"/>
    <w:rsid w:val="003E52C9"/>
    <w:rsid w:val="003F1CCA"/>
    <w:rsid w:val="003F27BD"/>
    <w:rsid w:val="00406625"/>
    <w:rsid w:val="00413C88"/>
    <w:rsid w:val="004203B0"/>
    <w:rsid w:val="00422060"/>
    <w:rsid w:val="00422E08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C1BCC"/>
    <w:rsid w:val="004D1ACD"/>
    <w:rsid w:val="004F0EAF"/>
    <w:rsid w:val="004F5BA9"/>
    <w:rsid w:val="004F72BB"/>
    <w:rsid w:val="00533EE6"/>
    <w:rsid w:val="00535C4E"/>
    <w:rsid w:val="005476D3"/>
    <w:rsid w:val="0055099D"/>
    <w:rsid w:val="00556001"/>
    <w:rsid w:val="00561B75"/>
    <w:rsid w:val="00565B9F"/>
    <w:rsid w:val="00567360"/>
    <w:rsid w:val="0057420A"/>
    <w:rsid w:val="005803D9"/>
    <w:rsid w:val="00590119"/>
    <w:rsid w:val="0059471D"/>
    <w:rsid w:val="00594CFE"/>
    <w:rsid w:val="00597BE4"/>
    <w:rsid w:val="005B0E7C"/>
    <w:rsid w:val="005B44B0"/>
    <w:rsid w:val="005C04FD"/>
    <w:rsid w:val="005C26FD"/>
    <w:rsid w:val="005C7FDF"/>
    <w:rsid w:val="005D2D7B"/>
    <w:rsid w:val="005D5A45"/>
    <w:rsid w:val="005E74BB"/>
    <w:rsid w:val="005F0821"/>
    <w:rsid w:val="005F48A4"/>
    <w:rsid w:val="006024E6"/>
    <w:rsid w:val="00610326"/>
    <w:rsid w:val="00621618"/>
    <w:rsid w:val="00626613"/>
    <w:rsid w:val="00627AE8"/>
    <w:rsid w:val="0063445E"/>
    <w:rsid w:val="0064758E"/>
    <w:rsid w:val="006652D4"/>
    <w:rsid w:val="006677B7"/>
    <w:rsid w:val="00682EF6"/>
    <w:rsid w:val="0068734E"/>
    <w:rsid w:val="006945DD"/>
    <w:rsid w:val="00695567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51490"/>
    <w:rsid w:val="00752C9E"/>
    <w:rsid w:val="007568DA"/>
    <w:rsid w:val="007742E1"/>
    <w:rsid w:val="00782283"/>
    <w:rsid w:val="00790867"/>
    <w:rsid w:val="0079350C"/>
    <w:rsid w:val="007959A4"/>
    <w:rsid w:val="00796E70"/>
    <w:rsid w:val="007A1E12"/>
    <w:rsid w:val="007A1EF6"/>
    <w:rsid w:val="007A4CF9"/>
    <w:rsid w:val="007C2AB0"/>
    <w:rsid w:val="007E2DA1"/>
    <w:rsid w:val="007E6AE2"/>
    <w:rsid w:val="007E6EE4"/>
    <w:rsid w:val="00817C99"/>
    <w:rsid w:val="00825A1B"/>
    <w:rsid w:val="00826B5B"/>
    <w:rsid w:val="00833A21"/>
    <w:rsid w:val="00834349"/>
    <w:rsid w:val="008375AF"/>
    <w:rsid w:val="00841612"/>
    <w:rsid w:val="0084436D"/>
    <w:rsid w:val="0085525D"/>
    <w:rsid w:val="00865B8E"/>
    <w:rsid w:val="0087102F"/>
    <w:rsid w:val="00875758"/>
    <w:rsid w:val="0087618D"/>
    <w:rsid w:val="0087678D"/>
    <w:rsid w:val="008801D7"/>
    <w:rsid w:val="008906A0"/>
    <w:rsid w:val="008A502D"/>
    <w:rsid w:val="008A6258"/>
    <w:rsid w:val="008B2BDA"/>
    <w:rsid w:val="008B676A"/>
    <w:rsid w:val="008E7931"/>
    <w:rsid w:val="008F066A"/>
    <w:rsid w:val="008F06DB"/>
    <w:rsid w:val="008F3374"/>
    <w:rsid w:val="009052BD"/>
    <w:rsid w:val="009128F1"/>
    <w:rsid w:val="00916EFE"/>
    <w:rsid w:val="009424FC"/>
    <w:rsid w:val="00943D67"/>
    <w:rsid w:val="00955904"/>
    <w:rsid w:val="00956D38"/>
    <w:rsid w:val="00960659"/>
    <w:rsid w:val="00963113"/>
    <w:rsid w:val="009727EA"/>
    <w:rsid w:val="00974486"/>
    <w:rsid w:val="0099096C"/>
    <w:rsid w:val="00997B88"/>
    <w:rsid w:val="009B1D2B"/>
    <w:rsid w:val="009B3065"/>
    <w:rsid w:val="009B43F5"/>
    <w:rsid w:val="009C001F"/>
    <w:rsid w:val="009C2792"/>
    <w:rsid w:val="009C2FF6"/>
    <w:rsid w:val="009C6159"/>
    <w:rsid w:val="009C664E"/>
    <w:rsid w:val="009D173C"/>
    <w:rsid w:val="009E2379"/>
    <w:rsid w:val="009E7857"/>
    <w:rsid w:val="009F6486"/>
    <w:rsid w:val="009F74E9"/>
    <w:rsid w:val="00A02958"/>
    <w:rsid w:val="00A07212"/>
    <w:rsid w:val="00A1090D"/>
    <w:rsid w:val="00A16AB0"/>
    <w:rsid w:val="00A1745B"/>
    <w:rsid w:val="00A20931"/>
    <w:rsid w:val="00A23834"/>
    <w:rsid w:val="00A372A1"/>
    <w:rsid w:val="00A465E1"/>
    <w:rsid w:val="00A504DB"/>
    <w:rsid w:val="00A55D76"/>
    <w:rsid w:val="00A576E2"/>
    <w:rsid w:val="00A773E7"/>
    <w:rsid w:val="00A81FCE"/>
    <w:rsid w:val="00A821E4"/>
    <w:rsid w:val="00A827A2"/>
    <w:rsid w:val="00A82933"/>
    <w:rsid w:val="00A85FAD"/>
    <w:rsid w:val="00A903D4"/>
    <w:rsid w:val="00A93999"/>
    <w:rsid w:val="00AA35BE"/>
    <w:rsid w:val="00AA4BD8"/>
    <w:rsid w:val="00AC4418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03378"/>
    <w:rsid w:val="00B046BC"/>
    <w:rsid w:val="00B1445A"/>
    <w:rsid w:val="00B235FA"/>
    <w:rsid w:val="00B31069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A5C3D"/>
    <w:rsid w:val="00BB334C"/>
    <w:rsid w:val="00BB4840"/>
    <w:rsid w:val="00BB5392"/>
    <w:rsid w:val="00BC0103"/>
    <w:rsid w:val="00BC4B2B"/>
    <w:rsid w:val="00BC5271"/>
    <w:rsid w:val="00BC7AEE"/>
    <w:rsid w:val="00BD100F"/>
    <w:rsid w:val="00BD56AF"/>
    <w:rsid w:val="00BE182F"/>
    <w:rsid w:val="00BE339D"/>
    <w:rsid w:val="00BE49E3"/>
    <w:rsid w:val="00BE6BF5"/>
    <w:rsid w:val="00BF7334"/>
    <w:rsid w:val="00BF783B"/>
    <w:rsid w:val="00C03E87"/>
    <w:rsid w:val="00C04472"/>
    <w:rsid w:val="00C22100"/>
    <w:rsid w:val="00C25508"/>
    <w:rsid w:val="00C4772D"/>
    <w:rsid w:val="00C55DE8"/>
    <w:rsid w:val="00C6016A"/>
    <w:rsid w:val="00C7008A"/>
    <w:rsid w:val="00C732FF"/>
    <w:rsid w:val="00C75DBD"/>
    <w:rsid w:val="00C83817"/>
    <w:rsid w:val="00C916ED"/>
    <w:rsid w:val="00CB091E"/>
    <w:rsid w:val="00CC108C"/>
    <w:rsid w:val="00CC6BEC"/>
    <w:rsid w:val="00CD40D6"/>
    <w:rsid w:val="00CD7A4A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31AE5"/>
    <w:rsid w:val="00D34DEA"/>
    <w:rsid w:val="00D34F86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C0B86"/>
    <w:rsid w:val="00DC1F2E"/>
    <w:rsid w:val="00DC46EC"/>
    <w:rsid w:val="00DD52D5"/>
    <w:rsid w:val="00DF021B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E2158"/>
    <w:rsid w:val="00EF083A"/>
    <w:rsid w:val="00F034E6"/>
    <w:rsid w:val="00F06F6A"/>
    <w:rsid w:val="00F07A3C"/>
    <w:rsid w:val="00F118B4"/>
    <w:rsid w:val="00F133AF"/>
    <w:rsid w:val="00F1605C"/>
    <w:rsid w:val="00F2245E"/>
    <w:rsid w:val="00F25B02"/>
    <w:rsid w:val="00F304AF"/>
    <w:rsid w:val="00F315BB"/>
    <w:rsid w:val="00F346AB"/>
    <w:rsid w:val="00F444AC"/>
    <w:rsid w:val="00F51310"/>
    <w:rsid w:val="00F669B8"/>
    <w:rsid w:val="00F71DCD"/>
    <w:rsid w:val="00F75381"/>
    <w:rsid w:val="00F876D6"/>
    <w:rsid w:val="00F87FF0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A73FBCE9-D4A6-4ED2-8F8F-7D40F09E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1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dir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1B62-DDD0-4D63-B4D0-FCADE196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55</TotalTime>
  <Pages>3</Pages>
  <Words>1425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2319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Osvath, Alexandra</cp:lastModifiedBy>
  <cp:revision>21</cp:revision>
  <cp:lastPrinted>2018-10-12T10:10:00Z</cp:lastPrinted>
  <dcterms:created xsi:type="dcterms:W3CDTF">2018-10-10T08:08:00Z</dcterms:created>
  <dcterms:modified xsi:type="dcterms:W3CDTF">2018-10-12T10:11:00Z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