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eastAsia="zh-CN"/>
              </w:rPr>
              <w:drawing>
                <wp:inline distT="0" distB="0" distL="0" distR="0" wp14:anchorId="548E6A60" wp14:editId="7693B55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AE4CB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AE4CBB">
              <w:rPr>
                <w:rFonts w:eastAsiaTheme="minorEastAsia"/>
                <w:lang w:eastAsia="zh-CN"/>
              </w:rPr>
              <w:t>11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AE4CBB">
              <w:rPr>
                <w:rFonts w:eastAsiaTheme="minorEastAsia" w:hint="cs"/>
                <w:rtl/>
                <w:lang w:eastAsia="zh-CN" w:bidi="ar-EG"/>
              </w:rPr>
              <w:t>مارس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E4CBB" w:rsidRPr="00AE4CBB" w:rsidRDefault="00A15845" w:rsidP="007B5E3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7B5E3A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="00AE4CBB">
              <w:rPr>
                <w:rFonts w:eastAsiaTheme="minorEastAsia"/>
                <w:b/>
                <w:position w:val="2"/>
                <w:lang w:eastAsia="zh-CN" w:bidi="ar-SY"/>
              </w:rPr>
              <w:t>153</w:t>
            </w:r>
            <w:r w:rsidR="009B7A99">
              <w:rPr>
                <w:rFonts w:eastAsiaTheme="minorEastAsia"/>
                <w:b/>
                <w:position w:val="2"/>
                <w:rtl/>
                <w:lang w:eastAsia="zh-CN" w:bidi="ar-EG"/>
              </w:rPr>
              <w:br/>
            </w:r>
            <w:r w:rsidR="00AE4CBB" w:rsidRPr="00AE4CBB">
              <w:rPr>
                <w:rFonts w:eastAsiaTheme="minorEastAsia"/>
                <w:bCs/>
                <w:position w:val="2"/>
                <w:lang w:eastAsia="zh-CN" w:bidi="ar-SY"/>
              </w:rPr>
              <w:t>SG2/JZ</w:t>
            </w:r>
          </w:p>
        </w:tc>
        <w:tc>
          <w:tcPr>
            <w:tcW w:w="2470" w:type="pct"/>
            <w:vMerge w:val="restart"/>
          </w:tcPr>
          <w:p w:rsidR="00A15845" w:rsidRPr="00AE4CBB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AE4CBB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:rsidR="00425492" w:rsidRPr="00AE4CBB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AE4CBB">
              <w:rPr>
                <w:rFonts w:hint="cs"/>
                <w:position w:val="2"/>
                <w:rtl/>
              </w:rPr>
              <w:t>-</w:t>
            </w:r>
            <w:r w:rsidRPr="00AE4CBB">
              <w:rPr>
                <w:position w:val="2"/>
                <w:rtl/>
              </w:rPr>
              <w:tab/>
            </w:r>
            <w:r w:rsidRPr="00AE4CBB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AE4CBB">
              <w:rPr>
                <w:rFonts w:hint="cs"/>
                <w:position w:val="2"/>
                <w:rtl/>
                <w:lang w:bidi="ar-EG"/>
              </w:rPr>
              <w:t>؛</w:t>
            </w:r>
          </w:p>
          <w:p w:rsidR="00425492" w:rsidRPr="00AE4CBB" w:rsidRDefault="00425492" w:rsidP="00425492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lang w:bidi="ar-EG"/>
              </w:rPr>
            </w:pPr>
            <w:r w:rsidRPr="00AE4CBB">
              <w:rPr>
                <w:rFonts w:hint="cs"/>
                <w:position w:val="2"/>
                <w:rtl/>
              </w:rPr>
              <w:t>-</w:t>
            </w:r>
            <w:r w:rsidRPr="00AE4CBB">
              <w:rPr>
                <w:position w:val="2"/>
                <w:rtl/>
              </w:rPr>
              <w:tab/>
            </w:r>
            <w:r w:rsidRPr="00AE4CBB">
              <w:rPr>
                <w:rFonts w:hint="cs"/>
                <w:position w:val="2"/>
                <w:rtl/>
                <w:lang w:bidi="ar-EG"/>
              </w:rPr>
              <w:t>أعضاء قطاع تقييس الاتصالات؛</w:t>
            </w:r>
          </w:p>
          <w:p w:rsidR="00425492" w:rsidRPr="00AE4CBB" w:rsidRDefault="00425492" w:rsidP="008D7AD5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lang w:bidi="ar-EG"/>
              </w:rPr>
            </w:pPr>
            <w:r w:rsidRPr="00AE4CBB">
              <w:rPr>
                <w:rFonts w:hint="cs"/>
                <w:position w:val="2"/>
                <w:rtl/>
              </w:rPr>
              <w:t>-</w:t>
            </w:r>
            <w:r w:rsidRPr="00AE4CBB">
              <w:rPr>
                <w:position w:val="2"/>
                <w:rtl/>
              </w:rPr>
              <w:tab/>
            </w:r>
            <w:r w:rsidR="00AE4CBB" w:rsidRPr="00AE4CBB">
              <w:rPr>
                <w:color w:val="000000"/>
                <w:rtl/>
              </w:rPr>
              <w:t>المنتسبين إلى قطاع تقييس الاتصالات المشاركين في</w:t>
            </w:r>
            <w:r w:rsidR="00AE4CBB" w:rsidRPr="00AE4CBB">
              <w:rPr>
                <w:rFonts w:hint="cs"/>
                <w:color w:val="000000"/>
                <w:rtl/>
              </w:rPr>
              <w:t> </w:t>
            </w:r>
            <w:r w:rsidR="00AE4CBB" w:rsidRPr="00AE4CBB">
              <w:rPr>
                <w:color w:val="000000"/>
                <w:rtl/>
              </w:rPr>
              <w:t>أعمال لجنة الدراسات</w:t>
            </w:r>
            <w:r w:rsidR="008D7AD5">
              <w:rPr>
                <w:rFonts w:hint="cs"/>
                <w:color w:val="000000"/>
                <w:rtl/>
              </w:rPr>
              <w:t> </w:t>
            </w:r>
            <w:r w:rsidR="00AE4CBB" w:rsidRPr="00AE4CBB">
              <w:rPr>
                <w:color w:val="000000"/>
              </w:rPr>
              <w:t>2</w:t>
            </w:r>
            <w:r w:rsidR="00AE4CBB" w:rsidRPr="00AE4CBB">
              <w:rPr>
                <w:color w:val="000000"/>
                <w:rtl/>
              </w:rPr>
              <w:t>؛</w:t>
            </w:r>
          </w:p>
          <w:p w:rsidR="00425492" w:rsidRPr="00AE4CBB" w:rsidRDefault="00425492" w:rsidP="00CE7A12">
            <w:pPr>
              <w:tabs>
                <w:tab w:val="clear" w:pos="794"/>
                <w:tab w:val="left" w:pos="284"/>
                <w:tab w:val="left" w:pos="4111"/>
              </w:tabs>
              <w:spacing w:before="20" w:after="120" w:line="340" w:lineRule="exact"/>
              <w:ind w:left="284" w:hanging="284"/>
              <w:rPr>
                <w:position w:val="2"/>
                <w:lang w:bidi="ar-EG"/>
              </w:rPr>
            </w:pPr>
            <w:r w:rsidRPr="00AE4CBB">
              <w:rPr>
                <w:rFonts w:hint="cs"/>
                <w:position w:val="2"/>
                <w:rtl/>
              </w:rPr>
              <w:t>-</w:t>
            </w:r>
            <w:r w:rsidRPr="00AE4CBB">
              <w:rPr>
                <w:position w:val="2"/>
                <w:rtl/>
              </w:rPr>
              <w:tab/>
            </w:r>
            <w:r w:rsidRPr="00AE4CBB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AE4CBB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513E16" w:rsidRDefault="00425492" w:rsidP="00AE4CB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AE4CBB">
              <w:rPr>
                <w:rFonts w:eastAsiaTheme="minorEastAsia"/>
                <w:position w:val="2"/>
                <w:lang w:eastAsia="zh-CN" w:bidi="ar-SY"/>
              </w:rPr>
              <w:t>5855</w:t>
            </w:r>
          </w:p>
        </w:tc>
        <w:tc>
          <w:tcPr>
            <w:tcW w:w="2470" w:type="pct"/>
            <w:vMerge/>
          </w:tcPr>
          <w:p w:rsidR="00A15845" w:rsidRPr="00513E16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513E16" w:rsidRDefault="00425492" w:rsidP="00AE4CB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AE4CBB"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:rsidR="00A15845" w:rsidRPr="00513E16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513E16" w:rsidRDefault="009C69A6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r w:rsidR="00AE4CBB" w:rsidRPr="00B85114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2470" w:type="pct"/>
          </w:tcPr>
          <w:p w:rsidR="00425492" w:rsidRPr="00513E16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:rsidR="00425492" w:rsidRPr="00AE4CBB" w:rsidRDefault="00425492" w:rsidP="00AE4CBB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AE4CBB">
              <w:rPr>
                <w:rFonts w:hint="cs"/>
                <w:position w:val="2"/>
                <w:rtl/>
              </w:rPr>
              <w:t>-</w:t>
            </w:r>
            <w:r w:rsidRPr="00AE4CBB">
              <w:rPr>
                <w:position w:val="2"/>
                <w:rtl/>
              </w:rPr>
              <w:tab/>
            </w:r>
            <w:r w:rsidRPr="00AE4CBB">
              <w:rPr>
                <w:rFonts w:hint="cs"/>
                <w:position w:val="2"/>
                <w:rtl/>
              </w:rPr>
              <w:t xml:space="preserve">رئيس لجنة الدراسات </w:t>
            </w:r>
            <w:r w:rsidR="00AE4CBB" w:rsidRPr="00AE4CBB">
              <w:rPr>
                <w:position w:val="2"/>
              </w:rPr>
              <w:t>2</w:t>
            </w:r>
            <w:r w:rsidRPr="00AE4CBB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513E16" w:rsidRPr="00AE4CBB">
              <w:rPr>
                <w:rFonts w:hint="cs"/>
                <w:position w:val="2"/>
                <w:rtl/>
                <w:lang w:bidi="ar-EG"/>
              </w:rPr>
              <w:t>ل</w:t>
            </w:r>
            <w:r w:rsidRPr="00AE4CBB">
              <w:rPr>
                <w:rFonts w:hint="cs"/>
                <w:position w:val="2"/>
                <w:rtl/>
                <w:lang w:bidi="ar-EG"/>
              </w:rPr>
              <w:t>قطاع تقييس الاتصالات ونوابه</w:t>
            </w:r>
            <w:r w:rsidRPr="00AE4CBB">
              <w:rPr>
                <w:rFonts w:hint="cs"/>
                <w:position w:val="2"/>
                <w:rtl/>
              </w:rPr>
              <w:t>؛</w:t>
            </w:r>
          </w:p>
          <w:p w:rsidR="00425492" w:rsidRPr="00AE4CBB" w:rsidRDefault="00425492" w:rsidP="0042549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AE4CBB">
              <w:rPr>
                <w:rFonts w:hint="cs"/>
                <w:position w:val="2"/>
                <w:rtl/>
              </w:rPr>
              <w:t>-</w:t>
            </w:r>
            <w:r w:rsidRPr="00AE4CBB">
              <w:rPr>
                <w:position w:val="2"/>
                <w:rtl/>
              </w:rPr>
              <w:tab/>
              <w:t>مدير</w:t>
            </w:r>
            <w:r w:rsidR="00785BEF" w:rsidRPr="00AE4CBB">
              <w:rPr>
                <w:rFonts w:hint="cs"/>
                <w:position w:val="2"/>
                <w:rtl/>
              </w:rPr>
              <w:t>ة</w:t>
            </w:r>
            <w:r w:rsidRPr="00AE4CBB">
              <w:rPr>
                <w:position w:val="2"/>
                <w:rtl/>
              </w:rPr>
              <w:t xml:space="preserve"> مكتب تنمية الاتصالات</w:t>
            </w:r>
            <w:r w:rsidRPr="00AE4CBB">
              <w:rPr>
                <w:rFonts w:hint="cs"/>
                <w:position w:val="2"/>
                <w:rtl/>
              </w:rPr>
              <w:t>؛</w:t>
            </w:r>
          </w:p>
          <w:p w:rsidR="00A15845" w:rsidRPr="00513E16" w:rsidRDefault="00425492" w:rsidP="00921769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AE4CBB">
              <w:rPr>
                <w:rFonts w:hint="cs"/>
                <w:position w:val="2"/>
                <w:rtl/>
              </w:rPr>
              <w:t>-</w:t>
            </w:r>
            <w:r w:rsidRPr="00AE4CBB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21029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9B7A99" w:rsidRDefault="009B7A99" w:rsidP="0021029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ind w:left="57" w:right="57"/>
              <w:rPr>
                <w:rFonts w:eastAsiaTheme="minorEastAsia"/>
                <w:b/>
                <w:bCs/>
                <w:spacing w:val="4"/>
                <w:rtl/>
                <w:lang w:eastAsia="zh-CN" w:bidi="ar-EG"/>
              </w:rPr>
            </w:pPr>
            <w:r w:rsidRPr="009B7A99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>حالة كل من التعديل 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/>
              </w:rPr>
              <w:t>1</w:t>
            </w:r>
            <w:r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للتوصية 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t>ITU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noBreakHyphen/>
              <w:t>T E.118</w:t>
            </w:r>
            <w:r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t>(2006)</w:t>
            </w:r>
            <w:r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، ومراجَعة التوصية</w:t>
            </w:r>
            <w:r>
              <w:rPr>
                <w:rFonts w:eastAsiaTheme="minorEastAsia" w:hint="eastAsia"/>
                <w:b/>
                <w:bCs/>
                <w:spacing w:val="4"/>
                <w:rtl/>
                <w:lang w:eastAsia="zh-CN" w:bidi="ar-EG"/>
              </w:rPr>
              <w:t> 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t>ITU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noBreakHyphen/>
              <w:t>T E.169.1</w:t>
            </w:r>
            <w:r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، ومراجَعة التوصية 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t>ITU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noBreakHyphen/>
              <w:t>T E.217</w:t>
            </w:r>
            <w:r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، بعد اجتماع لجنة الدراسات </w:t>
            </w:r>
            <w:r w:rsidRPr="009B7A99">
              <w:rPr>
                <w:rFonts w:eastAsiaTheme="minorEastAsia"/>
                <w:b/>
                <w:bCs/>
                <w:spacing w:val="4"/>
                <w:lang w:val="en-GB" w:eastAsia="zh-CN" w:bidi="ar-EG"/>
              </w:rPr>
              <w:t>2</w:t>
            </w:r>
            <w:r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لقطاع تقييس الاتصالات</w:t>
            </w:r>
            <w:r w:rsidR="00AE4CBB" w:rsidRPr="009B7A99">
              <w:rPr>
                <w:rFonts w:eastAsiaTheme="minorEastAsia" w:hint="cs"/>
                <w:b/>
                <w:bCs/>
                <w:spacing w:val="4"/>
                <w:rtl/>
                <w:lang w:eastAsia="zh-CN"/>
              </w:rPr>
              <w:t xml:space="preserve"> </w:t>
            </w:r>
            <w:r w:rsidR="00AE4CBB"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(جنيف،</w:t>
            </w:r>
            <w:r>
              <w:rPr>
                <w:rFonts w:eastAsiaTheme="minorEastAsia" w:hint="eastAsia"/>
                <w:b/>
                <w:bCs/>
                <w:spacing w:val="4"/>
                <w:rtl/>
                <w:lang w:eastAsia="zh-CN" w:bidi="ar-EG"/>
              </w:rPr>
              <w:t> </w:t>
            </w:r>
            <w:r w:rsidR="00AE4CBB" w:rsidRPr="009B7A99">
              <w:rPr>
                <w:rFonts w:eastAsiaTheme="minorEastAsia"/>
                <w:b/>
                <w:bCs/>
                <w:spacing w:val="4"/>
                <w:lang w:eastAsia="zh-CN" w:bidi="ar-EG"/>
              </w:rPr>
              <w:t>28</w:t>
            </w:r>
            <w:r w:rsidR="00BA6CAF">
              <w:rPr>
                <w:rFonts w:eastAsiaTheme="minorEastAsia"/>
                <w:b/>
                <w:bCs/>
                <w:spacing w:val="4"/>
                <w:lang w:eastAsia="zh-CN" w:bidi="ar-EG"/>
              </w:rPr>
              <w:noBreakHyphen/>
            </w:r>
            <w:r w:rsidR="00AE4CBB" w:rsidRPr="009B7A99">
              <w:rPr>
                <w:rFonts w:eastAsiaTheme="minorEastAsia"/>
                <w:b/>
                <w:bCs/>
                <w:spacing w:val="4"/>
                <w:lang w:eastAsia="zh-CN" w:bidi="ar-EG"/>
              </w:rPr>
              <w:t>19</w:t>
            </w:r>
            <w:r w:rsidR="00AE4CBB"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 xml:space="preserve"> فبراير </w:t>
            </w:r>
            <w:r w:rsidR="00AE4CBB" w:rsidRPr="009B7A99">
              <w:rPr>
                <w:rFonts w:eastAsiaTheme="minorEastAsia"/>
                <w:b/>
                <w:bCs/>
                <w:spacing w:val="4"/>
                <w:lang w:eastAsia="zh-CN" w:bidi="ar-EG"/>
              </w:rPr>
              <w:t>2019</w:t>
            </w:r>
            <w:r w:rsidR="00AE4CBB" w:rsidRPr="009B7A99">
              <w:rPr>
                <w:rFonts w:eastAsiaTheme="minorEastAsia" w:hint="cs"/>
                <w:b/>
                <w:bCs/>
                <w:spacing w:val="4"/>
                <w:rtl/>
                <w:lang w:eastAsia="zh-CN" w:bidi="ar-EG"/>
              </w:rPr>
              <w:t>)</w:t>
            </w:r>
          </w:p>
        </w:tc>
      </w:tr>
    </w:tbl>
    <w:p w:rsidR="00A15845" w:rsidRPr="00A15845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AE4CBB" w:rsidRPr="009C51D4" w:rsidRDefault="00AE4CBB" w:rsidP="0070202A">
      <w:pPr>
        <w:spacing w:after="120"/>
        <w:rPr>
          <w:rFonts w:eastAsiaTheme="minorEastAsia"/>
          <w:spacing w:val="2"/>
          <w:lang w:eastAsia="zh-CN" w:bidi="ar-EG"/>
        </w:rPr>
      </w:pPr>
      <w:r w:rsidRPr="009C51D4">
        <w:rPr>
          <w:rFonts w:eastAsiaTheme="minorEastAsia"/>
          <w:spacing w:val="2"/>
          <w:lang w:eastAsia="zh-CN" w:bidi="ar-SY"/>
        </w:rPr>
        <w:t>1</w:t>
      </w:r>
      <w:r w:rsidRPr="009C51D4">
        <w:rPr>
          <w:rFonts w:eastAsiaTheme="minorEastAsia" w:hint="cs"/>
          <w:spacing w:val="2"/>
          <w:rtl/>
          <w:lang w:eastAsia="zh-CN" w:bidi="ar-EG"/>
        </w:rPr>
        <w:tab/>
      </w:r>
      <w:hyperlink r:id="rId12" w:history="1">
        <w:r w:rsidRPr="009C51D4">
          <w:rPr>
            <w:rFonts w:eastAsiaTheme="minorEastAsia" w:hint="cs"/>
            <w:spacing w:val="2"/>
            <w:rtl/>
          </w:rPr>
          <w:t xml:space="preserve">إلحاقاً </w:t>
        </w:r>
        <w:r w:rsidRPr="009C51D4">
          <w:rPr>
            <w:rStyle w:val="Hyperlink"/>
            <w:rFonts w:eastAsiaTheme="minorEastAsia" w:hint="cs"/>
            <w:spacing w:val="2"/>
            <w:rtl/>
            <w:lang w:eastAsia="zh-CN" w:bidi="ar-SY"/>
          </w:rPr>
          <w:t>بالرسالة المعممة</w:t>
        </w:r>
        <w:r w:rsidRPr="009C51D4">
          <w:rPr>
            <w:rStyle w:val="Hyperlink"/>
            <w:rFonts w:eastAsiaTheme="minorEastAsia" w:hint="cs"/>
            <w:spacing w:val="2"/>
            <w:rtl/>
            <w:lang w:eastAsia="zh-CN" w:bidi="ar-EG"/>
          </w:rPr>
          <w:t xml:space="preserve"> </w:t>
        </w:r>
        <w:r w:rsidRPr="009C51D4">
          <w:rPr>
            <w:rStyle w:val="Hyperlink"/>
            <w:rFonts w:eastAsiaTheme="minorEastAsia"/>
            <w:spacing w:val="2"/>
            <w:lang w:eastAsia="zh-CN" w:bidi="ar-SY"/>
          </w:rPr>
          <w:t>115</w:t>
        </w:r>
        <w:r w:rsidRPr="009C51D4">
          <w:rPr>
            <w:rStyle w:val="Hyperlink"/>
            <w:rFonts w:eastAsiaTheme="minorEastAsia" w:hint="cs"/>
            <w:spacing w:val="2"/>
            <w:rtl/>
            <w:lang w:eastAsia="zh-CN"/>
          </w:rPr>
          <w:t xml:space="preserve"> لمكتب تقييس الاتصالات</w:t>
        </w:r>
        <w:r w:rsidRPr="009C51D4">
          <w:rPr>
            <w:rFonts w:eastAsiaTheme="minorEastAsia" w:hint="cs"/>
            <w:spacing w:val="2"/>
            <w:rtl/>
          </w:rPr>
          <w:t xml:space="preserve"> المؤرخة </w:t>
        </w:r>
        <w:r w:rsidRPr="009C51D4">
          <w:rPr>
            <w:rFonts w:eastAsiaTheme="minorEastAsia"/>
            <w:spacing w:val="2"/>
          </w:rPr>
          <w:t>21</w:t>
        </w:r>
        <w:r w:rsidRPr="009C51D4">
          <w:rPr>
            <w:rFonts w:eastAsiaTheme="minorEastAsia" w:hint="cs"/>
            <w:spacing w:val="2"/>
            <w:rtl/>
          </w:rPr>
          <w:t xml:space="preserve"> سبتمبر</w:t>
        </w:r>
      </w:hyperlink>
      <w:r w:rsidRPr="009C51D4">
        <w:rPr>
          <w:rFonts w:eastAsiaTheme="minorEastAsia" w:hint="cs"/>
          <w:spacing w:val="2"/>
          <w:rtl/>
          <w:lang w:eastAsia="zh-CN" w:bidi="ar-EG"/>
        </w:rPr>
        <w:t xml:space="preserve"> </w:t>
      </w:r>
      <w:r w:rsidRPr="009C51D4">
        <w:rPr>
          <w:rFonts w:eastAsiaTheme="minorEastAsia"/>
          <w:spacing w:val="2"/>
          <w:lang w:eastAsia="zh-CN" w:bidi="ar-EG"/>
        </w:rPr>
        <w:t>2018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، </w:t>
      </w:r>
      <w:hyperlink r:id="rId13" w:history="1">
        <w:r w:rsidR="00594173" w:rsidRPr="009C51D4">
          <w:rPr>
            <w:rStyle w:val="Hyperlink"/>
            <w:rFonts w:eastAsiaTheme="minorEastAsia" w:hint="cs"/>
            <w:color w:val="auto"/>
            <w:spacing w:val="2"/>
            <w:u w:val="none"/>
            <w:rtl/>
            <w:lang w:eastAsia="zh-CN" w:bidi="ar-EG"/>
          </w:rPr>
          <w:t>و</w:t>
        </w:r>
        <w:r w:rsidR="00594173" w:rsidRPr="009C51D4">
          <w:rPr>
            <w:rStyle w:val="Hyperlink"/>
            <w:rFonts w:eastAsiaTheme="minorEastAsia" w:hint="cs"/>
            <w:spacing w:val="2"/>
            <w:rtl/>
            <w:lang w:eastAsia="zh-CN" w:bidi="ar-EG"/>
          </w:rPr>
          <w:t xml:space="preserve">الرسالة المعممة </w:t>
        </w:r>
        <w:r w:rsidR="00594173" w:rsidRPr="009C51D4">
          <w:rPr>
            <w:rStyle w:val="Hyperlink"/>
            <w:rFonts w:eastAsiaTheme="minorEastAsia"/>
            <w:spacing w:val="2"/>
            <w:lang w:val="en-GB" w:eastAsia="zh-CN" w:bidi="ar-EG"/>
          </w:rPr>
          <w:t>63</w:t>
        </w:r>
        <w:r w:rsidR="00594173" w:rsidRPr="009C51D4">
          <w:rPr>
            <w:rStyle w:val="Hyperlink"/>
            <w:rFonts w:eastAsiaTheme="minorEastAsia" w:hint="cs"/>
            <w:spacing w:val="2"/>
            <w:rtl/>
            <w:lang w:eastAsia="zh-CN" w:bidi="ar-EG"/>
          </w:rPr>
          <w:t xml:space="preserve"> لمكتب تقييس الاتصالات</w:t>
        </w:r>
      </w:hyperlink>
      <w:r w:rsidR="00594173" w:rsidRPr="009C51D4">
        <w:rPr>
          <w:rFonts w:eastAsiaTheme="minorEastAsia" w:hint="cs"/>
          <w:spacing w:val="2"/>
          <w:rtl/>
          <w:lang w:eastAsia="zh-CN" w:bidi="ar-EG"/>
        </w:rPr>
        <w:t xml:space="preserve"> المؤرخة </w:t>
      </w:r>
      <w:r w:rsidR="00594173" w:rsidRPr="009C51D4">
        <w:rPr>
          <w:rFonts w:eastAsiaTheme="minorEastAsia"/>
          <w:spacing w:val="2"/>
          <w:lang w:val="en-GB" w:eastAsia="zh-CN" w:bidi="ar-EG"/>
        </w:rPr>
        <w:t>18</w:t>
      </w:r>
      <w:r w:rsidR="00594173" w:rsidRPr="009C51D4">
        <w:rPr>
          <w:rFonts w:eastAsiaTheme="minorEastAsia" w:hint="cs"/>
          <w:spacing w:val="2"/>
          <w:rtl/>
          <w:lang w:eastAsia="zh-CN" w:bidi="ar-EG"/>
        </w:rPr>
        <w:t xml:space="preserve"> ديسمبر </w:t>
      </w:r>
      <w:r w:rsidR="00594173" w:rsidRPr="009C51D4">
        <w:rPr>
          <w:rFonts w:eastAsiaTheme="minorEastAsia"/>
          <w:spacing w:val="2"/>
          <w:lang w:val="en-GB" w:eastAsia="zh-CN" w:bidi="ar-EG"/>
        </w:rPr>
        <w:t>2017</w:t>
      </w:r>
      <w:r w:rsidR="00594173" w:rsidRPr="009C51D4">
        <w:rPr>
          <w:rFonts w:eastAsiaTheme="minorEastAsia" w:hint="cs"/>
          <w:spacing w:val="2"/>
          <w:rtl/>
          <w:lang w:eastAsia="zh-CN" w:bidi="ar-EG"/>
        </w:rPr>
        <w:t xml:space="preserve">، 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وعملاً بالفقرة </w:t>
      </w:r>
      <w:r w:rsidRPr="009C51D4">
        <w:rPr>
          <w:rFonts w:eastAsiaTheme="minorEastAsia"/>
          <w:spacing w:val="2"/>
          <w:lang w:eastAsia="zh-CN" w:bidi="ar-SY"/>
        </w:rPr>
        <w:t>5.9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 من القرار</w:t>
      </w:r>
      <w:r w:rsidRP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/>
          <w:spacing w:val="2"/>
          <w:lang w:eastAsia="zh-CN" w:bidi="ar-SY"/>
        </w:rPr>
        <w:t>1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 (المراجَع في</w:t>
      </w:r>
      <w:r w:rsidRP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الحمامات، </w:t>
      </w:r>
      <w:r w:rsidRPr="009C51D4">
        <w:rPr>
          <w:rFonts w:eastAsiaTheme="minorEastAsia"/>
          <w:spacing w:val="2"/>
          <w:lang w:eastAsia="zh-CN" w:bidi="ar-SY"/>
        </w:rPr>
        <w:t>2016</w:t>
      </w:r>
      <w:r w:rsidRPr="009C51D4">
        <w:rPr>
          <w:rFonts w:eastAsiaTheme="minorEastAsia" w:hint="cs"/>
          <w:spacing w:val="2"/>
          <w:rtl/>
          <w:lang w:eastAsia="zh-CN" w:bidi="ar-EG"/>
        </w:rPr>
        <w:t>)، أود إفادتكم بأن لجنة الدراسات</w:t>
      </w:r>
      <w:r w:rsidR="00594173" w:rsidRP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/>
          <w:spacing w:val="2"/>
          <w:lang w:eastAsia="zh-CN" w:bidi="ar-SY"/>
        </w:rPr>
        <w:t>2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 لقطاع تقييس الاتصالات قد توصلت إلى القرارات التالية في</w:t>
      </w:r>
      <w:r w:rsidRP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 w:hint="cs"/>
          <w:spacing w:val="2"/>
          <w:rtl/>
          <w:lang w:eastAsia="zh-CN" w:bidi="ar-EG"/>
        </w:rPr>
        <w:t>جلستها العامة التي عُقدت في</w:t>
      </w:r>
      <w:r w:rsidRP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/>
          <w:spacing w:val="2"/>
          <w:lang w:eastAsia="zh-CN" w:bidi="ar-SY"/>
        </w:rPr>
        <w:t>28</w:t>
      </w:r>
      <w:r w:rsidRP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 w:hint="cs"/>
          <w:spacing w:val="2"/>
          <w:rtl/>
          <w:lang w:eastAsia="zh-CN" w:bidi="ar-EG"/>
        </w:rPr>
        <w:t>فبراير</w:t>
      </w:r>
      <w:r w:rsid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/>
          <w:spacing w:val="2"/>
          <w:lang w:eastAsia="zh-CN" w:bidi="ar-SY"/>
        </w:rPr>
        <w:t>2019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 فيما</w:t>
      </w:r>
      <w:r w:rsidRPr="009C51D4">
        <w:rPr>
          <w:rFonts w:eastAsiaTheme="minorEastAsia" w:hint="eastAsia"/>
          <w:spacing w:val="2"/>
          <w:rtl/>
          <w:lang w:eastAsia="zh-CN" w:bidi="ar-EG"/>
        </w:rPr>
        <w:t> </w:t>
      </w:r>
      <w:r w:rsidRPr="009C51D4">
        <w:rPr>
          <w:rFonts w:eastAsiaTheme="minorEastAsia" w:hint="cs"/>
          <w:spacing w:val="2"/>
          <w:rtl/>
          <w:lang w:eastAsia="zh-CN" w:bidi="ar-EG"/>
        </w:rPr>
        <w:t xml:space="preserve">يتعلق بمشاريع </w:t>
      </w:r>
      <w:r w:rsidRPr="009C51D4">
        <w:rPr>
          <w:rFonts w:eastAsiaTheme="minorEastAsia" w:hint="cs"/>
          <w:spacing w:val="2"/>
          <w:rtl/>
          <w:lang w:eastAsia="zh-CN"/>
        </w:rPr>
        <w:t xml:space="preserve">نصوص </w:t>
      </w:r>
      <w:r w:rsidRPr="009C51D4">
        <w:rPr>
          <w:rFonts w:eastAsiaTheme="minorEastAsia" w:hint="cs"/>
          <w:spacing w:val="2"/>
          <w:rtl/>
          <w:lang w:eastAsia="zh-CN" w:bidi="ar-EG"/>
        </w:rPr>
        <w:t>توصيات قطاع تقييس الاتصالات المبينة فيما يلي: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095"/>
        <w:gridCol w:w="1560"/>
      </w:tblGrid>
      <w:tr w:rsidR="00AE4CBB" w:rsidRPr="00816BAC" w:rsidTr="00512D64">
        <w:trPr>
          <w:cantSplit/>
          <w:tblHeader/>
          <w:jc w:val="center"/>
        </w:trPr>
        <w:tc>
          <w:tcPr>
            <w:tcW w:w="1974" w:type="dxa"/>
            <w:vAlign w:val="center"/>
          </w:tcPr>
          <w:p w:rsidR="00AE4CBB" w:rsidRPr="00816BAC" w:rsidRDefault="00594173" w:rsidP="008927B5">
            <w:pPr>
              <w:pStyle w:val="Tablehead"/>
              <w:spacing w:line="340" w:lineRule="exact"/>
              <w:rPr>
                <w:rFonts w:eastAsiaTheme="minorEastAsia"/>
                <w:sz w:val="22"/>
                <w:szCs w:val="30"/>
                <w:lang w:eastAsia="zh-CN" w:bidi="ar-SY"/>
              </w:rPr>
            </w:pPr>
            <w:r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الرقم</w:t>
            </w:r>
          </w:p>
        </w:tc>
        <w:tc>
          <w:tcPr>
            <w:tcW w:w="6095" w:type="dxa"/>
            <w:vAlign w:val="center"/>
          </w:tcPr>
          <w:p w:rsidR="00AE4CBB" w:rsidRPr="00816BAC" w:rsidRDefault="00AE4CBB" w:rsidP="008927B5">
            <w:pPr>
              <w:pStyle w:val="Tablehead"/>
              <w:spacing w:line="340" w:lineRule="exact"/>
              <w:rPr>
                <w:rFonts w:eastAsiaTheme="minorEastAsia"/>
                <w:sz w:val="22"/>
                <w:szCs w:val="30"/>
                <w:lang w:eastAsia="zh-CN" w:bidi="ar-SY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العنوان</w:t>
            </w:r>
          </w:p>
        </w:tc>
        <w:tc>
          <w:tcPr>
            <w:tcW w:w="1560" w:type="dxa"/>
            <w:vAlign w:val="center"/>
          </w:tcPr>
          <w:p w:rsidR="00AE4CBB" w:rsidRPr="00816BAC" w:rsidRDefault="00AE4CBB" w:rsidP="008927B5">
            <w:pPr>
              <w:pStyle w:val="Tablehead"/>
              <w:spacing w:line="340" w:lineRule="exact"/>
              <w:rPr>
                <w:rFonts w:eastAsiaTheme="minorEastAsia"/>
                <w:sz w:val="22"/>
                <w:szCs w:val="30"/>
                <w:lang w:eastAsia="zh-CN" w:bidi="ar-SY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>القرار</w:t>
            </w:r>
          </w:p>
        </w:tc>
      </w:tr>
      <w:tr w:rsidR="00AE4CBB" w:rsidRPr="00816BAC" w:rsidTr="00512D64">
        <w:trPr>
          <w:cantSplit/>
          <w:jc w:val="center"/>
        </w:trPr>
        <w:tc>
          <w:tcPr>
            <w:tcW w:w="1974" w:type="dxa"/>
            <w:vAlign w:val="center"/>
          </w:tcPr>
          <w:p w:rsidR="00AE4CBB" w:rsidRPr="00594173" w:rsidRDefault="00AE4CBB" w:rsidP="001B6FA6">
            <w:pPr>
              <w:pStyle w:val="Tabletext"/>
              <w:spacing w:line="340" w:lineRule="exact"/>
              <w:rPr>
                <w:rFonts w:eastAsiaTheme="minorEastAsia"/>
                <w:sz w:val="22"/>
                <w:szCs w:val="30"/>
                <w:rtl/>
                <w:lang w:val="en-US" w:eastAsia="zh-CN"/>
              </w:rPr>
            </w:pPr>
            <w:r w:rsidRPr="00594173">
              <w:rPr>
                <w:rFonts w:eastAsiaTheme="minorEastAsia" w:hint="cs"/>
                <w:sz w:val="22"/>
                <w:szCs w:val="30"/>
                <w:rtl/>
                <w:lang w:eastAsia="zh-CN"/>
              </w:rPr>
              <w:t xml:space="preserve">التعديل </w:t>
            </w:r>
            <w:r w:rsidRPr="00594173">
              <w:rPr>
                <w:rFonts w:eastAsiaTheme="minorEastAsia"/>
                <w:sz w:val="22"/>
                <w:szCs w:val="30"/>
                <w:lang w:val="en-US" w:eastAsia="zh-CN"/>
              </w:rPr>
              <w:t>1</w:t>
            </w:r>
            <w:r w:rsidR="001B6FA6">
              <w:rPr>
                <w:rFonts w:eastAsiaTheme="minorEastAsia"/>
                <w:sz w:val="22"/>
                <w:szCs w:val="30"/>
                <w:rtl/>
                <w:lang w:val="en-US" w:eastAsia="zh-CN"/>
              </w:rPr>
              <w:br/>
            </w:r>
            <w:r w:rsidR="00594173" w:rsidRPr="00594173">
              <w:rPr>
                <w:rFonts w:eastAsiaTheme="minorEastAsia" w:hint="cs"/>
                <w:sz w:val="22"/>
                <w:szCs w:val="30"/>
                <w:rtl/>
                <w:lang w:val="en-US" w:eastAsia="zh-CN"/>
              </w:rPr>
              <w:t>للتوصية</w:t>
            </w:r>
            <w:r w:rsidR="001B6FA6">
              <w:rPr>
                <w:rFonts w:eastAsiaTheme="minorEastAsia" w:hint="cs"/>
                <w:sz w:val="22"/>
                <w:szCs w:val="30"/>
                <w:rtl/>
                <w:lang w:val="en-US" w:eastAsia="zh-CN"/>
              </w:rPr>
              <w:t xml:space="preserve"> </w:t>
            </w:r>
            <w:r w:rsidRPr="00594173">
              <w:rPr>
                <w:rFonts w:eastAsiaTheme="minorEastAsia"/>
                <w:sz w:val="22"/>
                <w:szCs w:val="30"/>
                <w:lang w:val="en-GB" w:eastAsia="zh-CN"/>
              </w:rPr>
              <w:t>ITU-T E.118</w:t>
            </w:r>
          </w:p>
        </w:tc>
        <w:tc>
          <w:tcPr>
            <w:tcW w:w="6095" w:type="dxa"/>
            <w:vAlign w:val="center"/>
          </w:tcPr>
          <w:p w:rsidR="00AE4CBB" w:rsidRPr="001B6FA6" w:rsidRDefault="00AE4CBB" w:rsidP="008927B5">
            <w:pPr>
              <w:pStyle w:val="Tabletext"/>
              <w:spacing w:line="340" w:lineRule="exact"/>
              <w:jc w:val="left"/>
              <w:rPr>
                <w:rFonts w:eastAsiaTheme="minorEastAsia"/>
                <w:sz w:val="22"/>
                <w:szCs w:val="30"/>
                <w:highlight w:val="cyan"/>
                <w:lang w:eastAsia="zh-CN"/>
              </w:rPr>
            </w:pPr>
            <w:r w:rsidRPr="001B6FA6">
              <w:rPr>
                <w:rFonts w:eastAsiaTheme="minorEastAsia"/>
                <w:sz w:val="22"/>
                <w:szCs w:val="30"/>
                <w:rtl/>
                <w:lang w:eastAsia="zh-CN" w:bidi="ar-SA"/>
              </w:rPr>
              <w:t>بطاقة رسوم الاتصالات الدولية</w:t>
            </w:r>
            <w:r w:rsidRPr="001B6FA6">
              <w:rPr>
                <w:rFonts w:eastAsiaTheme="minorEastAsia" w:hint="cs"/>
                <w:sz w:val="22"/>
                <w:szCs w:val="30"/>
                <w:rtl/>
                <w:lang w:eastAsia="zh-CN" w:bidi="ar-SA"/>
              </w:rPr>
              <w:t xml:space="preserve"> </w:t>
            </w:r>
            <w:r w:rsidRPr="001B6FA6">
              <w:rPr>
                <w:rFonts w:eastAsiaTheme="minorEastAsia"/>
                <w:sz w:val="22"/>
                <w:szCs w:val="30"/>
                <w:rtl/>
                <w:lang w:eastAsia="zh-CN" w:bidi="ar-SA"/>
              </w:rPr>
              <w:t>–</w:t>
            </w:r>
            <w:r w:rsidRPr="001B6FA6">
              <w:rPr>
                <w:rFonts w:eastAsiaTheme="minorEastAsia" w:hint="cs"/>
                <w:sz w:val="22"/>
                <w:szCs w:val="30"/>
                <w:rtl/>
                <w:lang w:eastAsia="zh-CN" w:bidi="ar-SA"/>
              </w:rPr>
              <w:t xml:space="preserve"> نموذج التسجيل المراجَع</w:t>
            </w:r>
          </w:p>
        </w:tc>
        <w:tc>
          <w:tcPr>
            <w:tcW w:w="1560" w:type="dxa"/>
            <w:vAlign w:val="center"/>
          </w:tcPr>
          <w:p w:rsidR="00AE4CBB" w:rsidRPr="00816BAC" w:rsidRDefault="00AE4CBB" w:rsidP="008927B5">
            <w:pPr>
              <w:pStyle w:val="Tabletext"/>
              <w:spacing w:line="340" w:lineRule="exact"/>
              <w:rPr>
                <w:rFonts w:eastAsiaTheme="minorEastAsia"/>
                <w:sz w:val="22"/>
                <w:szCs w:val="30"/>
                <w:lang w:eastAsia="zh-CN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 w:bidi="ar-SA"/>
              </w:rPr>
              <w:t>تمت الموافقة عليها</w:t>
            </w:r>
          </w:p>
        </w:tc>
      </w:tr>
      <w:tr w:rsidR="008927B5" w:rsidRPr="00816BAC" w:rsidTr="00512D64">
        <w:trPr>
          <w:cantSplit/>
          <w:jc w:val="center"/>
        </w:trPr>
        <w:tc>
          <w:tcPr>
            <w:tcW w:w="1974" w:type="dxa"/>
            <w:vAlign w:val="center"/>
          </w:tcPr>
          <w:p w:rsidR="008927B5" w:rsidRPr="00816BAC" w:rsidRDefault="008927B5" w:rsidP="001B6FA6">
            <w:pPr>
              <w:pStyle w:val="Tabletext"/>
              <w:spacing w:line="340" w:lineRule="exact"/>
              <w:rPr>
                <w:rFonts w:eastAsiaTheme="minorEastAsia"/>
                <w:sz w:val="22"/>
                <w:szCs w:val="30"/>
                <w:lang w:eastAsia="zh-CN"/>
              </w:rPr>
            </w:pPr>
            <w:r w:rsidRPr="00AE4CBB">
              <w:rPr>
                <w:rFonts w:eastAsiaTheme="minorEastAsia"/>
                <w:sz w:val="22"/>
                <w:szCs w:val="30"/>
                <w:lang w:val="fr-CH" w:eastAsia="zh-CN"/>
              </w:rPr>
              <w:t>ITU-T E.169.1</w:t>
            </w:r>
            <w:r w:rsidR="001B6FA6">
              <w:rPr>
                <w:rFonts w:eastAsiaTheme="minorEastAsia" w:hint="cs"/>
                <w:sz w:val="22"/>
                <w:szCs w:val="30"/>
                <w:rtl/>
                <w:lang w:val="fr-CH" w:eastAsia="zh-CN"/>
              </w:rPr>
              <w:t xml:space="preserve"> </w:t>
            </w:r>
            <w:r w:rsidR="00594173">
              <w:rPr>
                <w:rFonts w:eastAsiaTheme="minorEastAsia" w:hint="cs"/>
                <w:sz w:val="22"/>
                <w:szCs w:val="30"/>
                <w:rtl/>
                <w:lang w:val="fr-CH" w:eastAsia="zh-CN"/>
              </w:rPr>
              <w:t>(مراجَعة)</w:t>
            </w:r>
          </w:p>
        </w:tc>
        <w:tc>
          <w:tcPr>
            <w:tcW w:w="6095" w:type="dxa"/>
            <w:vAlign w:val="center"/>
          </w:tcPr>
          <w:p w:rsidR="008927B5" w:rsidRPr="001B6FA6" w:rsidRDefault="008927B5" w:rsidP="00281990">
            <w:pPr>
              <w:pStyle w:val="Tabletext"/>
              <w:spacing w:line="340" w:lineRule="exact"/>
              <w:jc w:val="both"/>
              <w:rPr>
                <w:rFonts w:eastAsiaTheme="minorEastAsia"/>
                <w:sz w:val="22"/>
                <w:szCs w:val="30"/>
                <w:lang w:val="en-GB" w:eastAsia="zh-CN"/>
              </w:rPr>
            </w:pPr>
            <w:r w:rsidRPr="001B6FA6">
              <w:rPr>
                <w:sz w:val="22"/>
                <w:szCs w:val="30"/>
                <w:rtl/>
                <w:lang w:bidi="ar-SA"/>
              </w:rPr>
              <w:t xml:space="preserve">تطبيق خطة </w:t>
            </w:r>
            <w:r w:rsidRPr="001B6FA6">
              <w:rPr>
                <w:rFonts w:hint="cs"/>
                <w:sz w:val="22"/>
                <w:szCs w:val="30"/>
                <w:rtl/>
                <w:lang w:bidi="ar-SA"/>
              </w:rPr>
              <w:t>ال</w:t>
            </w:r>
            <w:r w:rsidRPr="001B6FA6">
              <w:rPr>
                <w:sz w:val="22"/>
                <w:szCs w:val="30"/>
                <w:rtl/>
                <w:lang w:bidi="ar-SA"/>
              </w:rPr>
              <w:t xml:space="preserve">ترقيم </w:t>
            </w:r>
            <w:r w:rsidRPr="001B6FA6">
              <w:rPr>
                <w:rFonts w:hint="cs"/>
                <w:sz w:val="22"/>
                <w:szCs w:val="30"/>
                <w:rtl/>
                <w:lang w:bidi="ar-SA"/>
              </w:rPr>
              <w:t>ل</w:t>
            </w:r>
            <w:r w:rsidRPr="001B6FA6">
              <w:rPr>
                <w:sz w:val="22"/>
                <w:szCs w:val="30"/>
                <w:rtl/>
                <w:lang w:bidi="ar-SA"/>
              </w:rPr>
              <w:t>لتوصية</w:t>
            </w:r>
            <w:r w:rsidRPr="001B6FA6">
              <w:rPr>
                <w:rFonts w:hint="cs"/>
                <w:sz w:val="22"/>
                <w:szCs w:val="30"/>
                <w:rtl/>
                <w:lang w:bidi="ar-SA"/>
              </w:rPr>
              <w:t xml:space="preserve"> </w:t>
            </w:r>
            <w:r w:rsidRPr="001B6FA6">
              <w:rPr>
                <w:sz w:val="22"/>
                <w:szCs w:val="30"/>
                <w:lang w:val="en-US" w:bidi="ar-SA"/>
              </w:rPr>
              <w:t>E.164</w:t>
            </w:r>
            <w:r w:rsidRPr="001B6FA6">
              <w:rPr>
                <w:rFonts w:hint="cs"/>
                <w:sz w:val="22"/>
                <w:szCs w:val="30"/>
                <w:rtl/>
                <w:lang w:bidi="ar-SA"/>
              </w:rPr>
              <w:t xml:space="preserve"> </w:t>
            </w:r>
            <w:r w:rsidRPr="001B6FA6">
              <w:rPr>
                <w:sz w:val="22"/>
                <w:szCs w:val="30"/>
                <w:rtl/>
                <w:lang w:bidi="ar-SA"/>
              </w:rPr>
              <w:t>على الأرقام العالمية للنداء الدولي المجاني في</w:t>
            </w:r>
            <w:r w:rsidR="00281990">
              <w:rPr>
                <w:rFonts w:hint="cs"/>
                <w:sz w:val="22"/>
                <w:szCs w:val="30"/>
                <w:rtl/>
                <w:lang w:bidi="ar-SA"/>
              </w:rPr>
              <w:t> </w:t>
            </w:r>
            <w:r w:rsidRPr="001B6FA6">
              <w:rPr>
                <w:sz w:val="22"/>
                <w:szCs w:val="30"/>
                <w:rtl/>
                <w:lang w:bidi="ar-SA"/>
              </w:rPr>
              <w:t>خدمة المهاتفة الدولية المجانية</w:t>
            </w:r>
          </w:p>
        </w:tc>
        <w:tc>
          <w:tcPr>
            <w:tcW w:w="1560" w:type="dxa"/>
            <w:vAlign w:val="center"/>
          </w:tcPr>
          <w:p w:rsidR="008927B5" w:rsidRPr="00816BAC" w:rsidRDefault="008927B5" w:rsidP="008927B5">
            <w:pPr>
              <w:pStyle w:val="Tabletext"/>
              <w:spacing w:line="340" w:lineRule="exact"/>
              <w:rPr>
                <w:rFonts w:eastAsiaTheme="minorEastAsia"/>
                <w:sz w:val="22"/>
                <w:szCs w:val="30"/>
                <w:lang w:eastAsia="zh-CN"/>
              </w:rPr>
            </w:pPr>
            <w:r w:rsidRPr="00816BAC">
              <w:rPr>
                <w:rFonts w:eastAsiaTheme="minorEastAsia" w:hint="cs"/>
                <w:sz w:val="22"/>
                <w:szCs w:val="30"/>
                <w:rtl/>
                <w:lang w:eastAsia="zh-CN" w:bidi="ar-SA"/>
              </w:rPr>
              <w:t>تمت الموافقة عليها</w:t>
            </w:r>
          </w:p>
        </w:tc>
      </w:tr>
      <w:tr w:rsidR="00AE4CBB" w:rsidRPr="00816BAC" w:rsidTr="00512D64">
        <w:trPr>
          <w:cantSplit/>
          <w:jc w:val="center"/>
        </w:trPr>
        <w:tc>
          <w:tcPr>
            <w:tcW w:w="1974" w:type="dxa"/>
            <w:vAlign w:val="center"/>
          </w:tcPr>
          <w:p w:rsidR="00AE4CBB" w:rsidRPr="00816BAC" w:rsidRDefault="00AE4CBB" w:rsidP="001B6FA6">
            <w:pPr>
              <w:pStyle w:val="Tabletext"/>
              <w:spacing w:line="340" w:lineRule="exact"/>
              <w:rPr>
                <w:rFonts w:eastAsiaTheme="minorEastAsia"/>
                <w:sz w:val="22"/>
                <w:szCs w:val="30"/>
                <w:lang w:eastAsia="zh-CN"/>
              </w:rPr>
            </w:pPr>
            <w:r w:rsidRPr="00AE4CBB">
              <w:rPr>
                <w:rFonts w:eastAsiaTheme="minorEastAsia"/>
                <w:sz w:val="22"/>
                <w:szCs w:val="30"/>
                <w:lang w:val="fr-CH" w:eastAsia="zh-CN"/>
              </w:rPr>
              <w:t>ITU-T E.217</w:t>
            </w:r>
            <w:r w:rsidR="001B6FA6">
              <w:rPr>
                <w:rFonts w:eastAsiaTheme="minorEastAsia" w:hint="cs"/>
                <w:sz w:val="22"/>
                <w:szCs w:val="30"/>
                <w:rtl/>
                <w:lang w:val="fr-CH" w:eastAsia="zh-CN"/>
              </w:rPr>
              <w:t xml:space="preserve"> </w:t>
            </w:r>
            <w:r w:rsidR="00594173">
              <w:rPr>
                <w:rFonts w:eastAsiaTheme="minorEastAsia" w:hint="cs"/>
                <w:sz w:val="22"/>
                <w:szCs w:val="30"/>
                <w:rtl/>
                <w:lang w:val="fr-CH" w:eastAsia="zh-CN"/>
              </w:rPr>
              <w:t>(مراجَعة)</w:t>
            </w:r>
          </w:p>
        </w:tc>
        <w:tc>
          <w:tcPr>
            <w:tcW w:w="6095" w:type="dxa"/>
            <w:vAlign w:val="center"/>
          </w:tcPr>
          <w:p w:rsidR="00AE4CBB" w:rsidRPr="001B6FA6" w:rsidRDefault="008927B5" w:rsidP="008927B5">
            <w:pPr>
              <w:pStyle w:val="Tabletext"/>
              <w:spacing w:line="340" w:lineRule="exact"/>
              <w:jc w:val="both"/>
              <w:rPr>
                <w:sz w:val="22"/>
                <w:szCs w:val="30"/>
                <w:rtl/>
              </w:rPr>
            </w:pPr>
            <w:r w:rsidRPr="001B6FA6">
              <w:rPr>
                <w:sz w:val="22"/>
                <w:szCs w:val="30"/>
                <w:rtl/>
                <w:lang w:bidi="ar-SA"/>
              </w:rPr>
              <w:t>الاتصالات البحرية - هوية محطات السفن</w:t>
            </w:r>
          </w:p>
        </w:tc>
        <w:tc>
          <w:tcPr>
            <w:tcW w:w="1560" w:type="dxa"/>
            <w:vAlign w:val="center"/>
          </w:tcPr>
          <w:p w:rsidR="00AE4CBB" w:rsidRPr="00816BAC" w:rsidRDefault="008927B5" w:rsidP="008927B5">
            <w:pPr>
              <w:pStyle w:val="Tabletext"/>
              <w:spacing w:line="340" w:lineRule="exact"/>
              <w:rPr>
                <w:rFonts w:eastAsiaTheme="minorEastAsia"/>
                <w:sz w:val="22"/>
                <w:szCs w:val="30"/>
                <w:rtl/>
                <w:lang w:eastAsia="zh-CN" w:bidi="ar-SA"/>
              </w:rPr>
            </w:pPr>
            <w:r w:rsidRPr="008927B5">
              <w:rPr>
                <w:rFonts w:eastAsiaTheme="minorEastAsia" w:hint="cs"/>
                <w:sz w:val="22"/>
                <w:szCs w:val="30"/>
                <w:rtl/>
                <w:lang w:eastAsia="zh-CN" w:bidi="ar-SA"/>
              </w:rPr>
              <w:t>تمت الموافقة عليها</w:t>
            </w:r>
          </w:p>
        </w:tc>
      </w:tr>
    </w:tbl>
    <w:p w:rsidR="00AE4CBB" w:rsidRPr="00615CFE" w:rsidRDefault="00AE4CBB" w:rsidP="00866D3C">
      <w:pPr>
        <w:keepNext/>
        <w:keepLines/>
        <w:rPr>
          <w:rFonts w:eastAsiaTheme="minorEastAsia"/>
          <w:spacing w:val="2"/>
          <w:rtl/>
          <w:lang w:eastAsia="zh-CN" w:bidi="ar-EG"/>
        </w:rPr>
      </w:pPr>
      <w:r w:rsidRPr="00615CFE">
        <w:rPr>
          <w:rFonts w:eastAsiaTheme="minorEastAsia"/>
          <w:spacing w:val="2"/>
          <w:lang w:eastAsia="zh-CN" w:bidi="ar-SY"/>
        </w:rPr>
        <w:lastRenderedPageBreak/>
        <w:t>2</w:t>
      </w:r>
      <w:r w:rsidRPr="00615CFE">
        <w:rPr>
          <w:rFonts w:eastAsiaTheme="minorEastAsia" w:hint="cs"/>
          <w:spacing w:val="2"/>
          <w:rtl/>
          <w:lang w:eastAsia="zh-CN" w:bidi="ar-EG"/>
        </w:rPr>
        <w:tab/>
      </w:r>
      <w:r w:rsidRPr="00615CFE">
        <w:rPr>
          <w:rFonts w:eastAsiaTheme="minorEastAsia"/>
          <w:spacing w:val="2"/>
          <w:rtl/>
          <w:lang w:eastAsia="zh-CN" w:bidi="ar-EG"/>
        </w:rPr>
        <w:t xml:space="preserve">ويمكن الاطلاع على المعلومات الخاصة ببراءات الاختراع بالرجوع إلى </w:t>
      </w:r>
      <w:hyperlink r:id="rId14" w:history="1">
        <w:r w:rsidRPr="00615CFE">
          <w:rPr>
            <w:rStyle w:val="Hyperlink"/>
            <w:rFonts w:eastAsiaTheme="minorEastAsia"/>
            <w:spacing w:val="2"/>
            <w:rtl/>
            <w:lang w:eastAsia="zh-CN" w:bidi="ar-EG"/>
          </w:rPr>
          <w:t>الموقع الإلكتروني لقطاع تقييس الاتصالات</w:t>
        </w:r>
      </w:hyperlink>
      <w:r w:rsidRPr="00615CFE">
        <w:rPr>
          <w:rFonts w:eastAsiaTheme="minorEastAsia"/>
          <w:spacing w:val="2"/>
          <w:rtl/>
          <w:lang w:eastAsia="zh-CN" w:bidi="ar-EG"/>
        </w:rPr>
        <w:t>.</w:t>
      </w:r>
    </w:p>
    <w:p w:rsidR="00AE4CBB" w:rsidRPr="00835834" w:rsidRDefault="00AE4CBB" w:rsidP="008D0173">
      <w:pPr>
        <w:rPr>
          <w:rFonts w:eastAsiaTheme="minorEastAsia"/>
          <w:rtl/>
          <w:lang w:eastAsia="zh-CN" w:bidi="ar-EG"/>
        </w:rPr>
      </w:pPr>
      <w:r w:rsidRPr="00835834">
        <w:rPr>
          <w:rFonts w:eastAsiaTheme="minorEastAsia"/>
          <w:lang w:eastAsia="zh-CN" w:bidi="ar-SY"/>
        </w:rPr>
        <w:t>3</w:t>
      </w:r>
      <w:r w:rsidRPr="00835834">
        <w:rPr>
          <w:rFonts w:eastAsiaTheme="minorEastAsia" w:hint="cs"/>
          <w:rtl/>
          <w:lang w:eastAsia="zh-CN" w:bidi="ar-EG"/>
        </w:rPr>
        <w:tab/>
      </w:r>
      <w:r w:rsidRPr="00835834">
        <w:rPr>
          <w:rFonts w:eastAsiaTheme="minorEastAsia"/>
          <w:rtl/>
          <w:lang w:eastAsia="zh-CN" w:bidi="ar-EG"/>
        </w:rPr>
        <w:t>وس</w:t>
      </w:r>
      <w:r w:rsidR="00CF11C8">
        <w:rPr>
          <w:rFonts w:eastAsiaTheme="minorEastAsia" w:hint="cs"/>
          <w:rtl/>
          <w:lang w:eastAsia="zh-CN" w:bidi="ar-EG"/>
        </w:rPr>
        <w:t>ت</w:t>
      </w:r>
      <w:r w:rsidRPr="00835834">
        <w:rPr>
          <w:rFonts w:eastAsiaTheme="minorEastAsia"/>
          <w:rtl/>
          <w:lang w:eastAsia="zh-CN" w:bidi="ar-EG"/>
        </w:rPr>
        <w:t xml:space="preserve">تاح قريباً </w:t>
      </w:r>
      <w:r w:rsidR="00CF11C8">
        <w:rPr>
          <w:rFonts w:eastAsiaTheme="minorEastAsia" w:hint="cs"/>
          <w:rtl/>
          <w:lang w:eastAsia="zh-CN" w:bidi="ar-EG"/>
        </w:rPr>
        <w:t>نصوص التوصيات</w:t>
      </w:r>
      <w:r w:rsidRPr="00835834">
        <w:rPr>
          <w:rFonts w:eastAsiaTheme="minorEastAsia"/>
          <w:rtl/>
          <w:lang w:eastAsia="zh-CN" w:bidi="ar-EG"/>
        </w:rPr>
        <w:t xml:space="preserve"> في صيغته</w:t>
      </w:r>
      <w:r w:rsidR="00CF11C8">
        <w:rPr>
          <w:rFonts w:eastAsiaTheme="minorEastAsia" w:hint="cs"/>
          <w:rtl/>
          <w:lang w:eastAsia="zh-CN" w:bidi="ar-EG"/>
        </w:rPr>
        <w:t>ا</w:t>
      </w:r>
      <w:r w:rsidRPr="00835834">
        <w:rPr>
          <w:rFonts w:eastAsiaTheme="minorEastAsia"/>
          <w:rtl/>
          <w:lang w:eastAsia="zh-CN" w:bidi="ar-EG"/>
        </w:rPr>
        <w:t xml:space="preserve"> السابقة للنشر في الموقع الإلكتروني لقطاع تقييس الاتصالات</w:t>
      </w:r>
      <w:r w:rsidR="008D0173">
        <w:rPr>
          <w:rFonts w:eastAsiaTheme="minorEastAsia" w:hint="cs"/>
          <w:rtl/>
          <w:lang w:eastAsia="zh-CN" w:bidi="ar-EG"/>
        </w:rPr>
        <w:t xml:space="preserve"> </w:t>
      </w:r>
      <w:hyperlink r:id="rId15" w:history="1">
        <w:r w:rsidRPr="00835834">
          <w:rPr>
            <w:rStyle w:val="Hyperlink"/>
            <w:rFonts w:eastAsiaTheme="minorEastAsia"/>
            <w:lang w:eastAsia="zh-CN" w:bidi="ar-SY"/>
          </w:rPr>
          <w:t>http://itu.int/itu-t/recommendations/</w:t>
        </w:r>
      </w:hyperlink>
      <w:r w:rsidRPr="00835834">
        <w:rPr>
          <w:rFonts w:eastAsiaTheme="minorEastAsia"/>
          <w:rtl/>
          <w:lang w:eastAsia="zh-CN" w:bidi="ar-EG"/>
        </w:rPr>
        <w:t>.</w:t>
      </w:r>
    </w:p>
    <w:p w:rsidR="00AE4CBB" w:rsidRPr="007D1B5F" w:rsidRDefault="00AE4CBB" w:rsidP="008D0173">
      <w:pPr>
        <w:rPr>
          <w:rFonts w:eastAsiaTheme="minorEastAsia"/>
          <w:rtl/>
          <w:lang w:eastAsia="zh-CN" w:bidi="ar-EG"/>
        </w:rPr>
      </w:pPr>
      <w:r w:rsidRPr="007D1B5F">
        <w:rPr>
          <w:rFonts w:eastAsiaTheme="minorEastAsia"/>
          <w:lang w:eastAsia="zh-CN" w:bidi="ar-SY"/>
        </w:rPr>
        <w:t>4</w:t>
      </w:r>
      <w:r w:rsidRPr="007D1B5F">
        <w:rPr>
          <w:rFonts w:eastAsiaTheme="minorEastAsia"/>
          <w:lang w:eastAsia="zh-CN" w:bidi="ar-SY"/>
        </w:rPr>
        <w:tab/>
      </w:r>
      <w:r w:rsidRPr="007D1B5F">
        <w:rPr>
          <w:rFonts w:eastAsiaTheme="minorEastAsia"/>
          <w:rtl/>
          <w:lang w:eastAsia="zh-CN" w:bidi="ar-EG"/>
        </w:rPr>
        <w:t xml:space="preserve">وسوف ينشر الاتحاد </w:t>
      </w:r>
      <w:r w:rsidR="00CF11C8">
        <w:rPr>
          <w:rFonts w:eastAsiaTheme="minorEastAsia" w:hint="cs"/>
          <w:rtl/>
          <w:lang w:eastAsia="zh-CN" w:bidi="ar-EG"/>
        </w:rPr>
        <w:t>نصوص التوصيات</w:t>
      </w:r>
      <w:r w:rsidRPr="008F386A">
        <w:rPr>
          <w:rFonts w:eastAsiaTheme="minorEastAsia" w:hint="cs"/>
          <w:rtl/>
          <w:lang w:eastAsia="zh-CN" w:bidi="ar-EG"/>
        </w:rPr>
        <w:t xml:space="preserve"> المواف</w:t>
      </w:r>
      <w:r>
        <w:rPr>
          <w:rFonts w:eastAsiaTheme="minorEastAsia" w:hint="cs"/>
          <w:rtl/>
          <w:lang w:eastAsia="zh-CN" w:bidi="ar-EG"/>
        </w:rPr>
        <w:t>َ</w:t>
      </w:r>
      <w:r w:rsidRPr="008F386A">
        <w:rPr>
          <w:rFonts w:eastAsiaTheme="minorEastAsia" w:hint="cs"/>
          <w:rtl/>
          <w:lang w:eastAsia="zh-CN" w:bidi="ar-EG"/>
        </w:rPr>
        <w:t xml:space="preserve">ق عليها </w:t>
      </w:r>
      <w:r w:rsidRPr="007D1B5F">
        <w:rPr>
          <w:rFonts w:eastAsiaTheme="minorEastAsia"/>
          <w:rtl/>
          <w:lang w:eastAsia="zh-CN" w:bidi="ar-EG"/>
        </w:rPr>
        <w:t>في أقرب وقت ممكن.</w:t>
      </w:r>
    </w:p>
    <w:p w:rsidR="00A15845" w:rsidRDefault="00A15845" w:rsidP="008D017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8927B5" w:rsidRPr="008927B5" w:rsidRDefault="00D13C8E" w:rsidP="0031228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 w:after="720"/>
        <w:rPr>
          <w:rFonts w:eastAsiaTheme="minorEastAsia"/>
          <w:i/>
          <w:iCs/>
          <w:rtl/>
          <w:lang w:eastAsia="zh-CN" w:bidi="ar-EG"/>
        </w:rPr>
      </w:pPr>
      <w:r>
        <w:rPr>
          <w:rFonts w:eastAsiaTheme="minorEastAsia" w:hint="cs"/>
          <w:i/>
          <w:iCs/>
          <w:rtl/>
          <w:lang w:eastAsia="zh-CN" w:bidi="ar-EG"/>
        </w:rPr>
        <w:t>(</w:t>
      </w:r>
      <w:r w:rsidR="008927B5" w:rsidRPr="008927B5">
        <w:rPr>
          <w:rFonts w:eastAsiaTheme="minorEastAsia" w:hint="cs"/>
          <w:i/>
          <w:iCs/>
          <w:rtl/>
          <w:lang w:eastAsia="zh-CN" w:bidi="ar-EG"/>
        </w:rPr>
        <w:t>توقيع)</w:t>
      </w:r>
      <w:bookmarkStart w:id="0" w:name="_GoBack"/>
      <w:bookmarkEnd w:id="0"/>
    </w:p>
    <w:p w:rsidR="008B5B5D" w:rsidRDefault="00A15845" w:rsidP="008927B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jc w:val="left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D00341">
      <w:head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BB" w:rsidRDefault="00AE4CBB" w:rsidP="00E07379">
      <w:pPr>
        <w:spacing w:before="0" w:line="240" w:lineRule="auto"/>
      </w:pPr>
      <w:r>
        <w:separator/>
      </w:r>
    </w:p>
  </w:endnote>
  <w:endnote w:type="continuationSeparator" w:id="0">
    <w:p w:rsidR="00AE4CBB" w:rsidRDefault="00AE4CB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AF" w:rsidRPr="00BA6CAF" w:rsidRDefault="00BA6CAF" w:rsidP="00BA6CAF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BA6CAF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BA6CAF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A6CAF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BA6CAF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BA6CAF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BA6CAF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BA6CAF">
      <w:rPr>
        <w:rFonts w:cs="Calibri"/>
        <w:caps/>
        <w:noProof/>
        <w:color w:val="0070C0"/>
        <w:sz w:val="18"/>
        <w:szCs w:val="18"/>
        <w:lang w:val="fr-CH"/>
      </w:rPr>
      <w:br/>
    </w:r>
    <w:r w:rsidRPr="00BA6CAF">
      <w:rPr>
        <w:rFonts w:cs="Calibri"/>
        <w:noProof/>
        <w:color w:val="0070C0"/>
        <w:sz w:val="18"/>
        <w:szCs w:val="18"/>
        <w:lang w:val="fr-CH"/>
      </w:rPr>
      <w:t>Tel:</w:t>
    </w:r>
    <w:r w:rsidRPr="00BA6CAF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BA6CAF">
      <w:rPr>
        <w:rFonts w:cs="Calibri"/>
        <w:noProof/>
        <w:color w:val="0070C0"/>
        <w:sz w:val="18"/>
        <w:szCs w:val="18"/>
        <w:lang w:val="fr-CH"/>
      </w:rPr>
      <w:t>Fax</w:t>
    </w:r>
    <w:r w:rsidRPr="00BA6CAF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BA6CAF">
      <w:rPr>
        <w:rFonts w:cs="Calibri"/>
        <w:noProof/>
        <w:color w:val="0070C0"/>
        <w:sz w:val="18"/>
        <w:szCs w:val="18"/>
        <w:lang w:val="fr-CH"/>
      </w:rPr>
      <w:t>mail</w:t>
    </w:r>
    <w:r w:rsidRPr="00BA6CAF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BA6CAF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BA6CAF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BA6CAF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BB" w:rsidRDefault="00AE4CBB" w:rsidP="00E07379">
      <w:pPr>
        <w:spacing w:before="0" w:line="240" w:lineRule="auto"/>
      </w:pPr>
      <w:r>
        <w:separator/>
      </w:r>
    </w:p>
  </w:footnote>
  <w:footnote w:type="continuationSeparator" w:id="0">
    <w:p w:rsidR="00AE4CBB" w:rsidRDefault="00AE4CB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8927B5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9C69A6">
      <w:rPr>
        <w:rStyle w:val="PageNumber"/>
        <w:noProof/>
        <w:rtl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8927B5">
      <w:rPr>
        <w:rStyle w:val="PageNumber"/>
        <w:rFonts w:cs="Traditional Arabic"/>
        <w:szCs w:val="26"/>
        <w:lang w:bidi="ar-EG"/>
      </w:rPr>
      <w:t>153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BB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14ABD"/>
    <w:rsid w:val="00173915"/>
    <w:rsid w:val="001B6FA6"/>
    <w:rsid w:val="00210298"/>
    <w:rsid w:val="0022345D"/>
    <w:rsid w:val="00225854"/>
    <w:rsid w:val="0023283D"/>
    <w:rsid w:val="00252E0C"/>
    <w:rsid w:val="00276881"/>
    <w:rsid w:val="00281990"/>
    <w:rsid w:val="00286897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12284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1C2B"/>
    <w:rsid w:val="004367CE"/>
    <w:rsid w:val="00443869"/>
    <w:rsid w:val="004712C6"/>
    <w:rsid w:val="00497703"/>
    <w:rsid w:val="004F0F06"/>
    <w:rsid w:val="00501E0E"/>
    <w:rsid w:val="00503B42"/>
    <w:rsid w:val="00513E16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94173"/>
    <w:rsid w:val="005A24B1"/>
    <w:rsid w:val="005B7B8A"/>
    <w:rsid w:val="005D6476"/>
    <w:rsid w:val="005D6C0D"/>
    <w:rsid w:val="005E5283"/>
    <w:rsid w:val="005E58F5"/>
    <w:rsid w:val="00606660"/>
    <w:rsid w:val="006157A3"/>
    <w:rsid w:val="00615CFE"/>
    <w:rsid w:val="00620E60"/>
    <w:rsid w:val="0063315A"/>
    <w:rsid w:val="0065591D"/>
    <w:rsid w:val="00662C5A"/>
    <w:rsid w:val="00664B3E"/>
    <w:rsid w:val="00670AF5"/>
    <w:rsid w:val="006C1556"/>
    <w:rsid w:val="006F267F"/>
    <w:rsid w:val="006F63F7"/>
    <w:rsid w:val="006F6F03"/>
    <w:rsid w:val="0070202A"/>
    <w:rsid w:val="00706D7A"/>
    <w:rsid w:val="00726506"/>
    <w:rsid w:val="00726AEC"/>
    <w:rsid w:val="007530CA"/>
    <w:rsid w:val="00785BEF"/>
    <w:rsid w:val="0079553D"/>
    <w:rsid w:val="007A48C0"/>
    <w:rsid w:val="007B01CC"/>
    <w:rsid w:val="007B5E3A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6D3C"/>
    <w:rsid w:val="00874D9C"/>
    <w:rsid w:val="00880D13"/>
    <w:rsid w:val="008927B5"/>
    <w:rsid w:val="008A1810"/>
    <w:rsid w:val="008A27D8"/>
    <w:rsid w:val="008B5B5D"/>
    <w:rsid w:val="008D0173"/>
    <w:rsid w:val="008D7AD5"/>
    <w:rsid w:val="00913E9D"/>
    <w:rsid w:val="00917694"/>
    <w:rsid w:val="00921769"/>
    <w:rsid w:val="009263CD"/>
    <w:rsid w:val="00930E6D"/>
    <w:rsid w:val="009628B3"/>
    <w:rsid w:val="00972CA2"/>
    <w:rsid w:val="00982B28"/>
    <w:rsid w:val="00984EA5"/>
    <w:rsid w:val="00992593"/>
    <w:rsid w:val="009B25EC"/>
    <w:rsid w:val="009B7A99"/>
    <w:rsid w:val="009C17E1"/>
    <w:rsid w:val="009C35ED"/>
    <w:rsid w:val="009C51D4"/>
    <w:rsid w:val="009C69A6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4CBB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97619"/>
    <w:rsid w:val="00BA1427"/>
    <w:rsid w:val="00BA6CAF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7A12"/>
    <w:rsid w:val="00CF11C8"/>
    <w:rsid w:val="00CF3FFD"/>
    <w:rsid w:val="00CF5ED3"/>
    <w:rsid w:val="00D00341"/>
    <w:rsid w:val="00D0494C"/>
    <w:rsid w:val="00D13C8E"/>
    <w:rsid w:val="00D14BEB"/>
    <w:rsid w:val="00D14E55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CD2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1DF3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13EB51DE-F86F-4BE4-8595-B5A5158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TSB-CIR-0063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B-CIR-11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net4/ipr/search.aspx?sector=ITU&amp;class=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96b2e75-67fd-4955-a3b0-5ab9934cb50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135451-E7D6-436D-8295-629764AD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57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Osvath, Alexandra</cp:lastModifiedBy>
  <cp:revision>35</cp:revision>
  <cp:lastPrinted>2019-03-15T11:31:00Z</cp:lastPrinted>
  <dcterms:created xsi:type="dcterms:W3CDTF">2019-03-13T13:29:00Z</dcterms:created>
  <dcterms:modified xsi:type="dcterms:W3CDTF">2019-03-15T11:31:00Z</dcterms:modified>
  <cp:category>Conference document</cp:category>
</cp:coreProperties>
</file>