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DE" w:rsidRDefault="00007BDE"/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412"/>
        <w:gridCol w:w="561"/>
        <w:gridCol w:w="2907"/>
        <w:gridCol w:w="2909"/>
        <w:gridCol w:w="2125"/>
        <w:gridCol w:w="14"/>
      </w:tblGrid>
      <w:tr w:rsidR="00036F4F" w:rsidRPr="00170D27" w:rsidTr="00A3304B">
        <w:trPr>
          <w:gridAfter w:val="1"/>
          <w:wAfter w:w="14" w:type="dxa"/>
          <w:cantSplit/>
          <w:jc w:val="center"/>
        </w:trPr>
        <w:tc>
          <w:tcPr>
            <w:tcW w:w="1314" w:type="dxa"/>
            <w:gridSpan w:val="2"/>
            <w:vAlign w:val="center"/>
          </w:tcPr>
          <w:p w:rsidR="00036F4F" w:rsidRPr="00170D27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3"/>
            <w:vAlign w:val="center"/>
          </w:tcPr>
          <w:p w:rsidR="00036F4F" w:rsidRPr="00170D27" w:rsidRDefault="00036F4F" w:rsidP="00A3304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36F4F" w:rsidRPr="00170D27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5" w:type="dxa"/>
            <w:vAlign w:val="center"/>
          </w:tcPr>
          <w:p w:rsidR="00036F4F" w:rsidRPr="00170D27" w:rsidRDefault="00036F4F" w:rsidP="00A3304B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:rsidTr="00A3304B">
        <w:trPr>
          <w:cantSplit/>
          <w:jc w:val="center"/>
        </w:trPr>
        <w:tc>
          <w:tcPr>
            <w:tcW w:w="1875" w:type="dxa"/>
            <w:gridSpan w:val="3"/>
          </w:tcPr>
          <w:p w:rsidR="00036F4F" w:rsidRPr="00697BC1" w:rsidRDefault="00036F4F" w:rsidP="00A3304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7" w:type="dxa"/>
          </w:tcPr>
          <w:p w:rsidR="00036F4F" w:rsidRPr="00697BC1" w:rsidRDefault="00036F4F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8" w:type="dxa"/>
            <w:gridSpan w:val="3"/>
          </w:tcPr>
          <w:p w:rsidR="00036F4F" w:rsidRPr="00697BC1" w:rsidRDefault="00036F4F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1"/>
            </w:pPr>
            <w:r w:rsidRPr="00697BC1">
              <w:t>Genève, le</w:t>
            </w:r>
            <w:r w:rsidR="00A3304B">
              <w:t xml:space="preserve"> </w:t>
            </w:r>
            <w:r w:rsidR="00A3304B" w:rsidRPr="00F644B6">
              <w:rPr>
                <w:szCs w:val="24"/>
                <w:lang w:val="fr-CH"/>
              </w:rPr>
              <w:t>29 mars 2019</w:t>
            </w:r>
          </w:p>
        </w:tc>
      </w:tr>
      <w:tr w:rsidR="00A3304B" w:rsidRPr="00697BC1" w:rsidTr="00A3304B">
        <w:trPr>
          <w:cantSplit/>
          <w:trHeight w:val="340"/>
          <w:jc w:val="center"/>
        </w:trPr>
        <w:tc>
          <w:tcPr>
            <w:tcW w:w="902" w:type="dxa"/>
          </w:tcPr>
          <w:p w:rsidR="00A3304B" w:rsidRPr="00DA60C1" w:rsidRDefault="00A3304B" w:rsidP="00A3304B">
            <w:pPr>
              <w:tabs>
                <w:tab w:val="left" w:pos="4111"/>
              </w:tabs>
              <w:spacing w:before="10"/>
              <w:ind w:left="57"/>
            </w:pPr>
            <w:r w:rsidRPr="00DA60C1">
              <w:t>Réf.:</w:t>
            </w:r>
          </w:p>
        </w:tc>
        <w:tc>
          <w:tcPr>
            <w:tcW w:w="3880" w:type="dxa"/>
            <w:gridSpan w:val="3"/>
          </w:tcPr>
          <w:p w:rsidR="00A3304B" w:rsidRPr="00697BC1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162</w:t>
            </w:r>
          </w:p>
          <w:p w:rsidR="00A3304B" w:rsidRPr="00036F4F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644B6">
              <w:rPr>
                <w:szCs w:val="24"/>
                <w:lang w:val="fr-CH"/>
              </w:rPr>
              <w:t>Manifestations du TSB/CB</w:t>
            </w:r>
          </w:p>
        </w:tc>
        <w:tc>
          <w:tcPr>
            <w:tcW w:w="5048" w:type="dxa"/>
            <w:gridSpan w:val="3"/>
            <w:vMerge w:val="restart"/>
          </w:tcPr>
          <w:p w:rsidR="00A3304B" w:rsidRPr="00F644B6" w:rsidRDefault="00A3304B" w:rsidP="00A3304B">
            <w:pPr>
              <w:pStyle w:val="Tabletext0"/>
              <w:ind w:left="283" w:hanging="280"/>
              <w:rPr>
                <w:szCs w:val="24"/>
                <w:lang w:val="fr-CH"/>
              </w:rPr>
            </w:pPr>
            <w:bookmarkStart w:id="0" w:name="Addressee_F"/>
            <w:bookmarkEnd w:id="0"/>
            <w:r w:rsidRPr="00A3304B">
              <w:rPr>
                <w:lang w:val="fr-CH"/>
              </w:rPr>
              <w:t>-</w:t>
            </w:r>
            <w:r w:rsidRPr="00A3304B">
              <w:rPr>
                <w:lang w:val="fr-CH"/>
              </w:rPr>
              <w:tab/>
            </w:r>
            <w:r w:rsidRPr="00F644B6">
              <w:rPr>
                <w:szCs w:val="24"/>
                <w:lang w:val="fr-CH"/>
              </w:rPr>
              <w:t>Aux administrations des États Membres de l</w:t>
            </w:r>
            <w:r>
              <w:rPr>
                <w:szCs w:val="24"/>
                <w:lang w:val="fr-CH"/>
              </w:rPr>
              <w:t>'</w:t>
            </w:r>
            <w:r w:rsidRPr="00F644B6">
              <w:rPr>
                <w:szCs w:val="24"/>
                <w:lang w:val="fr-CH"/>
              </w:rPr>
              <w:t>Union;</w:t>
            </w:r>
          </w:p>
          <w:p w:rsidR="00A3304B" w:rsidRPr="00F644B6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val="fr-CH"/>
              </w:rPr>
            </w:pPr>
            <w:r w:rsidRPr="00F644B6">
              <w:rPr>
                <w:color w:val="000000"/>
                <w:szCs w:val="24"/>
                <w:lang w:val="fr-CH"/>
              </w:rPr>
              <w:t>-</w:t>
            </w:r>
            <w:r w:rsidRPr="00F644B6">
              <w:rPr>
                <w:color w:val="000000"/>
                <w:szCs w:val="24"/>
                <w:lang w:val="fr-CH"/>
              </w:rPr>
              <w:tab/>
            </w:r>
            <w:r w:rsidRPr="00F644B6">
              <w:rPr>
                <w:szCs w:val="24"/>
                <w:lang w:val="fr-CH"/>
              </w:rPr>
              <w:t>Aux Membres du Secteur UIT-T;</w:t>
            </w:r>
          </w:p>
          <w:p w:rsidR="00A3304B" w:rsidRPr="00F644B6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val="fr-CH"/>
              </w:rPr>
            </w:pPr>
            <w:r w:rsidRPr="00F644B6">
              <w:rPr>
                <w:szCs w:val="24"/>
                <w:lang w:val="fr-CH"/>
              </w:rPr>
              <w:t>-</w:t>
            </w:r>
            <w:r w:rsidRPr="00F644B6">
              <w:rPr>
                <w:szCs w:val="24"/>
                <w:lang w:val="fr-CH"/>
              </w:rPr>
              <w:tab/>
              <w:t>Aux Associés de l</w:t>
            </w:r>
            <w:r>
              <w:rPr>
                <w:szCs w:val="24"/>
                <w:lang w:val="fr-CH"/>
              </w:rPr>
              <w:t>'</w:t>
            </w:r>
            <w:r w:rsidRPr="00F644B6">
              <w:rPr>
                <w:szCs w:val="24"/>
                <w:lang w:val="fr-CH"/>
              </w:rPr>
              <w:t>UIT-T;</w:t>
            </w:r>
          </w:p>
          <w:p w:rsidR="00A3304B" w:rsidRPr="00697BC1" w:rsidRDefault="00A3304B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F644B6">
              <w:rPr>
                <w:szCs w:val="24"/>
                <w:lang w:val="fr-CH"/>
              </w:rPr>
              <w:t>-</w:t>
            </w:r>
            <w:r w:rsidRPr="00F644B6">
              <w:rPr>
                <w:szCs w:val="24"/>
                <w:lang w:val="fr-CH"/>
              </w:rPr>
              <w:tab/>
              <w:t>Aux établissements universitaires participant aux travaux de l</w:t>
            </w:r>
            <w:r>
              <w:rPr>
                <w:szCs w:val="24"/>
                <w:lang w:val="fr-CH"/>
              </w:rPr>
              <w:t>'</w:t>
            </w:r>
            <w:r w:rsidRPr="00F644B6">
              <w:rPr>
                <w:szCs w:val="24"/>
                <w:lang w:val="fr-CH"/>
              </w:rPr>
              <w:t>UIT</w:t>
            </w:r>
          </w:p>
        </w:tc>
      </w:tr>
      <w:tr w:rsidR="00A3304B" w:rsidRPr="00697BC1" w:rsidTr="00A3304B">
        <w:trPr>
          <w:cantSplit/>
          <w:trHeight w:val="210"/>
          <w:jc w:val="center"/>
        </w:trPr>
        <w:tc>
          <w:tcPr>
            <w:tcW w:w="902" w:type="dxa"/>
          </w:tcPr>
          <w:p w:rsidR="00A3304B" w:rsidRPr="00DA60C1" w:rsidRDefault="00A3304B" w:rsidP="00A3304B">
            <w:pPr>
              <w:pStyle w:val="Tabletext0"/>
              <w:spacing w:before="0" w:after="0"/>
              <w:ind w:left="56"/>
              <w:rPr>
                <w:szCs w:val="24"/>
                <w:lang w:val="fr-CH"/>
              </w:rPr>
            </w:pPr>
            <w:r w:rsidRPr="00DA60C1">
              <w:rPr>
                <w:szCs w:val="24"/>
                <w:lang w:val="fr-CH"/>
              </w:rPr>
              <w:t>Contact:</w:t>
            </w:r>
          </w:p>
        </w:tc>
        <w:tc>
          <w:tcPr>
            <w:tcW w:w="3880" w:type="dxa"/>
            <w:gridSpan w:val="3"/>
          </w:tcPr>
          <w:p w:rsidR="00A3304B" w:rsidRPr="00F644B6" w:rsidRDefault="00A3304B" w:rsidP="00A3304B">
            <w:pPr>
              <w:pStyle w:val="Tabletext0"/>
              <w:spacing w:before="0" w:after="0"/>
              <w:ind w:left="73"/>
              <w:rPr>
                <w:b/>
                <w:szCs w:val="24"/>
                <w:lang w:val="fr-CH"/>
              </w:rPr>
            </w:pPr>
            <w:r w:rsidRPr="00F644B6">
              <w:rPr>
                <w:b/>
                <w:szCs w:val="24"/>
                <w:lang w:val="fr-CH"/>
              </w:rPr>
              <w:t>Cristina Bueti</w:t>
            </w:r>
          </w:p>
        </w:tc>
        <w:tc>
          <w:tcPr>
            <w:tcW w:w="5048" w:type="dxa"/>
            <w:gridSpan w:val="3"/>
            <w:vMerge/>
          </w:tcPr>
          <w:p w:rsidR="00A3304B" w:rsidRPr="00697BC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697BC1" w:rsidTr="00A3304B">
        <w:trPr>
          <w:cantSplit/>
          <w:trHeight w:val="209"/>
          <w:jc w:val="center"/>
        </w:trPr>
        <w:tc>
          <w:tcPr>
            <w:tcW w:w="902" w:type="dxa"/>
          </w:tcPr>
          <w:p w:rsidR="00A3304B" w:rsidRPr="00DA60C1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DA60C1">
              <w:t>Tél.:</w:t>
            </w:r>
          </w:p>
        </w:tc>
        <w:tc>
          <w:tcPr>
            <w:tcW w:w="3880" w:type="dxa"/>
            <w:gridSpan w:val="3"/>
          </w:tcPr>
          <w:p w:rsidR="00A3304B" w:rsidRPr="00697BC1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>
              <w:t xml:space="preserve"> 6301</w:t>
            </w:r>
          </w:p>
        </w:tc>
        <w:tc>
          <w:tcPr>
            <w:tcW w:w="5048" w:type="dxa"/>
            <w:gridSpan w:val="3"/>
            <w:vMerge/>
          </w:tcPr>
          <w:p w:rsidR="00A3304B" w:rsidRPr="00697BC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697BC1" w:rsidTr="00A3304B">
        <w:trPr>
          <w:cantSplit/>
          <w:jc w:val="center"/>
        </w:trPr>
        <w:tc>
          <w:tcPr>
            <w:tcW w:w="902" w:type="dxa"/>
          </w:tcPr>
          <w:p w:rsidR="00A3304B" w:rsidRPr="00DA60C1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DA60C1">
              <w:t>Fax:</w:t>
            </w:r>
          </w:p>
        </w:tc>
        <w:tc>
          <w:tcPr>
            <w:tcW w:w="3880" w:type="dxa"/>
            <w:gridSpan w:val="3"/>
          </w:tcPr>
          <w:p w:rsidR="00A3304B" w:rsidRPr="00697BC1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8" w:type="dxa"/>
            <w:gridSpan w:val="3"/>
            <w:vMerge/>
          </w:tcPr>
          <w:p w:rsidR="00A3304B" w:rsidRPr="00697BC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697BC1" w:rsidTr="00A3304B">
        <w:trPr>
          <w:cantSplit/>
          <w:jc w:val="center"/>
        </w:trPr>
        <w:tc>
          <w:tcPr>
            <w:tcW w:w="902" w:type="dxa"/>
          </w:tcPr>
          <w:p w:rsidR="00A3304B" w:rsidRPr="00DA60C1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DA60C1">
              <w:t>E-mail:</w:t>
            </w:r>
          </w:p>
        </w:tc>
        <w:tc>
          <w:tcPr>
            <w:tcW w:w="3880" w:type="dxa"/>
            <w:gridSpan w:val="3"/>
          </w:tcPr>
          <w:p w:rsidR="00A3304B" w:rsidRPr="00697BC1" w:rsidRDefault="002E7FD3" w:rsidP="00A3304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3304B" w:rsidRPr="00F644B6">
                <w:rPr>
                  <w:rStyle w:val="Hyperlink"/>
                  <w:szCs w:val="24"/>
                  <w:lang w:val="fr-CH"/>
                </w:rPr>
                <w:t>u4ssc@itu.int</w:t>
              </w:r>
            </w:hyperlink>
          </w:p>
        </w:tc>
        <w:tc>
          <w:tcPr>
            <w:tcW w:w="5048" w:type="dxa"/>
            <w:gridSpan w:val="3"/>
            <w:vMerge/>
          </w:tcPr>
          <w:p w:rsidR="00A3304B" w:rsidRPr="00697BC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:rsidTr="00A3304B">
        <w:trPr>
          <w:cantSplit/>
          <w:jc w:val="center"/>
        </w:trPr>
        <w:tc>
          <w:tcPr>
            <w:tcW w:w="902" w:type="dxa"/>
          </w:tcPr>
          <w:p w:rsidR="00517A03" w:rsidRPr="00DA60C1" w:rsidRDefault="00517A03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880" w:type="dxa"/>
            <w:gridSpan w:val="3"/>
          </w:tcPr>
          <w:p w:rsidR="00517A03" w:rsidRPr="00697BC1" w:rsidRDefault="00517A03" w:rsidP="00A330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8" w:type="dxa"/>
            <w:gridSpan w:val="3"/>
          </w:tcPr>
          <w:p w:rsidR="00517A03" w:rsidRPr="00697BC1" w:rsidRDefault="00517A03" w:rsidP="00DA60C1">
            <w:pPr>
              <w:tabs>
                <w:tab w:val="left" w:pos="4111"/>
              </w:tabs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A3304B" w:rsidRPr="00F644B6" w:rsidRDefault="00A3304B" w:rsidP="00A3304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CH"/>
              </w:rPr>
            </w:pPr>
            <w:r w:rsidRPr="00F644B6">
              <w:rPr>
                <w:szCs w:val="24"/>
                <w:lang w:val="fr-CH"/>
              </w:rPr>
              <w:t>-</w:t>
            </w:r>
            <w:r w:rsidRPr="00F644B6">
              <w:rPr>
                <w:szCs w:val="24"/>
                <w:lang w:val="fr-CH"/>
              </w:rPr>
              <w:tab/>
              <w:t>Aux Présidents et Vice-Présidents des commissions d</w:t>
            </w:r>
            <w:r>
              <w:rPr>
                <w:szCs w:val="24"/>
                <w:lang w:val="fr-CH"/>
              </w:rPr>
              <w:t>'</w:t>
            </w:r>
            <w:r w:rsidRPr="00F644B6">
              <w:rPr>
                <w:szCs w:val="24"/>
                <w:lang w:val="fr-CH"/>
              </w:rPr>
              <w:t>études de l</w:t>
            </w:r>
            <w:r>
              <w:rPr>
                <w:szCs w:val="24"/>
                <w:lang w:val="fr-CH"/>
              </w:rPr>
              <w:t>'</w:t>
            </w:r>
            <w:r w:rsidRPr="00F644B6">
              <w:rPr>
                <w:szCs w:val="24"/>
                <w:lang w:val="fr-CH"/>
              </w:rPr>
              <w:t>UIT-T;</w:t>
            </w:r>
          </w:p>
          <w:p w:rsidR="00A3304B" w:rsidRPr="00F644B6" w:rsidRDefault="00A3304B" w:rsidP="00A3304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CH"/>
              </w:rPr>
            </w:pPr>
            <w:r w:rsidRPr="00F644B6">
              <w:rPr>
                <w:szCs w:val="24"/>
                <w:lang w:val="fr-CH"/>
              </w:rPr>
              <w:t>-</w:t>
            </w:r>
            <w:r w:rsidRPr="00F644B6">
              <w:rPr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>A la Directrice</w:t>
            </w:r>
            <w:r w:rsidRPr="00F644B6">
              <w:rPr>
                <w:szCs w:val="24"/>
                <w:lang w:val="fr-CH"/>
              </w:rPr>
              <w:t xml:space="preserve"> du Bureau de développement des</w:t>
            </w:r>
            <w:r>
              <w:rPr>
                <w:szCs w:val="24"/>
                <w:lang w:val="fr-CH"/>
              </w:rPr>
              <w:t> </w:t>
            </w:r>
            <w:r w:rsidRPr="00F644B6">
              <w:rPr>
                <w:szCs w:val="24"/>
                <w:lang w:val="fr-CH"/>
              </w:rPr>
              <w:t>télécommunications;</w:t>
            </w:r>
          </w:p>
          <w:p w:rsidR="00517A03" w:rsidRPr="00697BC1" w:rsidRDefault="00A3304B" w:rsidP="00A330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644B6">
              <w:rPr>
                <w:szCs w:val="24"/>
                <w:lang w:val="fr-CH"/>
              </w:rPr>
              <w:t>-</w:t>
            </w:r>
            <w:r w:rsidRPr="00F644B6">
              <w:rPr>
                <w:szCs w:val="24"/>
                <w:lang w:val="fr-CH"/>
              </w:rPr>
              <w:tab/>
              <w:t>Au Directeur du Bureau des radiocommunications</w:t>
            </w:r>
          </w:p>
        </w:tc>
      </w:tr>
      <w:tr w:rsidR="00517A03" w:rsidRPr="00AA131B" w:rsidTr="00007BDE">
        <w:trPr>
          <w:gridAfter w:val="1"/>
          <w:wAfter w:w="14" w:type="dxa"/>
          <w:cantSplit/>
          <w:trHeight w:val="599"/>
          <w:jc w:val="center"/>
        </w:trPr>
        <w:tc>
          <w:tcPr>
            <w:tcW w:w="902" w:type="dxa"/>
          </w:tcPr>
          <w:p w:rsidR="00517A03" w:rsidRPr="00DA60C1" w:rsidRDefault="00517A03" w:rsidP="00A3304B">
            <w:pPr>
              <w:tabs>
                <w:tab w:val="left" w:pos="4111"/>
              </w:tabs>
              <w:spacing w:before="240"/>
              <w:ind w:left="57"/>
              <w:rPr>
                <w:szCs w:val="22"/>
              </w:rPr>
            </w:pPr>
            <w:r w:rsidRPr="00DA60C1">
              <w:rPr>
                <w:szCs w:val="22"/>
              </w:rPr>
              <w:t>Objet:</w:t>
            </w:r>
          </w:p>
        </w:tc>
        <w:tc>
          <w:tcPr>
            <w:tcW w:w="8914" w:type="dxa"/>
            <w:gridSpan w:val="5"/>
          </w:tcPr>
          <w:p w:rsidR="00517A03" w:rsidRPr="00AA131B" w:rsidRDefault="00A3304B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F644B6">
              <w:rPr>
                <w:b/>
                <w:bCs/>
                <w:lang w:val="fr-CH"/>
              </w:rPr>
              <w:t>13ème Colloque sur les TIC, l</w:t>
            </w:r>
            <w:r>
              <w:rPr>
                <w:b/>
                <w:bCs/>
                <w:lang w:val="fr-CH"/>
              </w:rPr>
              <w:t>'</w:t>
            </w:r>
            <w:r w:rsidRPr="00F644B6">
              <w:rPr>
                <w:b/>
                <w:bCs/>
                <w:lang w:val="fr-CH"/>
              </w:rPr>
              <w:t xml:space="preserve">environnement et les changements climatiques </w:t>
            </w:r>
            <w:r w:rsidRPr="00F644B6">
              <w:rPr>
                <w:b/>
                <w:bCs/>
                <w:lang w:val="fr-CH"/>
              </w:rPr>
              <w:br/>
              <w:t>Genève (Suisse), 13 mai 2019</w:t>
            </w:r>
          </w:p>
        </w:tc>
      </w:tr>
    </w:tbl>
    <w:p w:rsidR="00517A03" w:rsidRPr="00697BC1" w:rsidRDefault="00517A03" w:rsidP="00DA60C1">
      <w:pPr>
        <w:spacing w:before="480"/>
      </w:pPr>
      <w:bookmarkStart w:id="1" w:name="StartTyping_F"/>
      <w:bookmarkEnd w:id="1"/>
      <w:r w:rsidRPr="00697BC1">
        <w:t>Madame, Monsieur,</w:t>
      </w:r>
    </w:p>
    <w:p w:rsidR="00A3304B" w:rsidRPr="00F644B6" w:rsidRDefault="00A3304B" w:rsidP="00DA60C1">
      <w:pPr>
        <w:tabs>
          <w:tab w:val="left" w:pos="567"/>
        </w:tabs>
        <w:rPr>
          <w:lang w:val="fr-CH"/>
        </w:rPr>
      </w:pPr>
      <w:r w:rsidRPr="00F644B6">
        <w:rPr>
          <w:bCs/>
          <w:lang w:val="fr-CH"/>
        </w:rPr>
        <w:t>1</w:t>
      </w:r>
      <w:r w:rsidRPr="00F644B6">
        <w:rPr>
          <w:lang w:val="fr-CH"/>
        </w:rPr>
        <w:tab/>
        <w:t>J</w:t>
      </w:r>
      <w:r>
        <w:rPr>
          <w:lang w:val="fr-CH"/>
        </w:rPr>
        <w:t>'</w:t>
      </w:r>
      <w:r w:rsidRPr="00F644B6">
        <w:rPr>
          <w:lang w:val="fr-CH"/>
        </w:rPr>
        <w:t>ai l</w:t>
      </w:r>
      <w:r>
        <w:rPr>
          <w:lang w:val="fr-CH"/>
        </w:rPr>
        <w:t>'</w:t>
      </w:r>
      <w:r w:rsidRPr="00F644B6">
        <w:rPr>
          <w:lang w:val="fr-CH"/>
        </w:rPr>
        <w:t>honneur de vous informer que l</w:t>
      </w:r>
      <w:r>
        <w:rPr>
          <w:lang w:val="fr-CH"/>
        </w:rPr>
        <w:t>'</w:t>
      </w:r>
      <w:r w:rsidRPr="00F644B6">
        <w:rPr>
          <w:lang w:val="fr-CH"/>
        </w:rPr>
        <w:t xml:space="preserve">Union internationale des télécommunications (UIT) organise le </w:t>
      </w:r>
      <w:r w:rsidRPr="00F644B6">
        <w:rPr>
          <w:b/>
          <w:bCs/>
          <w:lang w:val="fr-CH"/>
        </w:rPr>
        <w:t>13</w:t>
      </w:r>
      <w:r w:rsidRPr="00DA60C1">
        <w:rPr>
          <w:b/>
          <w:bCs/>
        </w:rPr>
        <w:t>ème</w:t>
      </w:r>
      <w:r w:rsidRPr="00F644B6">
        <w:rPr>
          <w:b/>
          <w:bCs/>
          <w:lang w:val="fr-CH"/>
        </w:rPr>
        <w:t xml:space="preserve"> Colloque sur les TIC, l</w:t>
      </w:r>
      <w:r>
        <w:rPr>
          <w:b/>
          <w:bCs/>
          <w:lang w:val="fr-CH"/>
        </w:rPr>
        <w:t>'</w:t>
      </w:r>
      <w:r w:rsidRPr="00F644B6">
        <w:rPr>
          <w:b/>
          <w:bCs/>
          <w:lang w:val="fr-CH"/>
        </w:rPr>
        <w:t>environnement et les changements climatiques</w:t>
      </w:r>
      <w:r>
        <w:rPr>
          <w:lang w:val="fr-CH"/>
        </w:rPr>
        <w:t xml:space="preserve">, </w:t>
      </w:r>
      <w:r w:rsidRPr="00F644B6">
        <w:rPr>
          <w:lang w:val="fr-CH"/>
        </w:rPr>
        <w:t>de concert avec les Secrétariats des Conventions de Bâle, de Rotterdam et de Stockholm, la Commission Économique pour l</w:t>
      </w:r>
      <w:r>
        <w:rPr>
          <w:lang w:val="fr-CH"/>
        </w:rPr>
        <w:t>'</w:t>
      </w:r>
      <w:r w:rsidRPr="00F644B6">
        <w:rPr>
          <w:lang w:val="fr-CH"/>
        </w:rPr>
        <w:t xml:space="preserve">Europe des Nations Unies, </w:t>
      </w:r>
      <w:r>
        <w:rPr>
          <w:lang w:val="fr-CH"/>
        </w:rPr>
        <w:t>le Programme des Nations Unies pour l'environnement</w:t>
      </w:r>
      <w:r w:rsidRPr="00F644B6">
        <w:rPr>
          <w:lang w:val="fr-CH"/>
        </w:rPr>
        <w:t>, le Secrétariat de la Convention-cadre des Nations Unies sur les changements climatiques, le Programme des Nations Unies pour les établissements humains, l</w:t>
      </w:r>
      <w:r>
        <w:rPr>
          <w:lang w:val="fr-CH"/>
        </w:rPr>
        <w:t>'</w:t>
      </w:r>
      <w:r w:rsidRPr="00F644B6">
        <w:rPr>
          <w:lang w:val="fr-CH"/>
        </w:rPr>
        <w:t xml:space="preserve">Organisation des Nations Unies pour le développement industriel et ONU-Femmes. </w:t>
      </w:r>
      <w:r>
        <w:rPr>
          <w:lang w:val="fr-CH"/>
        </w:rPr>
        <w:t>Cette manifestation</w:t>
      </w:r>
      <w:r w:rsidRPr="00F644B6">
        <w:rPr>
          <w:lang w:val="fr-CH"/>
        </w:rPr>
        <w:t xml:space="preserve"> se déroulera le </w:t>
      </w:r>
      <w:r w:rsidRPr="00F644B6">
        <w:rPr>
          <w:b/>
          <w:bCs/>
          <w:lang w:val="fr-CH"/>
        </w:rPr>
        <w:t>13 mai 2019</w:t>
      </w:r>
      <w:r w:rsidR="00E3545D">
        <w:rPr>
          <w:lang w:val="fr-CH"/>
        </w:rPr>
        <w:t xml:space="preserve"> de 11 h 00</w:t>
      </w:r>
      <w:r w:rsidRPr="00F644B6">
        <w:rPr>
          <w:lang w:val="fr-CH"/>
        </w:rPr>
        <w:t xml:space="preserve"> à 17</w:t>
      </w:r>
      <w:r w:rsidR="00E3545D">
        <w:rPr>
          <w:lang w:val="fr-CH"/>
        </w:rPr>
        <w:t xml:space="preserve"> </w:t>
      </w:r>
      <w:r w:rsidRPr="00F644B6">
        <w:rPr>
          <w:lang w:val="fr-CH"/>
        </w:rPr>
        <w:t>h</w:t>
      </w:r>
      <w:r w:rsidR="00E3545D">
        <w:rPr>
          <w:lang w:val="fr-CH"/>
        </w:rPr>
        <w:t xml:space="preserve"> </w:t>
      </w:r>
      <w:r w:rsidRPr="00F644B6">
        <w:rPr>
          <w:lang w:val="fr-CH"/>
        </w:rPr>
        <w:t xml:space="preserve">30 à </w:t>
      </w:r>
      <w:r w:rsidRPr="00F644B6">
        <w:rPr>
          <w:b/>
          <w:bCs/>
          <w:lang w:val="fr-CH"/>
        </w:rPr>
        <w:t>Genève (Suisse)</w:t>
      </w:r>
      <w:r w:rsidRPr="00F644B6">
        <w:rPr>
          <w:lang w:val="fr-CH"/>
        </w:rPr>
        <w:t xml:space="preserve">. Cette année, le Colloque aura pour thème </w:t>
      </w:r>
      <w:r w:rsidR="00DA60C1">
        <w:rPr>
          <w:lang w:val="fr-CH"/>
        </w:rPr>
        <w:t>"</w:t>
      </w:r>
      <w:r>
        <w:rPr>
          <w:lang w:val="fr-CH"/>
        </w:rPr>
        <w:t>L</w:t>
      </w:r>
      <w:r w:rsidRPr="00F644B6">
        <w:rPr>
          <w:lang w:val="fr-CH"/>
        </w:rPr>
        <w:t>e rôle joué par les nouvelles technologies pour lutter contre les changements climatiques et pour parvenir à une économie circulaire</w:t>
      </w:r>
      <w:r w:rsidR="00DA60C1">
        <w:rPr>
          <w:lang w:val="fr-CH"/>
        </w:rPr>
        <w:t>"</w:t>
      </w:r>
      <w:r w:rsidRPr="00F644B6">
        <w:rPr>
          <w:lang w:val="fr-CH"/>
        </w:rPr>
        <w:t xml:space="preserve">. </w:t>
      </w:r>
    </w:p>
    <w:p w:rsidR="00A3304B" w:rsidRPr="00F644B6" w:rsidRDefault="00A3304B" w:rsidP="00A3304B">
      <w:pPr>
        <w:rPr>
          <w:lang w:val="fr-CH"/>
        </w:rPr>
      </w:pPr>
      <w:r w:rsidRPr="00F644B6">
        <w:rPr>
          <w:lang w:val="fr-CH"/>
        </w:rPr>
        <w:t>C</w:t>
      </w:r>
      <w:r>
        <w:rPr>
          <w:lang w:val="fr-CH"/>
        </w:rPr>
        <w:t>e C</w:t>
      </w:r>
      <w:r w:rsidRPr="00F644B6">
        <w:rPr>
          <w:lang w:val="fr-CH"/>
        </w:rPr>
        <w:t xml:space="preserve">olloque se tiendra en parallèle de la prochaine réunion de la </w:t>
      </w:r>
      <w:hyperlink r:id="rId10" w:history="1">
        <w:r w:rsidRPr="00F644B6">
          <w:rPr>
            <w:rStyle w:val="Hyperlink"/>
            <w:lang w:val="fr-CH"/>
          </w:rPr>
          <w:t>Commission d</w:t>
        </w:r>
        <w:r>
          <w:rPr>
            <w:rStyle w:val="Hyperlink"/>
            <w:lang w:val="fr-CH"/>
          </w:rPr>
          <w:t>'</w:t>
        </w:r>
        <w:r w:rsidRPr="00F644B6">
          <w:rPr>
            <w:rStyle w:val="Hyperlink"/>
            <w:lang w:val="fr-CH"/>
          </w:rPr>
          <w:t>études 5 de l</w:t>
        </w:r>
        <w:r>
          <w:rPr>
            <w:rStyle w:val="Hyperlink"/>
            <w:lang w:val="fr-CH"/>
          </w:rPr>
          <w:t>'UIT</w:t>
        </w:r>
        <w:r>
          <w:rPr>
            <w:rStyle w:val="Hyperlink"/>
            <w:lang w:val="fr-CH"/>
          </w:rPr>
          <w:noBreakHyphen/>
        </w:r>
        <w:r w:rsidRPr="00F644B6">
          <w:rPr>
            <w:rStyle w:val="Hyperlink"/>
            <w:lang w:val="fr-CH"/>
          </w:rPr>
          <w:t>T</w:t>
        </w:r>
      </w:hyperlink>
      <w:r>
        <w:rPr>
          <w:lang w:val="fr-CH"/>
        </w:rPr>
        <w:t> (E</w:t>
      </w:r>
      <w:r w:rsidRPr="00F644B6">
        <w:rPr>
          <w:lang w:val="fr-CH"/>
        </w:rPr>
        <w:t>nvironnement, changements climatiques et économie circulaire)</w:t>
      </w:r>
      <w:r>
        <w:rPr>
          <w:lang w:val="fr-CH"/>
        </w:rPr>
        <w:t>, qui aura lieu du 13 au 22 </w:t>
      </w:r>
      <w:r w:rsidRPr="00F644B6">
        <w:rPr>
          <w:lang w:val="fr-CH"/>
        </w:rPr>
        <w:t>mai 2019.</w:t>
      </w:r>
    </w:p>
    <w:p w:rsidR="00A3304B" w:rsidRPr="00F644B6" w:rsidRDefault="00A3304B" w:rsidP="00A3304B">
      <w:pPr>
        <w:tabs>
          <w:tab w:val="left" w:pos="567"/>
        </w:tabs>
        <w:rPr>
          <w:lang w:val="fr-CH"/>
        </w:rPr>
      </w:pPr>
      <w:r w:rsidRPr="00F644B6">
        <w:rPr>
          <w:bCs/>
          <w:lang w:val="fr-CH"/>
        </w:rPr>
        <w:t>2</w:t>
      </w:r>
      <w:r w:rsidRPr="00F644B6">
        <w:rPr>
          <w:lang w:val="fr-CH"/>
        </w:rPr>
        <w:tab/>
        <w:t>Ce</w:t>
      </w:r>
      <w:r>
        <w:rPr>
          <w:lang w:val="fr-CH"/>
        </w:rPr>
        <w:t xml:space="preserve"> C</w:t>
      </w:r>
      <w:r w:rsidRPr="00F644B6">
        <w:rPr>
          <w:lang w:val="fr-CH"/>
        </w:rPr>
        <w:t>olloque aura lieu en anglais seulement. Il sera possible d</w:t>
      </w:r>
      <w:r>
        <w:rPr>
          <w:lang w:val="fr-CH"/>
        </w:rPr>
        <w:t>'y participer à distance.</w:t>
      </w:r>
    </w:p>
    <w:p w:rsidR="00A3304B" w:rsidRPr="00F644B6" w:rsidRDefault="00A3304B" w:rsidP="00A3304B">
      <w:pPr>
        <w:tabs>
          <w:tab w:val="left" w:pos="567"/>
        </w:tabs>
        <w:rPr>
          <w:lang w:val="fr-CH"/>
        </w:rPr>
      </w:pPr>
      <w:r w:rsidRPr="00F644B6">
        <w:rPr>
          <w:lang w:val="fr-CH"/>
        </w:rPr>
        <w:t>3</w:t>
      </w:r>
      <w:r w:rsidRPr="00F644B6">
        <w:rPr>
          <w:lang w:val="fr-CH"/>
        </w:rPr>
        <w:tab/>
        <w:t xml:space="preserve">La participation </w:t>
      </w:r>
      <w:r>
        <w:rPr>
          <w:lang w:val="fr-CH"/>
        </w:rPr>
        <w:t>au C</w:t>
      </w:r>
      <w:r w:rsidRPr="00F644B6">
        <w:rPr>
          <w:lang w:val="fr-CH"/>
        </w:rPr>
        <w:t>olloque est ouverte aux États Membres de l</w:t>
      </w:r>
      <w:r>
        <w:rPr>
          <w:lang w:val="fr-CH"/>
        </w:rPr>
        <w:t>'</w:t>
      </w:r>
      <w:r w:rsidRPr="00F644B6">
        <w:rPr>
          <w:lang w:val="fr-CH"/>
        </w:rPr>
        <w:t>UIT, aux Membres de Secteur, aux Associés de l</w:t>
      </w:r>
      <w:r>
        <w:rPr>
          <w:lang w:val="fr-CH"/>
        </w:rPr>
        <w:t>'</w:t>
      </w:r>
      <w:r w:rsidRPr="00F644B6">
        <w:rPr>
          <w:lang w:val="fr-CH"/>
        </w:rPr>
        <w:t>UIT, aux établissements universitaires participant aux travaux de l</w:t>
      </w:r>
      <w:r>
        <w:rPr>
          <w:lang w:val="fr-CH"/>
        </w:rPr>
        <w:t>'</w:t>
      </w:r>
      <w:r w:rsidRPr="00F644B6">
        <w:rPr>
          <w:lang w:val="fr-CH"/>
        </w:rPr>
        <w:t>UIT ainsi qu</w:t>
      </w:r>
      <w:r>
        <w:rPr>
          <w:lang w:val="fr-CH"/>
        </w:rPr>
        <w:t>'</w:t>
      </w:r>
      <w:r w:rsidRPr="00F644B6">
        <w:rPr>
          <w:lang w:val="fr-CH"/>
        </w:rPr>
        <w:t>à toute personne issue d</w:t>
      </w:r>
      <w:r>
        <w:rPr>
          <w:lang w:val="fr-CH"/>
        </w:rPr>
        <w:t>'</w:t>
      </w:r>
      <w:r w:rsidRPr="00F644B6">
        <w:rPr>
          <w:lang w:val="fr-CH"/>
        </w:rPr>
        <w:t>un pays Membre de l</w:t>
      </w:r>
      <w:r>
        <w:rPr>
          <w:lang w:val="fr-CH"/>
        </w:rPr>
        <w:t>'</w:t>
      </w:r>
      <w:r w:rsidRPr="00F644B6">
        <w:rPr>
          <w:lang w:val="fr-CH"/>
        </w:rPr>
        <w:t xml:space="preserve">UIT qui souhaite contribuer aux travaux. </w:t>
      </w:r>
      <w:r w:rsidRPr="00F644B6">
        <w:rPr>
          <w:color w:val="000000"/>
          <w:lang w:val="fr-CH"/>
        </w:rPr>
        <w:t>Il peut s</w:t>
      </w:r>
      <w:r>
        <w:rPr>
          <w:color w:val="000000"/>
          <w:lang w:val="fr-CH"/>
        </w:rPr>
        <w:t>'</w:t>
      </w:r>
      <w:r w:rsidRPr="00F644B6">
        <w:rPr>
          <w:color w:val="000000"/>
          <w:lang w:val="fr-CH"/>
        </w:rPr>
        <w:t>agir de personnes qui sont aussi membres d</w:t>
      </w:r>
      <w:r>
        <w:rPr>
          <w:color w:val="000000"/>
          <w:lang w:val="fr-CH"/>
        </w:rPr>
        <w:t>'</w:t>
      </w:r>
      <w:r w:rsidRPr="00F644B6">
        <w:rPr>
          <w:color w:val="000000"/>
          <w:lang w:val="fr-CH"/>
        </w:rPr>
        <w:t xml:space="preserve">organisations internationales, régionales ou nationales. </w:t>
      </w:r>
      <w:r>
        <w:rPr>
          <w:color w:val="000000"/>
          <w:lang w:val="fr-CH"/>
        </w:rPr>
        <w:t>La participation au C</w:t>
      </w:r>
      <w:r w:rsidRPr="00F644B6">
        <w:rPr>
          <w:color w:val="000000"/>
          <w:lang w:val="fr-CH"/>
        </w:rPr>
        <w:t xml:space="preserve">olloque est gratuite mais aucune bourse ne sera accordée pour le Colloque. </w:t>
      </w:r>
    </w:p>
    <w:p w:rsidR="00A3304B" w:rsidRPr="00F644B6" w:rsidRDefault="00DA60C1" w:rsidP="00A3304B">
      <w:pPr>
        <w:tabs>
          <w:tab w:val="left" w:pos="567"/>
        </w:tabs>
        <w:rPr>
          <w:lang w:val="fr-CH"/>
        </w:rPr>
      </w:pPr>
      <w:r>
        <w:rPr>
          <w:lang w:val="fr-CH"/>
        </w:rPr>
        <w:br w:type="page"/>
      </w:r>
      <w:r w:rsidR="00A3304B" w:rsidRPr="00F644B6">
        <w:rPr>
          <w:lang w:val="fr-CH"/>
        </w:rPr>
        <w:lastRenderedPageBreak/>
        <w:t>4</w:t>
      </w:r>
      <w:r w:rsidR="00A3304B" w:rsidRPr="00F644B6">
        <w:rPr>
          <w:lang w:val="fr-CH"/>
        </w:rPr>
        <w:tab/>
        <w:t>L</w:t>
      </w:r>
      <w:r w:rsidR="00A3304B">
        <w:rPr>
          <w:lang w:val="fr-CH"/>
        </w:rPr>
        <w:t>'objectif du C</w:t>
      </w:r>
      <w:r w:rsidR="00A3304B" w:rsidRPr="00F644B6">
        <w:rPr>
          <w:lang w:val="fr-CH"/>
        </w:rPr>
        <w:t xml:space="preserve">olloque est de favoriser </w:t>
      </w:r>
      <w:r w:rsidR="00A3304B">
        <w:rPr>
          <w:lang w:val="fr-CH"/>
        </w:rPr>
        <w:t>un dialogue</w:t>
      </w:r>
      <w:r w:rsidR="00A3304B" w:rsidRPr="00F644B6">
        <w:rPr>
          <w:lang w:val="fr-CH"/>
        </w:rPr>
        <w:t xml:space="preserve"> au niveau mondial sur l</w:t>
      </w:r>
      <w:r w:rsidR="00A3304B">
        <w:rPr>
          <w:lang w:val="fr-CH"/>
        </w:rPr>
        <w:t>'</w:t>
      </w:r>
      <w:r w:rsidR="00A3304B" w:rsidRPr="00F644B6">
        <w:rPr>
          <w:lang w:val="fr-CH"/>
        </w:rPr>
        <w:t xml:space="preserve">utilisation des nouvelles technologies pour accélérer les </w:t>
      </w:r>
      <w:r w:rsidR="00A3304B">
        <w:rPr>
          <w:lang w:val="fr-CH"/>
        </w:rPr>
        <w:t>mesures</w:t>
      </w:r>
      <w:r w:rsidR="00A3304B" w:rsidRPr="00F644B6">
        <w:rPr>
          <w:lang w:val="fr-CH"/>
        </w:rPr>
        <w:t xml:space="preserve"> en faveur du climat et de l</w:t>
      </w:r>
      <w:r w:rsidR="00A3304B">
        <w:rPr>
          <w:lang w:val="fr-CH"/>
        </w:rPr>
        <w:t>'</w:t>
      </w:r>
      <w:r w:rsidR="00A3304B" w:rsidRPr="00F644B6">
        <w:rPr>
          <w:lang w:val="fr-CH"/>
        </w:rPr>
        <w:t xml:space="preserve">économie circulaire. </w:t>
      </w:r>
    </w:p>
    <w:p w:rsidR="00A3304B" w:rsidRPr="00F644B6" w:rsidRDefault="00A3304B" w:rsidP="00A3304B">
      <w:pPr>
        <w:tabs>
          <w:tab w:val="left" w:pos="567"/>
        </w:tabs>
        <w:rPr>
          <w:lang w:val="fr-CH"/>
        </w:rPr>
      </w:pPr>
      <w:r w:rsidRPr="00F644B6">
        <w:rPr>
          <w:lang w:val="fr-CH"/>
        </w:rPr>
        <w:t>5</w:t>
      </w:r>
      <w:r w:rsidRPr="00F644B6">
        <w:rPr>
          <w:lang w:val="fr-CH"/>
        </w:rPr>
        <w:tab/>
        <w:t>L</w:t>
      </w:r>
      <w:r>
        <w:rPr>
          <w:lang w:val="fr-CH"/>
        </w:rPr>
        <w:t>es informations relatives au C</w:t>
      </w:r>
      <w:r w:rsidRPr="00F644B6">
        <w:rPr>
          <w:lang w:val="fr-CH"/>
        </w:rPr>
        <w:t>olloque, y compris le programme provisoire et les informations pratiques</w:t>
      </w:r>
      <w:r>
        <w:rPr>
          <w:lang w:val="fr-CH"/>
        </w:rPr>
        <w:t>,</w:t>
      </w:r>
      <w:r w:rsidRPr="00F644B6">
        <w:rPr>
          <w:lang w:val="fr-CH"/>
        </w:rPr>
        <w:t xml:space="preserve"> seront disponibles sur le site web de la manifestation à l</w:t>
      </w:r>
      <w:r>
        <w:rPr>
          <w:lang w:val="fr-CH"/>
        </w:rPr>
        <w:t>'</w:t>
      </w:r>
      <w:r w:rsidRPr="00F644B6">
        <w:rPr>
          <w:lang w:val="fr-CH"/>
        </w:rPr>
        <w:t xml:space="preserve">adresse suivante: </w:t>
      </w:r>
      <w:hyperlink r:id="rId11" w:history="1">
        <w:r w:rsidRPr="00F644B6">
          <w:rPr>
            <w:rStyle w:val="Hyperlink"/>
            <w:lang w:val="fr-CH"/>
          </w:rPr>
          <w:t>https://www.itu.int/en/ITU-T/climatechange/symposia/201905/Pages/default.aspx</w:t>
        </w:r>
      </w:hyperlink>
      <w:r w:rsidRPr="00F644B6">
        <w:rPr>
          <w:lang w:val="fr-CH"/>
        </w:rPr>
        <w:t xml:space="preserve">. Ce site web sera mis à jour périodiquement à mesure que parviendront des informations nouvelles ou modifiées. Les participants sont encouragés à consulter régulièrement le site web pour prendre connaissances des données les plus récentes. </w:t>
      </w:r>
    </w:p>
    <w:p w:rsidR="00A3304B" w:rsidRPr="00F644B6" w:rsidRDefault="00A3304B" w:rsidP="00A3304B">
      <w:pPr>
        <w:tabs>
          <w:tab w:val="left" w:pos="567"/>
        </w:tabs>
        <w:rPr>
          <w:b/>
          <w:bCs/>
          <w:lang w:val="fr-CH"/>
        </w:rPr>
      </w:pPr>
      <w:r w:rsidRPr="00F644B6">
        <w:rPr>
          <w:lang w:val="fr-CH"/>
        </w:rPr>
        <w:t>6</w:t>
      </w:r>
      <w:r w:rsidRPr="00F644B6">
        <w:rPr>
          <w:lang w:val="fr-CH"/>
        </w:rPr>
        <w:tab/>
        <w:t>Afin de permettre à l</w:t>
      </w:r>
      <w:r>
        <w:rPr>
          <w:lang w:val="fr-CH"/>
        </w:rPr>
        <w:t>'</w:t>
      </w:r>
      <w:r w:rsidRPr="00F644B6">
        <w:rPr>
          <w:lang w:val="fr-CH"/>
        </w:rPr>
        <w:t>UIT de prendre les dispositions nécessaires concernant l</w:t>
      </w:r>
      <w:r>
        <w:rPr>
          <w:lang w:val="fr-CH"/>
        </w:rPr>
        <w:t>'</w:t>
      </w:r>
      <w:r w:rsidRPr="00F644B6">
        <w:rPr>
          <w:lang w:val="fr-CH"/>
        </w:rPr>
        <w:t xml:space="preserve">organisation du </w:t>
      </w:r>
      <w:r>
        <w:rPr>
          <w:lang w:val="fr-CH"/>
        </w:rPr>
        <w:t>C</w:t>
      </w:r>
      <w:r w:rsidRPr="00F644B6">
        <w:rPr>
          <w:lang w:val="fr-CH"/>
        </w:rPr>
        <w:t xml:space="preserve">olloque, nous vous saurions gré de bien vouloir vous inscrire au moyen du </w:t>
      </w:r>
      <w:hyperlink r:id="rId12" w:history="1">
        <w:r w:rsidRPr="00F644B6">
          <w:rPr>
            <w:rStyle w:val="Hyperlink"/>
            <w:lang w:val="fr-CH"/>
          </w:rPr>
          <w:t>formulaire en ligne</w:t>
        </w:r>
      </w:hyperlink>
      <w:r w:rsidRPr="00F644B6">
        <w:rPr>
          <w:lang w:val="fr-CH"/>
        </w:rPr>
        <w:t xml:space="preserve"> dès que possible, et </w:t>
      </w:r>
      <w:r w:rsidRPr="00F644B6">
        <w:rPr>
          <w:b/>
          <w:bCs/>
          <w:lang w:val="fr-CH"/>
        </w:rPr>
        <w:t>au plus tard le 9 mai 2019</w:t>
      </w:r>
      <w:r w:rsidRPr="00F644B6">
        <w:rPr>
          <w:lang w:val="fr-CH"/>
        </w:rPr>
        <w:t xml:space="preserve">. </w:t>
      </w:r>
      <w:r w:rsidRPr="00F644B6">
        <w:rPr>
          <w:b/>
          <w:bCs/>
          <w:lang w:val="fr-CH"/>
        </w:rPr>
        <w:t>Veuillez noter que l</w:t>
      </w:r>
      <w:r>
        <w:rPr>
          <w:b/>
          <w:bCs/>
          <w:lang w:val="fr-CH"/>
        </w:rPr>
        <w:t>'</w:t>
      </w:r>
      <w:r w:rsidRPr="00F644B6">
        <w:rPr>
          <w:b/>
          <w:bCs/>
          <w:lang w:val="fr-CH"/>
        </w:rPr>
        <w:t>inscription</w:t>
      </w:r>
      <w:r>
        <w:rPr>
          <w:b/>
          <w:bCs/>
          <w:lang w:val="fr-CH"/>
        </w:rPr>
        <w:t xml:space="preserve"> préalable des participants au C</w:t>
      </w:r>
      <w:r w:rsidRPr="00F644B6">
        <w:rPr>
          <w:b/>
          <w:bCs/>
          <w:lang w:val="fr-CH"/>
        </w:rPr>
        <w:t>olloque est obligatoire et se fait exclusivement en ligne</w:t>
      </w:r>
      <w:r w:rsidRPr="00F644B6">
        <w:rPr>
          <w:lang w:val="fr-CH"/>
        </w:rPr>
        <w:t xml:space="preserve">. </w:t>
      </w:r>
    </w:p>
    <w:p w:rsidR="00A3304B" w:rsidRPr="00F644B6" w:rsidRDefault="00A3304B" w:rsidP="00A3304B">
      <w:pPr>
        <w:tabs>
          <w:tab w:val="left" w:pos="567"/>
        </w:tabs>
        <w:rPr>
          <w:lang w:val="fr-CH"/>
        </w:rPr>
      </w:pPr>
      <w:r w:rsidRPr="00F644B6">
        <w:rPr>
          <w:lang w:val="fr-CH"/>
        </w:rPr>
        <w:t>7</w:t>
      </w:r>
      <w:r w:rsidRPr="00F644B6">
        <w:rPr>
          <w:lang w:val="fr-CH"/>
        </w:rPr>
        <w:tab/>
        <w:t>Nous vous rappelons que, pour les ressortissants de certains pays, l</w:t>
      </w:r>
      <w:r>
        <w:rPr>
          <w:lang w:val="fr-CH"/>
        </w:rPr>
        <w:t>'</w:t>
      </w:r>
      <w:r w:rsidRPr="00F644B6">
        <w:rPr>
          <w:lang w:val="fr-CH"/>
        </w:rPr>
        <w:t>entrée et le séjour, quelle qu</w:t>
      </w:r>
      <w:r>
        <w:rPr>
          <w:lang w:val="fr-CH"/>
        </w:rPr>
        <w:t>'</w:t>
      </w:r>
      <w:r w:rsidRPr="00F644B6">
        <w:rPr>
          <w:lang w:val="fr-CH"/>
        </w:rPr>
        <w:t>en soit la durée, en Suisse sont soumis à l</w:t>
      </w:r>
      <w:r>
        <w:rPr>
          <w:lang w:val="fr-CH"/>
        </w:rPr>
        <w:t>'</w:t>
      </w:r>
      <w:r w:rsidRPr="00F644B6">
        <w:rPr>
          <w:lang w:val="fr-CH"/>
        </w:rPr>
        <w:t>obtention d</w:t>
      </w:r>
      <w:r>
        <w:rPr>
          <w:lang w:val="fr-CH"/>
        </w:rPr>
        <w:t>'</w:t>
      </w:r>
      <w:r w:rsidRPr="00F644B6">
        <w:rPr>
          <w:lang w:val="fr-CH"/>
        </w:rPr>
        <w:t xml:space="preserve">un visa. </w:t>
      </w:r>
      <w:r w:rsidRPr="00F644B6">
        <w:rPr>
          <w:b/>
          <w:bCs/>
          <w:color w:val="000000"/>
          <w:lang w:val="fr-CH"/>
        </w:rPr>
        <w:t xml:space="preserve">Ce visa doit être demandé au moins quatre (4) semaines avant la date de début du </w:t>
      </w:r>
      <w:r>
        <w:rPr>
          <w:b/>
          <w:bCs/>
          <w:color w:val="000000"/>
          <w:lang w:val="fr-CH"/>
        </w:rPr>
        <w:t>C</w:t>
      </w:r>
      <w:r w:rsidRPr="00F644B6">
        <w:rPr>
          <w:b/>
          <w:bCs/>
          <w:color w:val="000000"/>
          <w:lang w:val="fr-CH"/>
        </w:rPr>
        <w:t>olloque</w:t>
      </w:r>
      <w:r w:rsidRPr="00F644B6">
        <w:rPr>
          <w:color w:val="000000"/>
          <w:lang w:val="fr-CH"/>
        </w:rPr>
        <w:t xml:space="preserve"> et obtenu auprès de la représentation de la Suisse (ambassade ou consulat) dans votre pays ou, à défaut, dans le pays le plus proche de votre pays de départ.</w:t>
      </w:r>
    </w:p>
    <w:p w:rsidR="00036F4F" w:rsidRDefault="00A3304B" w:rsidP="00A3304B">
      <w:pPr>
        <w:rPr>
          <w:bCs/>
        </w:rPr>
      </w:pPr>
      <w:r w:rsidRPr="00F644B6">
        <w:rPr>
          <w:color w:val="000000"/>
          <w:lang w:val="fr-CH"/>
        </w:rPr>
        <w:t xml:space="preserve">En cas de problème pour </w:t>
      </w:r>
      <w:r w:rsidRPr="00451C45">
        <w:rPr>
          <w:b/>
          <w:bCs/>
          <w:color w:val="000000"/>
          <w:lang w:val="fr-CH"/>
        </w:rPr>
        <w:t xml:space="preserve">des </w:t>
      </w:r>
      <w:r w:rsidRPr="00F644B6">
        <w:rPr>
          <w:b/>
          <w:bCs/>
          <w:color w:val="000000"/>
          <w:lang w:val="fr-CH"/>
        </w:rPr>
        <w:t>Etats Membres, des Membres de Secteur et des Associés de l</w:t>
      </w:r>
      <w:r>
        <w:rPr>
          <w:b/>
          <w:bCs/>
          <w:color w:val="000000"/>
          <w:lang w:val="fr-CH"/>
        </w:rPr>
        <w:t>'</w:t>
      </w:r>
      <w:r w:rsidRPr="00F644B6">
        <w:rPr>
          <w:b/>
          <w:bCs/>
          <w:color w:val="000000"/>
          <w:lang w:val="fr-CH"/>
        </w:rPr>
        <w:t>UIT</w:t>
      </w:r>
      <w:r w:rsidRPr="00F644B6">
        <w:rPr>
          <w:color w:val="000000"/>
          <w:lang w:val="fr-CH"/>
        </w:rPr>
        <w:t xml:space="preserve"> </w:t>
      </w:r>
      <w:r w:rsidRPr="00F644B6">
        <w:rPr>
          <w:b/>
          <w:bCs/>
          <w:color w:val="000000"/>
          <w:lang w:val="fr-CH"/>
        </w:rPr>
        <w:t>ou des établissements universitaires participant aux travaux de l</w:t>
      </w:r>
      <w:r>
        <w:rPr>
          <w:b/>
          <w:bCs/>
          <w:color w:val="000000"/>
          <w:lang w:val="fr-CH"/>
        </w:rPr>
        <w:t>'</w:t>
      </w:r>
      <w:r w:rsidRPr="00F644B6">
        <w:rPr>
          <w:b/>
          <w:bCs/>
          <w:color w:val="000000"/>
          <w:lang w:val="fr-CH"/>
        </w:rPr>
        <w:t>UIT</w:t>
      </w:r>
      <w:r w:rsidRPr="00F644B6">
        <w:rPr>
          <w:color w:val="000000"/>
          <w:lang w:val="fr-CH"/>
        </w:rPr>
        <w:t>, et sur demande officielle de leur part au TSB, l</w:t>
      </w:r>
      <w:r>
        <w:rPr>
          <w:color w:val="000000"/>
          <w:lang w:val="fr-CH"/>
        </w:rPr>
        <w:t>'</w:t>
      </w:r>
      <w:r w:rsidRPr="00F644B6">
        <w:rPr>
          <w:color w:val="000000"/>
          <w:lang w:val="fr-CH"/>
        </w:rPr>
        <w:t>Union peut intervenir auprès des autorités suisses compétentes pour faciliter l</w:t>
      </w:r>
      <w:r>
        <w:rPr>
          <w:color w:val="000000"/>
          <w:lang w:val="fr-CH"/>
        </w:rPr>
        <w:t>'</w:t>
      </w:r>
      <w:r w:rsidRPr="00F644B6">
        <w:rPr>
          <w:color w:val="000000"/>
          <w:lang w:val="fr-CH"/>
        </w:rPr>
        <w:t xml:space="preserve">émission du visa, mais uniquement pendant la période de </w:t>
      </w:r>
      <w:r w:rsidRPr="00F644B6">
        <w:rPr>
          <w:b/>
          <w:bCs/>
          <w:color w:val="000000"/>
          <w:lang w:val="fr-CH"/>
        </w:rPr>
        <w:t>quatre</w:t>
      </w:r>
      <w:r w:rsidRPr="00F644B6">
        <w:rPr>
          <w:color w:val="000000"/>
          <w:lang w:val="fr-CH"/>
        </w:rPr>
        <w:t xml:space="preserve"> </w:t>
      </w:r>
      <w:r w:rsidRPr="00F644B6">
        <w:rPr>
          <w:b/>
          <w:bCs/>
          <w:color w:val="000000"/>
          <w:lang w:val="fr-CH"/>
        </w:rPr>
        <w:t>semaines</w:t>
      </w:r>
      <w:r w:rsidRPr="00F644B6">
        <w:rPr>
          <w:color w:val="000000"/>
          <w:lang w:val="fr-CH"/>
        </w:rPr>
        <w:t xml:space="preserve"> susmentionnée. Les demandes doivent être effectuées en cochant la case correspondante du formulaire d</w:t>
      </w:r>
      <w:r>
        <w:rPr>
          <w:color w:val="000000"/>
          <w:lang w:val="fr-CH"/>
        </w:rPr>
        <w:t>'</w:t>
      </w:r>
      <w:r w:rsidRPr="00F644B6">
        <w:rPr>
          <w:color w:val="000000"/>
          <w:lang w:val="fr-CH"/>
        </w:rPr>
        <w:t xml:space="preserve">inscription, </w:t>
      </w:r>
      <w:r w:rsidRPr="00F644B6">
        <w:rPr>
          <w:b/>
          <w:bCs/>
          <w:color w:val="000000"/>
          <w:lang w:val="fr-CH"/>
        </w:rPr>
        <w:t>au plus tard le 12 avril 2019</w:t>
      </w:r>
      <w:r w:rsidRPr="00F644B6">
        <w:rPr>
          <w:color w:val="000000"/>
          <w:lang w:val="fr-CH"/>
        </w:rPr>
        <w:t>. Les demandes doivent être envoyées à la Section des voyages de l</w:t>
      </w:r>
      <w:r>
        <w:rPr>
          <w:color w:val="000000"/>
          <w:lang w:val="fr-CH"/>
        </w:rPr>
        <w:t>'</w:t>
      </w:r>
      <w:r w:rsidRPr="00F644B6">
        <w:rPr>
          <w:color w:val="000000"/>
          <w:lang w:val="fr-CH"/>
        </w:rPr>
        <w:t xml:space="preserve">UIT </w:t>
      </w:r>
      <w:r w:rsidRPr="00F644B6">
        <w:rPr>
          <w:szCs w:val="22"/>
          <w:lang w:val="fr-CH"/>
        </w:rPr>
        <w:t>(</w:t>
      </w:r>
      <w:hyperlink r:id="rId13" w:history="1">
        <w:r w:rsidRPr="00F644B6">
          <w:rPr>
            <w:rStyle w:val="Hyperlink"/>
            <w:szCs w:val="22"/>
            <w:lang w:val="fr-CH"/>
          </w:rPr>
          <w:t>travel@itu.int</w:t>
        </w:r>
      </w:hyperlink>
      <w:r w:rsidRPr="00F644B6">
        <w:rPr>
          <w:szCs w:val="22"/>
          <w:lang w:val="fr-CH"/>
        </w:rPr>
        <w:t xml:space="preserve">), avec la mention </w:t>
      </w:r>
      <w:r>
        <w:rPr>
          <w:szCs w:val="22"/>
          <w:lang w:val="fr-CH"/>
        </w:rPr>
        <w:t>"</w:t>
      </w:r>
      <w:r w:rsidRPr="00F644B6">
        <w:rPr>
          <w:b/>
          <w:bCs/>
          <w:szCs w:val="22"/>
          <w:lang w:val="fr-CH"/>
        </w:rPr>
        <w:t>assistance pour le visa</w:t>
      </w:r>
      <w:r>
        <w:rPr>
          <w:szCs w:val="22"/>
          <w:lang w:val="fr-CH"/>
        </w:rPr>
        <w:t>"</w:t>
      </w:r>
      <w:r w:rsidRPr="00F644B6">
        <w:rPr>
          <w:szCs w:val="22"/>
          <w:lang w:val="fr-CH"/>
        </w:rPr>
        <w:t>.</w:t>
      </w:r>
    </w:p>
    <w:p w:rsidR="00BD6ECF" w:rsidRPr="00697BC1" w:rsidRDefault="00517A03" w:rsidP="00A3304B">
      <w:r w:rsidRPr="00697BC1">
        <w:t>Veuillez agréer, Madame, Monsieur, l</w:t>
      </w:r>
      <w:r w:rsidR="00167472" w:rsidRPr="00697BC1">
        <w:t>'</w:t>
      </w:r>
      <w:r w:rsidRPr="00697BC1">
        <w:t>assurance de ma haute considération.</w:t>
      </w:r>
    </w:p>
    <w:p w:rsidR="00036F4F" w:rsidRPr="00170D27" w:rsidRDefault="00036F4F" w:rsidP="002E7FD3">
      <w:pPr>
        <w:keepNext/>
        <w:keepLines/>
        <w:spacing w:after="120"/>
        <w:rPr>
          <w:i/>
          <w:iCs/>
          <w:lang w:val="fr-CH"/>
        </w:rPr>
      </w:pPr>
      <w:bookmarkStart w:id="2" w:name="_GoBack"/>
      <w:r w:rsidRPr="00170D27">
        <w:rPr>
          <w:i/>
          <w:iCs/>
          <w:lang w:val="fr-CH"/>
        </w:rPr>
        <w:t>(</w:t>
      </w:r>
      <w:proofErr w:type="gramStart"/>
      <w:r w:rsidRPr="00170D27">
        <w:rPr>
          <w:i/>
          <w:iCs/>
          <w:lang w:val="fr-CH"/>
        </w:rPr>
        <w:t>signé</w:t>
      </w:r>
      <w:proofErr w:type="gramEnd"/>
      <w:r w:rsidRPr="00170D27">
        <w:rPr>
          <w:i/>
          <w:iCs/>
          <w:lang w:val="fr-CH"/>
        </w:rPr>
        <w:t>)</w:t>
      </w:r>
    </w:p>
    <w:bookmarkEnd w:id="2"/>
    <w:p w:rsidR="00517A03" w:rsidRPr="00036F4F" w:rsidRDefault="00036F4F" w:rsidP="002E7FD3">
      <w:pPr>
        <w:keepNext/>
        <w:keepLines/>
        <w:spacing w:before="80"/>
        <w:ind w:right="-284"/>
        <w:rPr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</w:p>
    <w:sectPr w:rsidR="00517A03" w:rsidRPr="00036F4F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4B" w:rsidRDefault="00A3304B">
      <w:r>
        <w:separator/>
      </w:r>
    </w:p>
  </w:endnote>
  <w:endnote w:type="continuationSeparator" w:id="0">
    <w:p w:rsidR="00A3304B" w:rsidRDefault="00A3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4B" w:rsidRDefault="00A3304B">
      <w:r>
        <w:t>____________________</w:t>
      </w:r>
    </w:p>
  </w:footnote>
  <w:footnote w:type="continuationSeparator" w:id="0">
    <w:p w:rsidR="00A3304B" w:rsidRDefault="00A3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2E7FD3" w:rsidP="00DA60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DA60C1">
      <w:rPr>
        <w:noProof/>
        <w:sz w:val="18"/>
        <w:szCs w:val="16"/>
      </w:rPr>
      <w:br/>
      <w:t>Circulaire TSB 162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B"/>
    <w:rsid w:val="000039EE"/>
    <w:rsid w:val="00005622"/>
    <w:rsid w:val="00007BDE"/>
    <w:rsid w:val="0002519E"/>
    <w:rsid w:val="00035B43"/>
    <w:rsid w:val="00036F4F"/>
    <w:rsid w:val="000758B3"/>
    <w:rsid w:val="00084A99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2E7FD3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51C45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47B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304B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A60C1"/>
    <w:rsid w:val="00DC3D47"/>
    <w:rsid w:val="00DD77DA"/>
    <w:rsid w:val="00E06C61"/>
    <w:rsid w:val="00E13DB3"/>
    <w:rsid w:val="00E2408B"/>
    <w:rsid w:val="00E3545D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3BFB7B-21BA-4DAE-A810-38DC8D7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A330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24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59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symposia/2019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fr/ITU-T/studygroups/2017-2020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77BA-2DB7-4C76-99CD-A4699D75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41</TotalTime>
  <Pages>2</Pages>
  <Words>701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Millet, Lia</cp:lastModifiedBy>
  <cp:revision>6</cp:revision>
  <cp:lastPrinted>2019-04-08T16:18:00Z</cp:lastPrinted>
  <dcterms:created xsi:type="dcterms:W3CDTF">2019-04-04T10:08:00Z</dcterms:created>
  <dcterms:modified xsi:type="dcterms:W3CDTF">2019-04-08T16:19:00Z</dcterms:modified>
</cp:coreProperties>
</file>