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Layout w:type="fixed"/>
        <w:tblCellMar>
          <w:left w:w="0" w:type="dxa"/>
          <w:right w:w="0" w:type="dxa"/>
        </w:tblCellMar>
        <w:tblLook w:val="0000" w:firstRow="0" w:lastRow="0" w:firstColumn="0" w:lastColumn="0" w:noHBand="0" w:noVBand="0"/>
      </w:tblPr>
      <w:tblGrid>
        <w:gridCol w:w="8"/>
        <w:gridCol w:w="985"/>
        <w:gridCol w:w="425"/>
        <w:gridCol w:w="567"/>
        <w:gridCol w:w="2900"/>
        <w:gridCol w:w="2912"/>
        <w:gridCol w:w="2126"/>
        <w:gridCol w:w="8"/>
        <w:gridCol w:w="134"/>
      </w:tblGrid>
      <w:tr w:rsidR="00036F4F" w:rsidRPr="00282B49" w:rsidTr="00B25F9A">
        <w:trPr>
          <w:gridAfter w:val="2"/>
          <w:wAfter w:w="142" w:type="dxa"/>
          <w:cantSplit/>
        </w:trPr>
        <w:tc>
          <w:tcPr>
            <w:tcW w:w="1418" w:type="dxa"/>
            <w:gridSpan w:val="3"/>
            <w:vAlign w:val="center"/>
          </w:tcPr>
          <w:p w:rsidR="00036F4F" w:rsidRPr="00282B49" w:rsidRDefault="00036F4F" w:rsidP="00A26ABA">
            <w:pPr>
              <w:tabs>
                <w:tab w:val="right" w:pos="8732"/>
              </w:tabs>
              <w:spacing w:before="0"/>
              <w:rPr>
                <w:b/>
                <w:bCs/>
                <w:iCs/>
                <w:color w:val="FFFFFF"/>
                <w:sz w:val="30"/>
                <w:szCs w:val="30"/>
              </w:rPr>
            </w:pPr>
            <w:r w:rsidRPr="00282B49">
              <w:rPr>
                <w:noProof/>
                <w:lang w:val="en-US" w:eastAsia="zh-CN"/>
              </w:rPr>
              <w:drawing>
                <wp:inline distT="0" distB="0" distL="0" distR="0" wp14:anchorId="14F7886E" wp14:editId="77399F14">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rsidR="00036F4F" w:rsidRPr="00282B49" w:rsidRDefault="00036F4F" w:rsidP="00A26ABA">
            <w:pPr>
              <w:spacing w:before="0"/>
              <w:rPr>
                <w:rFonts w:cs="Times New Roman Bold"/>
                <w:b/>
                <w:bCs/>
                <w:iCs/>
                <w:smallCaps/>
                <w:sz w:val="34"/>
                <w:szCs w:val="34"/>
              </w:rPr>
            </w:pPr>
            <w:r w:rsidRPr="00282B49">
              <w:rPr>
                <w:rFonts w:cs="Times New Roman Bold"/>
                <w:b/>
                <w:bCs/>
                <w:iCs/>
                <w:smallCaps/>
                <w:sz w:val="34"/>
                <w:szCs w:val="34"/>
              </w:rPr>
              <w:t>Union internationale des télécommunications</w:t>
            </w:r>
          </w:p>
          <w:p w:rsidR="00036F4F" w:rsidRPr="00282B49" w:rsidRDefault="00036F4F" w:rsidP="00A26ABA">
            <w:pPr>
              <w:tabs>
                <w:tab w:val="right" w:pos="8732"/>
              </w:tabs>
              <w:spacing w:before="0"/>
              <w:rPr>
                <w:b/>
                <w:bCs/>
                <w:iCs/>
                <w:color w:val="FFFFFF"/>
                <w:sz w:val="30"/>
                <w:szCs w:val="30"/>
              </w:rPr>
            </w:pPr>
            <w:r w:rsidRPr="00282B49">
              <w:rPr>
                <w:rFonts w:cs="Times New Roman Bold"/>
                <w:b/>
                <w:bCs/>
                <w:iCs/>
                <w:smallCaps/>
                <w:sz w:val="28"/>
                <w:szCs w:val="28"/>
              </w:rPr>
              <w:t>B</w:t>
            </w:r>
            <w:r w:rsidRPr="00282B49">
              <w:rPr>
                <w:b/>
                <w:bCs/>
                <w:iCs/>
                <w:smallCaps/>
                <w:sz w:val="28"/>
                <w:szCs w:val="28"/>
              </w:rPr>
              <w:t>ureau de la Normalisation des Télécommunications</w:t>
            </w:r>
          </w:p>
        </w:tc>
        <w:tc>
          <w:tcPr>
            <w:tcW w:w="2126" w:type="dxa"/>
            <w:vAlign w:val="center"/>
          </w:tcPr>
          <w:p w:rsidR="00036F4F" w:rsidRPr="00282B49" w:rsidRDefault="00036F4F" w:rsidP="00A26ABA">
            <w:pPr>
              <w:spacing w:before="0"/>
              <w:jc w:val="right"/>
              <w:rPr>
                <w:color w:val="FFFFFF"/>
                <w:sz w:val="26"/>
                <w:szCs w:val="26"/>
              </w:rPr>
            </w:pPr>
          </w:p>
        </w:tc>
      </w:tr>
      <w:tr w:rsidR="00036F4F" w:rsidRPr="00282B49" w:rsidTr="00B25F9A">
        <w:trPr>
          <w:gridBefore w:val="1"/>
          <w:gridAfter w:val="1"/>
          <w:wBefore w:w="8" w:type="dxa"/>
          <w:wAfter w:w="134" w:type="dxa"/>
          <w:cantSplit/>
        </w:trPr>
        <w:tc>
          <w:tcPr>
            <w:tcW w:w="1977" w:type="dxa"/>
            <w:gridSpan w:val="3"/>
          </w:tcPr>
          <w:p w:rsidR="00036F4F" w:rsidRPr="00282B49" w:rsidRDefault="00036F4F" w:rsidP="00A26ABA">
            <w:pPr>
              <w:tabs>
                <w:tab w:val="left" w:pos="4111"/>
              </w:tabs>
              <w:spacing w:before="10"/>
              <w:ind w:left="57"/>
            </w:pPr>
          </w:p>
        </w:tc>
        <w:tc>
          <w:tcPr>
            <w:tcW w:w="2900" w:type="dxa"/>
          </w:tcPr>
          <w:p w:rsidR="00036F4F" w:rsidRPr="00282B49" w:rsidRDefault="00036F4F" w:rsidP="00A26ABA">
            <w:pPr>
              <w:tabs>
                <w:tab w:val="left" w:pos="4111"/>
              </w:tabs>
              <w:spacing w:before="10"/>
              <w:ind w:left="57"/>
              <w:rPr>
                <w:b/>
              </w:rPr>
            </w:pPr>
          </w:p>
        </w:tc>
        <w:tc>
          <w:tcPr>
            <w:tcW w:w="5046" w:type="dxa"/>
            <w:gridSpan w:val="3"/>
          </w:tcPr>
          <w:p w:rsidR="00036F4F" w:rsidRPr="00282B49" w:rsidRDefault="00036F4F" w:rsidP="00A26ABA">
            <w:pPr>
              <w:tabs>
                <w:tab w:val="clear" w:pos="794"/>
                <w:tab w:val="clear" w:pos="1191"/>
                <w:tab w:val="clear" w:pos="1588"/>
                <w:tab w:val="clear" w:pos="1985"/>
                <w:tab w:val="left" w:pos="284"/>
              </w:tabs>
              <w:spacing w:after="120"/>
              <w:ind w:left="284" w:hanging="227"/>
            </w:pPr>
            <w:r w:rsidRPr="00282B49">
              <w:t>Genève, le</w:t>
            </w:r>
            <w:r w:rsidR="00D272AB" w:rsidRPr="00282B49">
              <w:t xml:space="preserve"> </w:t>
            </w:r>
            <w:r w:rsidR="000B0952" w:rsidRPr="00282B49">
              <w:t>5 juin</w:t>
            </w:r>
            <w:r w:rsidR="00D272AB" w:rsidRPr="00282B49">
              <w:t xml:space="preserve"> 2019</w:t>
            </w:r>
          </w:p>
        </w:tc>
      </w:tr>
      <w:tr w:rsidR="00036F4F" w:rsidRPr="00282B49" w:rsidTr="00B25F9A">
        <w:trPr>
          <w:gridBefore w:val="1"/>
          <w:gridAfter w:val="1"/>
          <w:wBefore w:w="8" w:type="dxa"/>
          <w:wAfter w:w="134" w:type="dxa"/>
          <w:cantSplit/>
          <w:trHeight w:val="340"/>
        </w:trPr>
        <w:tc>
          <w:tcPr>
            <w:tcW w:w="985" w:type="dxa"/>
          </w:tcPr>
          <w:p w:rsidR="00036F4F" w:rsidRPr="00282B49" w:rsidRDefault="00036F4F" w:rsidP="00A26ABA">
            <w:pPr>
              <w:tabs>
                <w:tab w:val="left" w:pos="4111"/>
              </w:tabs>
              <w:spacing w:before="10"/>
              <w:ind w:left="57"/>
            </w:pPr>
            <w:r w:rsidRPr="00282B49">
              <w:t>Réf.:</w:t>
            </w:r>
          </w:p>
        </w:tc>
        <w:tc>
          <w:tcPr>
            <w:tcW w:w="3892" w:type="dxa"/>
            <w:gridSpan w:val="3"/>
          </w:tcPr>
          <w:p w:rsidR="00036F4F" w:rsidRPr="00282B49" w:rsidRDefault="000B0952" w:rsidP="00A26ABA">
            <w:pPr>
              <w:tabs>
                <w:tab w:val="left" w:pos="4111"/>
              </w:tabs>
              <w:spacing w:before="10"/>
              <w:ind w:left="57"/>
              <w:rPr>
                <w:b/>
              </w:rPr>
            </w:pPr>
            <w:r w:rsidRPr="00282B49">
              <w:rPr>
                <w:b/>
              </w:rPr>
              <w:t>Circulaire TSB 174</w:t>
            </w:r>
          </w:p>
        </w:tc>
        <w:tc>
          <w:tcPr>
            <w:tcW w:w="5046" w:type="dxa"/>
            <w:gridSpan w:val="3"/>
            <w:vMerge w:val="restart"/>
          </w:tcPr>
          <w:p w:rsidR="00A33E80" w:rsidRPr="00282B49" w:rsidRDefault="00A33E80" w:rsidP="00A26ABA">
            <w:pPr>
              <w:tabs>
                <w:tab w:val="clear" w:pos="794"/>
                <w:tab w:val="clear" w:pos="1191"/>
                <w:tab w:val="clear" w:pos="1588"/>
                <w:tab w:val="clear" w:pos="1985"/>
                <w:tab w:val="left" w:pos="284"/>
              </w:tabs>
              <w:spacing w:before="0"/>
              <w:ind w:left="284" w:hanging="284"/>
            </w:pPr>
            <w:bookmarkStart w:id="0" w:name="Addressee_F"/>
            <w:bookmarkEnd w:id="0"/>
            <w:r w:rsidRPr="00282B49">
              <w:t>–</w:t>
            </w:r>
            <w:r w:rsidRPr="00282B49">
              <w:tab/>
              <w:t xml:space="preserve">Aux administrations des </w:t>
            </w:r>
            <w:r w:rsidR="00BA7A03" w:rsidRPr="00282B49">
              <w:t>États</w:t>
            </w:r>
            <w:r w:rsidRPr="00282B49">
              <w:t xml:space="preserve"> Membres de l</w:t>
            </w:r>
            <w:r w:rsidR="00E916B8" w:rsidRPr="00282B49">
              <w:t>'</w:t>
            </w:r>
            <w:r w:rsidRPr="00282B49">
              <w:t>Union;</w:t>
            </w:r>
          </w:p>
          <w:p w:rsidR="00A33E80" w:rsidRPr="00282B49" w:rsidRDefault="00A33E80" w:rsidP="00A26ABA">
            <w:pPr>
              <w:tabs>
                <w:tab w:val="clear" w:pos="794"/>
                <w:tab w:val="clear" w:pos="1191"/>
                <w:tab w:val="clear" w:pos="1588"/>
                <w:tab w:val="clear" w:pos="1985"/>
                <w:tab w:val="left" w:pos="284"/>
              </w:tabs>
              <w:spacing w:before="0"/>
              <w:ind w:left="284" w:hanging="284"/>
            </w:pPr>
            <w:r w:rsidRPr="00282B49">
              <w:t>–</w:t>
            </w:r>
            <w:r w:rsidRPr="00282B49">
              <w:tab/>
              <w:t>Aux Membres du Secteur UIT-T;</w:t>
            </w:r>
          </w:p>
          <w:p w:rsidR="00A33E80" w:rsidRPr="00282B49" w:rsidRDefault="00A33E80" w:rsidP="00A26ABA">
            <w:pPr>
              <w:tabs>
                <w:tab w:val="clear" w:pos="794"/>
                <w:tab w:val="clear" w:pos="1191"/>
                <w:tab w:val="clear" w:pos="1588"/>
                <w:tab w:val="clear" w:pos="1985"/>
                <w:tab w:val="left" w:pos="284"/>
              </w:tabs>
              <w:spacing w:before="0"/>
              <w:ind w:left="284" w:hanging="284"/>
            </w:pPr>
            <w:r w:rsidRPr="00282B49">
              <w:t>–</w:t>
            </w:r>
            <w:r w:rsidRPr="00282B49">
              <w:tab/>
              <w:t>Aux Associés de l</w:t>
            </w:r>
            <w:r w:rsidR="00E916B8" w:rsidRPr="00282B49">
              <w:t>'</w:t>
            </w:r>
            <w:r w:rsidRPr="00282B49">
              <w:t>UIT-T;</w:t>
            </w:r>
          </w:p>
          <w:p w:rsidR="00036F4F" w:rsidRPr="00282B49" w:rsidRDefault="00A33E80" w:rsidP="00A26ABA">
            <w:pPr>
              <w:tabs>
                <w:tab w:val="clear" w:pos="794"/>
                <w:tab w:val="clear" w:pos="1191"/>
                <w:tab w:val="clear" w:pos="1588"/>
                <w:tab w:val="clear" w:pos="1985"/>
                <w:tab w:val="left" w:pos="284"/>
              </w:tabs>
              <w:spacing w:before="0"/>
              <w:ind w:left="284" w:hanging="284"/>
            </w:pPr>
            <w:r w:rsidRPr="00282B49">
              <w:t>–</w:t>
            </w:r>
            <w:r w:rsidRPr="00282B49">
              <w:tab/>
              <w:t>Aux établissements universitaires participant aux travaux de l</w:t>
            </w:r>
            <w:r w:rsidR="00E916B8" w:rsidRPr="00282B49">
              <w:t>'</w:t>
            </w:r>
            <w:r w:rsidRPr="00282B49">
              <w:t>UIT</w:t>
            </w:r>
          </w:p>
        </w:tc>
      </w:tr>
      <w:tr w:rsidR="00B51B88" w:rsidRPr="00282B49" w:rsidTr="00B25F9A">
        <w:trPr>
          <w:gridBefore w:val="1"/>
          <w:gridAfter w:val="1"/>
          <w:wBefore w:w="8" w:type="dxa"/>
          <w:wAfter w:w="134" w:type="dxa"/>
          <w:cantSplit/>
        </w:trPr>
        <w:tc>
          <w:tcPr>
            <w:tcW w:w="985" w:type="dxa"/>
          </w:tcPr>
          <w:p w:rsidR="00B51B88" w:rsidRPr="00282B49" w:rsidRDefault="00B51B88" w:rsidP="00A26ABA">
            <w:pPr>
              <w:tabs>
                <w:tab w:val="left" w:pos="4111"/>
              </w:tabs>
              <w:spacing w:before="10"/>
              <w:ind w:left="57"/>
            </w:pPr>
            <w:r w:rsidRPr="00282B49">
              <w:t>Contact:</w:t>
            </w:r>
          </w:p>
        </w:tc>
        <w:tc>
          <w:tcPr>
            <w:tcW w:w="3892" w:type="dxa"/>
            <w:gridSpan w:val="3"/>
          </w:tcPr>
          <w:p w:rsidR="00B51B88" w:rsidRPr="00282B49" w:rsidRDefault="000B0952" w:rsidP="00A26ABA">
            <w:pPr>
              <w:tabs>
                <w:tab w:val="left" w:pos="4111"/>
              </w:tabs>
              <w:spacing w:before="0"/>
              <w:ind w:left="57"/>
              <w:rPr>
                <w:b/>
                <w:bCs/>
              </w:rPr>
            </w:pPr>
            <w:r w:rsidRPr="00282B49">
              <w:rPr>
                <w:b/>
                <w:bCs/>
              </w:rPr>
              <w:t>Martin Adolph</w:t>
            </w:r>
          </w:p>
        </w:tc>
        <w:tc>
          <w:tcPr>
            <w:tcW w:w="5046" w:type="dxa"/>
            <w:gridSpan w:val="3"/>
            <w:vMerge/>
          </w:tcPr>
          <w:p w:rsidR="00B51B88" w:rsidRPr="00282B49" w:rsidRDefault="00B51B88" w:rsidP="00A26ABA">
            <w:pPr>
              <w:tabs>
                <w:tab w:val="left" w:pos="4111"/>
              </w:tabs>
              <w:spacing w:before="0"/>
              <w:rPr>
                <w:b/>
              </w:rPr>
            </w:pPr>
          </w:p>
        </w:tc>
      </w:tr>
      <w:tr w:rsidR="00036F4F" w:rsidRPr="00282B49" w:rsidTr="00B25F9A">
        <w:trPr>
          <w:gridBefore w:val="1"/>
          <w:gridAfter w:val="1"/>
          <w:wBefore w:w="8" w:type="dxa"/>
          <w:wAfter w:w="134" w:type="dxa"/>
          <w:cantSplit/>
        </w:trPr>
        <w:tc>
          <w:tcPr>
            <w:tcW w:w="985" w:type="dxa"/>
          </w:tcPr>
          <w:p w:rsidR="00036F4F" w:rsidRPr="00282B49" w:rsidRDefault="00036F4F" w:rsidP="00A26ABA">
            <w:pPr>
              <w:tabs>
                <w:tab w:val="left" w:pos="4111"/>
              </w:tabs>
              <w:spacing w:before="10"/>
              <w:ind w:left="57"/>
              <w:rPr>
                <w:sz w:val="20"/>
              </w:rPr>
            </w:pPr>
            <w:r w:rsidRPr="00282B49">
              <w:t>Tél.:</w:t>
            </w:r>
          </w:p>
        </w:tc>
        <w:tc>
          <w:tcPr>
            <w:tcW w:w="3892" w:type="dxa"/>
            <w:gridSpan w:val="3"/>
          </w:tcPr>
          <w:p w:rsidR="00036F4F" w:rsidRPr="00282B49" w:rsidRDefault="00036F4F" w:rsidP="00A26ABA">
            <w:pPr>
              <w:tabs>
                <w:tab w:val="left" w:pos="4111"/>
              </w:tabs>
              <w:spacing w:before="0"/>
              <w:ind w:left="57"/>
            </w:pPr>
            <w:r w:rsidRPr="00282B49">
              <w:t>+41 22 730</w:t>
            </w:r>
            <w:r w:rsidR="00D272AB" w:rsidRPr="00282B49">
              <w:t xml:space="preserve"> 6</w:t>
            </w:r>
            <w:r w:rsidR="000B0952" w:rsidRPr="00282B49">
              <w:t>828</w:t>
            </w:r>
          </w:p>
        </w:tc>
        <w:tc>
          <w:tcPr>
            <w:tcW w:w="5046" w:type="dxa"/>
            <w:gridSpan w:val="3"/>
            <w:vMerge/>
          </w:tcPr>
          <w:p w:rsidR="00036F4F" w:rsidRPr="00282B49" w:rsidRDefault="00036F4F" w:rsidP="00A26ABA">
            <w:pPr>
              <w:tabs>
                <w:tab w:val="left" w:pos="4111"/>
              </w:tabs>
              <w:spacing w:before="0"/>
              <w:rPr>
                <w:b/>
              </w:rPr>
            </w:pPr>
          </w:p>
        </w:tc>
      </w:tr>
      <w:tr w:rsidR="00DB4AC6" w:rsidRPr="00282B49" w:rsidTr="00B25F9A">
        <w:trPr>
          <w:gridBefore w:val="1"/>
          <w:gridAfter w:val="1"/>
          <w:wBefore w:w="8" w:type="dxa"/>
          <w:wAfter w:w="134" w:type="dxa"/>
          <w:cantSplit/>
        </w:trPr>
        <w:tc>
          <w:tcPr>
            <w:tcW w:w="985" w:type="dxa"/>
          </w:tcPr>
          <w:p w:rsidR="00DB4AC6" w:rsidRPr="00282B49" w:rsidRDefault="00DB4AC6" w:rsidP="00A26ABA">
            <w:pPr>
              <w:tabs>
                <w:tab w:val="left" w:pos="4111"/>
              </w:tabs>
              <w:spacing w:before="10"/>
              <w:ind w:left="57"/>
            </w:pPr>
            <w:r w:rsidRPr="00282B49">
              <w:t>Fax:</w:t>
            </w:r>
          </w:p>
        </w:tc>
        <w:tc>
          <w:tcPr>
            <w:tcW w:w="3892" w:type="dxa"/>
            <w:gridSpan w:val="3"/>
          </w:tcPr>
          <w:p w:rsidR="00DB4AC6" w:rsidRPr="00282B49" w:rsidRDefault="00DB4AC6" w:rsidP="00A26ABA">
            <w:pPr>
              <w:tabs>
                <w:tab w:val="left" w:pos="4111"/>
              </w:tabs>
              <w:spacing w:before="0"/>
              <w:ind w:left="57"/>
            </w:pPr>
            <w:r w:rsidRPr="00282B49">
              <w:t>+41 22 730 5853</w:t>
            </w:r>
          </w:p>
        </w:tc>
        <w:tc>
          <w:tcPr>
            <w:tcW w:w="5046" w:type="dxa"/>
            <w:gridSpan w:val="3"/>
            <w:vMerge/>
          </w:tcPr>
          <w:p w:rsidR="00DB4AC6" w:rsidRPr="00282B49" w:rsidRDefault="00DB4AC6" w:rsidP="00A26ABA">
            <w:pPr>
              <w:tabs>
                <w:tab w:val="left" w:pos="4111"/>
              </w:tabs>
              <w:spacing w:before="0"/>
              <w:rPr>
                <w:b/>
              </w:rPr>
            </w:pPr>
          </w:p>
        </w:tc>
      </w:tr>
      <w:tr w:rsidR="00036F4F" w:rsidRPr="00282B49" w:rsidTr="00B25F9A">
        <w:trPr>
          <w:gridBefore w:val="1"/>
          <w:gridAfter w:val="1"/>
          <w:wBefore w:w="8" w:type="dxa"/>
          <w:wAfter w:w="134" w:type="dxa"/>
          <w:cantSplit/>
        </w:trPr>
        <w:tc>
          <w:tcPr>
            <w:tcW w:w="985" w:type="dxa"/>
          </w:tcPr>
          <w:p w:rsidR="00036F4F" w:rsidRPr="00282B49" w:rsidRDefault="00837ABB" w:rsidP="00A26ABA">
            <w:pPr>
              <w:tabs>
                <w:tab w:val="left" w:pos="4111"/>
              </w:tabs>
              <w:spacing w:before="10"/>
              <w:ind w:left="57"/>
              <w:rPr>
                <w:sz w:val="20"/>
              </w:rPr>
            </w:pPr>
            <w:r>
              <w:t>Courriel</w:t>
            </w:r>
            <w:r w:rsidR="00DB4AC6" w:rsidRPr="00282B49">
              <w:t>:</w:t>
            </w:r>
          </w:p>
        </w:tc>
        <w:tc>
          <w:tcPr>
            <w:tcW w:w="3892" w:type="dxa"/>
            <w:gridSpan w:val="3"/>
          </w:tcPr>
          <w:p w:rsidR="00036F4F" w:rsidRPr="00282B49" w:rsidRDefault="00107669" w:rsidP="00A26ABA">
            <w:pPr>
              <w:tabs>
                <w:tab w:val="left" w:pos="4111"/>
              </w:tabs>
              <w:spacing w:before="0"/>
              <w:ind w:left="57"/>
            </w:pPr>
            <w:hyperlink r:id="rId9" w:history="1">
              <w:r w:rsidR="00DB4AC6" w:rsidRPr="00282B49">
                <w:rPr>
                  <w:rStyle w:val="Hyperlink"/>
                </w:rPr>
                <w:t>tsbevents@itu.int</w:t>
              </w:r>
            </w:hyperlink>
          </w:p>
        </w:tc>
        <w:tc>
          <w:tcPr>
            <w:tcW w:w="5046" w:type="dxa"/>
            <w:gridSpan w:val="3"/>
            <w:vMerge/>
          </w:tcPr>
          <w:p w:rsidR="00036F4F" w:rsidRPr="00282B49" w:rsidRDefault="00036F4F" w:rsidP="00A26ABA">
            <w:pPr>
              <w:tabs>
                <w:tab w:val="left" w:pos="4111"/>
              </w:tabs>
              <w:spacing w:before="0"/>
              <w:rPr>
                <w:b/>
              </w:rPr>
            </w:pPr>
          </w:p>
        </w:tc>
      </w:tr>
      <w:tr w:rsidR="00517A03" w:rsidRPr="00282B49" w:rsidTr="00B25F9A">
        <w:trPr>
          <w:gridBefore w:val="1"/>
          <w:gridAfter w:val="1"/>
          <w:wBefore w:w="8" w:type="dxa"/>
          <w:wAfter w:w="134" w:type="dxa"/>
          <w:cantSplit/>
        </w:trPr>
        <w:tc>
          <w:tcPr>
            <w:tcW w:w="985" w:type="dxa"/>
          </w:tcPr>
          <w:p w:rsidR="00517A03" w:rsidRPr="00282B49" w:rsidRDefault="00517A03" w:rsidP="00A26ABA">
            <w:pPr>
              <w:tabs>
                <w:tab w:val="left" w:pos="4111"/>
              </w:tabs>
              <w:spacing w:before="10"/>
              <w:ind w:left="57"/>
              <w:rPr>
                <w:b/>
                <w:bCs/>
                <w:sz w:val="20"/>
              </w:rPr>
            </w:pPr>
          </w:p>
        </w:tc>
        <w:tc>
          <w:tcPr>
            <w:tcW w:w="3892" w:type="dxa"/>
            <w:gridSpan w:val="3"/>
          </w:tcPr>
          <w:p w:rsidR="00517A03" w:rsidRPr="00282B49" w:rsidRDefault="00517A03" w:rsidP="00A26ABA">
            <w:pPr>
              <w:tabs>
                <w:tab w:val="left" w:pos="4111"/>
              </w:tabs>
              <w:spacing w:before="0"/>
              <w:ind w:left="57"/>
            </w:pPr>
          </w:p>
        </w:tc>
        <w:tc>
          <w:tcPr>
            <w:tcW w:w="5046" w:type="dxa"/>
            <w:gridSpan w:val="3"/>
          </w:tcPr>
          <w:p w:rsidR="00517A03" w:rsidRPr="00282B49" w:rsidRDefault="00517A03" w:rsidP="00A26ABA">
            <w:pPr>
              <w:tabs>
                <w:tab w:val="left" w:pos="4111"/>
              </w:tabs>
              <w:spacing w:before="0"/>
            </w:pPr>
            <w:r w:rsidRPr="00282B49">
              <w:rPr>
                <w:b/>
              </w:rPr>
              <w:t>Copie</w:t>
            </w:r>
            <w:r w:rsidRPr="00282B49">
              <w:t>:</w:t>
            </w:r>
          </w:p>
          <w:p w:rsidR="000B0952" w:rsidRPr="00282B49" w:rsidRDefault="000B0952" w:rsidP="00A26ABA">
            <w:pPr>
              <w:tabs>
                <w:tab w:val="clear" w:pos="794"/>
                <w:tab w:val="clear" w:pos="1191"/>
                <w:tab w:val="clear" w:pos="1588"/>
                <w:tab w:val="clear" w:pos="1985"/>
                <w:tab w:val="left" w:pos="284"/>
              </w:tabs>
              <w:spacing w:before="0"/>
              <w:ind w:left="284" w:hanging="284"/>
            </w:pPr>
            <w:r w:rsidRPr="00282B49">
              <w:t>–</w:t>
            </w:r>
            <w:r w:rsidRPr="00282B49">
              <w:tab/>
              <w:t>Aux Présidents et Vice-Prés</w:t>
            </w:r>
            <w:r w:rsidR="00F308E4" w:rsidRPr="00282B49">
              <w:t>idents des Commissions d'études</w:t>
            </w:r>
            <w:r w:rsidRPr="00282B49">
              <w:t>;</w:t>
            </w:r>
          </w:p>
          <w:p w:rsidR="000B0952" w:rsidRPr="00282B49" w:rsidRDefault="000B0952" w:rsidP="00A26ABA">
            <w:pPr>
              <w:tabs>
                <w:tab w:val="clear" w:pos="794"/>
                <w:tab w:val="clear" w:pos="1191"/>
                <w:tab w:val="clear" w:pos="1588"/>
                <w:tab w:val="clear" w:pos="1985"/>
                <w:tab w:val="left" w:pos="284"/>
              </w:tabs>
              <w:spacing w:before="0"/>
              <w:ind w:left="284" w:hanging="284"/>
            </w:pPr>
            <w:r w:rsidRPr="00282B49">
              <w:t>–</w:t>
            </w:r>
            <w:r w:rsidRPr="00282B49">
              <w:tab/>
              <w:t>À la Directrice du Bureau de développement des télécommunications;</w:t>
            </w:r>
          </w:p>
          <w:p w:rsidR="000B0952" w:rsidRPr="00282B49" w:rsidRDefault="000B0952" w:rsidP="00A26ABA">
            <w:pPr>
              <w:tabs>
                <w:tab w:val="clear" w:pos="794"/>
                <w:tab w:val="clear" w:pos="1191"/>
                <w:tab w:val="clear" w:pos="1588"/>
                <w:tab w:val="clear" w:pos="1985"/>
                <w:tab w:val="left" w:pos="284"/>
              </w:tabs>
              <w:spacing w:before="0"/>
              <w:ind w:left="284" w:hanging="284"/>
            </w:pPr>
            <w:r w:rsidRPr="00282B49">
              <w:t>–</w:t>
            </w:r>
            <w:r w:rsidRPr="00282B49">
              <w:tab/>
              <w:t>Au Directeur du Bureau des radiocommunications;</w:t>
            </w:r>
          </w:p>
          <w:p w:rsidR="000B0952" w:rsidRPr="00282B49" w:rsidRDefault="000B0952" w:rsidP="00A26ABA">
            <w:pPr>
              <w:tabs>
                <w:tab w:val="clear" w:pos="794"/>
                <w:tab w:val="clear" w:pos="1191"/>
                <w:tab w:val="clear" w:pos="1588"/>
                <w:tab w:val="clear" w:pos="1985"/>
                <w:tab w:val="left" w:pos="284"/>
              </w:tabs>
              <w:spacing w:before="0"/>
              <w:ind w:left="284" w:hanging="284"/>
            </w:pPr>
            <w:r w:rsidRPr="00282B49">
              <w:t>–</w:t>
            </w:r>
            <w:r w:rsidRPr="00282B49">
              <w:tab/>
              <w:t>Au Directeur du Bureau régional de l'UIT pour la région Asie-Pacifique à Bangkok;</w:t>
            </w:r>
          </w:p>
          <w:p w:rsidR="00517A03" w:rsidRPr="00282B49" w:rsidRDefault="000B0952" w:rsidP="00A26ABA">
            <w:pPr>
              <w:tabs>
                <w:tab w:val="clear" w:pos="794"/>
                <w:tab w:val="clear" w:pos="1191"/>
                <w:tab w:val="clear" w:pos="1588"/>
                <w:tab w:val="clear" w:pos="1985"/>
                <w:tab w:val="left" w:pos="284"/>
              </w:tabs>
              <w:spacing w:before="0"/>
              <w:ind w:left="284" w:hanging="284"/>
            </w:pPr>
            <w:r w:rsidRPr="00282B49">
              <w:t>–</w:t>
            </w:r>
            <w:r w:rsidRPr="00282B49">
              <w:tab/>
              <w:t>Au Chef du Bureau de zone de l'UIT à Jakarta</w:t>
            </w:r>
          </w:p>
        </w:tc>
      </w:tr>
      <w:tr w:rsidR="00517A03" w:rsidRPr="00282B49" w:rsidTr="00B25F9A">
        <w:trPr>
          <w:gridBefore w:val="1"/>
          <w:wBefore w:w="8" w:type="dxa"/>
          <w:cantSplit/>
          <w:trHeight w:val="680"/>
        </w:trPr>
        <w:tc>
          <w:tcPr>
            <w:tcW w:w="985" w:type="dxa"/>
          </w:tcPr>
          <w:p w:rsidR="00517A03" w:rsidRPr="00282B49" w:rsidRDefault="00517A03" w:rsidP="00B25F9A">
            <w:pPr>
              <w:tabs>
                <w:tab w:val="left" w:pos="4111"/>
              </w:tabs>
              <w:spacing w:before="240" w:after="240"/>
              <w:ind w:left="-6"/>
              <w:jc w:val="both"/>
              <w:rPr>
                <w:b/>
                <w:bCs/>
                <w:szCs w:val="24"/>
              </w:rPr>
            </w:pPr>
            <w:proofErr w:type="gramStart"/>
            <w:r w:rsidRPr="00282B49">
              <w:rPr>
                <w:b/>
                <w:bCs/>
                <w:szCs w:val="24"/>
              </w:rPr>
              <w:t>Objet:</w:t>
            </w:r>
            <w:proofErr w:type="gramEnd"/>
          </w:p>
        </w:tc>
        <w:tc>
          <w:tcPr>
            <w:tcW w:w="9072" w:type="dxa"/>
            <w:gridSpan w:val="7"/>
          </w:tcPr>
          <w:p w:rsidR="00517A03" w:rsidRPr="00282B49" w:rsidRDefault="00F308E4" w:rsidP="00B25F9A">
            <w:pPr>
              <w:tabs>
                <w:tab w:val="left" w:pos="4111"/>
              </w:tabs>
              <w:spacing w:before="240" w:after="240"/>
              <w:ind w:left="-6"/>
              <w:jc w:val="both"/>
              <w:rPr>
                <w:rFonts w:ascii="Calibri" w:eastAsia="SimSun" w:hAnsi="Calibri"/>
                <w:b/>
                <w:bCs/>
                <w:szCs w:val="24"/>
              </w:rPr>
            </w:pPr>
            <w:r w:rsidRPr="00282B49">
              <w:rPr>
                <w:rFonts w:ascii="Calibri" w:eastAsia="SimSun" w:hAnsi="Calibri"/>
                <w:b/>
                <w:bCs/>
                <w:szCs w:val="24"/>
              </w:rPr>
              <w:t>Atelier de l'UIT sur la qualité des services de télécommunication comme moteur de l'économie numérique, Singapour, 19-21 août 2019</w:t>
            </w:r>
          </w:p>
        </w:tc>
      </w:tr>
    </w:tbl>
    <w:p w:rsidR="00517A03" w:rsidRPr="00282B49" w:rsidRDefault="00517A03" w:rsidP="00B25F9A">
      <w:pPr>
        <w:spacing w:before="240"/>
        <w:jc w:val="both"/>
      </w:pPr>
      <w:bookmarkStart w:id="1" w:name="StartTyping_F"/>
      <w:bookmarkEnd w:id="1"/>
      <w:r w:rsidRPr="00282B49">
        <w:t>Madame, Monsieur,</w:t>
      </w:r>
    </w:p>
    <w:p w:rsidR="00A33E80" w:rsidRPr="00282B49" w:rsidRDefault="00A33E80" w:rsidP="00B25F9A">
      <w:pPr>
        <w:ind w:right="-194"/>
        <w:jc w:val="both"/>
      </w:pPr>
      <w:r w:rsidRPr="00282B49">
        <w:rPr>
          <w:bCs/>
        </w:rPr>
        <w:t>1</w:t>
      </w:r>
      <w:r w:rsidRPr="00282B49">
        <w:tab/>
      </w:r>
      <w:r w:rsidR="00752173" w:rsidRPr="00282B49">
        <w:t>J</w:t>
      </w:r>
      <w:r w:rsidR="00E916B8" w:rsidRPr="00282B49">
        <w:t>'</w:t>
      </w:r>
      <w:r w:rsidR="00752173" w:rsidRPr="00282B49">
        <w:t>ai l</w:t>
      </w:r>
      <w:r w:rsidR="00E916B8" w:rsidRPr="00282B49">
        <w:t>'</w:t>
      </w:r>
      <w:r w:rsidR="00752173" w:rsidRPr="00282B49">
        <w:t>honneur de vous informer que l</w:t>
      </w:r>
      <w:r w:rsidR="00E916B8" w:rsidRPr="00282B49">
        <w:t>'</w:t>
      </w:r>
      <w:r w:rsidR="00752173" w:rsidRPr="00282B49">
        <w:t xml:space="preserve">Union internationale des télécommunications (UIT) organise un atelier sur </w:t>
      </w:r>
      <w:r w:rsidR="00F308E4" w:rsidRPr="00282B49">
        <w:rPr>
          <w:rFonts w:ascii="Calibri" w:eastAsia="SimSun" w:hAnsi="Calibri"/>
          <w:b/>
          <w:bCs/>
          <w:szCs w:val="24"/>
        </w:rPr>
        <w:t>la qualité des services de télécommunication comme moteur de l'économie numérique</w:t>
      </w:r>
      <w:r w:rsidR="004712B3" w:rsidRPr="00282B49">
        <w:t xml:space="preserve">, qui se tiendra du </w:t>
      </w:r>
      <w:r w:rsidR="00C45D97" w:rsidRPr="00282B49">
        <w:rPr>
          <w:b/>
          <w:bCs/>
        </w:rPr>
        <w:t>19 au 21 août </w:t>
      </w:r>
      <w:r w:rsidR="00752173" w:rsidRPr="00282B49">
        <w:rPr>
          <w:b/>
          <w:bCs/>
        </w:rPr>
        <w:t>2019</w:t>
      </w:r>
      <w:r w:rsidR="00752173" w:rsidRPr="00282B49">
        <w:t xml:space="preserve"> </w:t>
      </w:r>
      <w:r w:rsidR="00F308E4" w:rsidRPr="00282B49">
        <w:rPr>
          <w:b/>
          <w:bCs/>
        </w:rPr>
        <w:t>à Singapour</w:t>
      </w:r>
      <w:r w:rsidR="00752173" w:rsidRPr="00282B49">
        <w:t xml:space="preserve">. </w:t>
      </w:r>
    </w:p>
    <w:p w:rsidR="00F308E4" w:rsidRPr="00282B49" w:rsidRDefault="00F308E4" w:rsidP="00B25F9A">
      <w:pPr>
        <w:ind w:right="-194"/>
        <w:jc w:val="both"/>
      </w:pPr>
      <w:r w:rsidRPr="00282B49">
        <w:t>L'atelier sera tenu à l'aimable invitation de l'</w:t>
      </w:r>
      <w:r w:rsidRPr="00282B49">
        <w:rPr>
          <w:b/>
          <w:bCs/>
        </w:rPr>
        <w:t>Info-communications Media Development Authority (IMDA).</w:t>
      </w:r>
    </w:p>
    <w:p w:rsidR="00F308E4" w:rsidRPr="00282B49" w:rsidRDefault="00C45D97" w:rsidP="00B25F9A">
      <w:pPr>
        <w:ind w:right="-194"/>
        <w:jc w:val="both"/>
      </w:pPr>
      <w:r w:rsidRPr="00282B49">
        <w:t>2</w:t>
      </w:r>
      <w:r w:rsidRPr="00282B49">
        <w:tab/>
      </w:r>
      <w:r w:rsidR="00EF0684" w:rsidRPr="00282B49">
        <w:t xml:space="preserve">Cet atelier, qui sera animé par le </w:t>
      </w:r>
      <w:r w:rsidR="00F308E4" w:rsidRPr="00282B49">
        <w:rPr>
          <w:b/>
          <w:bCs/>
        </w:rPr>
        <w:t>Groupe sur le développement de la qualité de service (QSDG)</w:t>
      </w:r>
      <w:r w:rsidR="00F308E4" w:rsidRPr="00282B49">
        <w:t xml:space="preserve">, relevant de la </w:t>
      </w:r>
      <w:r w:rsidR="00F308E4" w:rsidRPr="00282B49">
        <w:rPr>
          <w:b/>
          <w:bCs/>
        </w:rPr>
        <w:t>Commission d'études 12 de l'UIT</w:t>
      </w:r>
      <w:r w:rsidR="00EF0684" w:rsidRPr="00282B49">
        <w:rPr>
          <w:b/>
          <w:bCs/>
        </w:rPr>
        <w:t>-T</w:t>
      </w:r>
      <w:r w:rsidR="00F308E4" w:rsidRPr="00282B49">
        <w:t xml:space="preserve"> (Qualité de fonctionnement, qualité de service et qualité d'expérience), </w:t>
      </w:r>
      <w:r w:rsidR="00EF0684" w:rsidRPr="00282B49">
        <w:t xml:space="preserve">aura pour objet </w:t>
      </w:r>
      <w:r w:rsidR="00A26ABA">
        <w:t xml:space="preserve">de mettre en avant les </w:t>
      </w:r>
      <w:r w:rsidR="00EF0684" w:rsidRPr="00282B49">
        <w:t>activités de l'UIT dans le domaine de la qualité des se</w:t>
      </w:r>
      <w:r w:rsidR="003A4BB6" w:rsidRPr="00282B49">
        <w:t xml:space="preserve">rvices de télécommunication </w:t>
      </w:r>
      <w:r w:rsidR="00A26ABA">
        <w:t xml:space="preserve">dans la région </w:t>
      </w:r>
      <w:r w:rsidR="003A4BB6" w:rsidRPr="00282B49">
        <w:t>Asie</w:t>
      </w:r>
      <w:r w:rsidR="00A26ABA">
        <w:t>-</w:t>
      </w:r>
      <w:r w:rsidR="003A4BB6" w:rsidRPr="00282B49">
        <w:t xml:space="preserve">Pacifique, et de progresser dans la mise en œuvre de la </w:t>
      </w:r>
      <w:r w:rsidR="003A4BB6" w:rsidRPr="00282B49">
        <w:rPr>
          <w:b/>
          <w:bCs/>
        </w:rPr>
        <w:t>Résolution 95 de l'AMNT</w:t>
      </w:r>
      <w:r w:rsidR="003A4BB6" w:rsidRPr="00282B49">
        <w:t xml:space="preserve"> sur les initiatives prises par l'UIT-T pour mieux faire connaître les bonnes pratiques et les politiques relatives à la qualité de service.</w:t>
      </w:r>
    </w:p>
    <w:p w:rsidR="00C45D97" w:rsidRPr="00282B49" w:rsidRDefault="00C45D97" w:rsidP="00B25F9A">
      <w:pPr>
        <w:ind w:right="-194"/>
        <w:jc w:val="both"/>
        <w:rPr>
          <w:bCs/>
        </w:rPr>
      </w:pPr>
      <w:r w:rsidRPr="00282B49">
        <w:t>3</w:t>
      </w:r>
      <w:r w:rsidRPr="00282B49">
        <w:tab/>
      </w:r>
      <w:r w:rsidR="00AA41D4" w:rsidRPr="00282B49">
        <w:rPr>
          <w:bCs/>
        </w:rPr>
        <w:t>La participation est ouverte aux États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w:t>
      </w:r>
    </w:p>
    <w:p w:rsidR="00AA41D4" w:rsidRPr="00282B49" w:rsidRDefault="00AA41D4" w:rsidP="00B25F9A">
      <w:pPr>
        <w:ind w:right="-194"/>
        <w:jc w:val="both"/>
      </w:pPr>
      <w:r w:rsidRPr="00282B49">
        <w:rPr>
          <w:bCs/>
        </w:rPr>
        <w:t>4</w:t>
      </w:r>
      <w:r w:rsidRPr="00282B49">
        <w:rPr>
          <w:bCs/>
        </w:rPr>
        <w:tab/>
      </w:r>
      <w:r w:rsidRPr="00282B49">
        <w:rPr>
          <w:color w:val="000000"/>
        </w:rPr>
        <w:t xml:space="preserve">L'atelier se déroulera en anglais. </w:t>
      </w:r>
      <w:r w:rsidRPr="00282B49">
        <w:t>Aucune bourse ne sera accordée</w:t>
      </w:r>
      <w:r w:rsidRPr="00282B49">
        <w:rPr>
          <w:bCs/>
        </w:rPr>
        <w:t>.</w:t>
      </w:r>
    </w:p>
    <w:p w:rsidR="00036F4F" w:rsidRPr="00282B49" w:rsidRDefault="0064412B" w:rsidP="00B25F9A">
      <w:pPr>
        <w:ind w:right="-194"/>
        <w:jc w:val="both"/>
        <w:rPr>
          <w:bCs/>
        </w:rPr>
      </w:pPr>
      <w:r w:rsidRPr="00282B49">
        <w:rPr>
          <w:bCs/>
        </w:rPr>
        <w:t>5</w:t>
      </w:r>
      <w:r w:rsidRPr="00282B49">
        <w:rPr>
          <w:bCs/>
        </w:rPr>
        <w:tab/>
      </w:r>
      <w:r w:rsidR="00752173" w:rsidRPr="00282B49">
        <w:t>Des informations relatives à l</w:t>
      </w:r>
      <w:r w:rsidR="00E916B8" w:rsidRPr="00282B49">
        <w:t>'</w:t>
      </w:r>
      <w:r w:rsidR="00752173" w:rsidRPr="00282B49">
        <w:t xml:space="preserve">atelier, et notamment le projet de programme, </w:t>
      </w:r>
      <w:r w:rsidR="005F2FBB" w:rsidRPr="00282B49">
        <w:t>sont</w:t>
      </w:r>
      <w:r w:rsidR="00752173" w:rsidRPr="00282B49">
        <w:t xml:space="preserve"> disponibles sur le site web de la manifestation, à l</w:t>
      </w:r>
      <w:r w:rsidR="00E916B8" w:rsidRPr="00282B49">
        <w:t>'</w:t>
      </w:r>
      <w:r w:rsidR="00752173" w:rsidRPr="00282B49">
        <w:t>adresse suivante</w:t>
      </w:r>
      <w:r w:rsidRPr="00282B49">
        <w:rPr>
          <w:bCs/>
        </w:rPr>
        <w:t xml:space="preserve">: </w:t>
      </w:r>
      <w:hyperlink r:id="rId10" w:history="1">
        <w:r w:rsidR="00087A45" w:rsidRPr="00282B49">
          <w:rPr>
            <w:rStyle w:val="Hyperlink"/>
          </w:rPr>
          <w:t>https://itu.int/en/ITU-T/Workshops-and-Seminars/qos/201908/</w:t>
        </w:r>
      </w:hyperlink>
      <w:r w:rsidRPr="00282B49">
        <w:rPr>
          <w:bCs/>
        </w:rPr>
        <w:t>.</w:t>
      </w:r>
    </w:p>
    <w:p w:rsidR="0064412B" w:rsidRPr="00282B49" w:rsidRDefault="00087A45" w:rsidP="00B25F9A">
      <w:pPr>
        <w:jc w:val="both"/>
      </w:pPr>
      <w:r w:rsidRPr="00282B49">
        <w:rPr>
          <w:bCs/>
        </w:rPr>
        <w:lastRenderedPageBreak/>
        <w:t>6</w:t>
      </w:r>
      <w:r w:rsidR="0064412B" w:rsidRPr="00282B49">
        <w:rPr>
          <w:bCs/>
        </w:rPr>
        <w:tab/>
        <w:t xml:space="preserve">Vous trouverez </w:t>
      </w:r>
      <w:r w:rsidR="005F2FBB" w:rsidRPr="00282B49">
        <w:rPr>
          <w:bCs/>
        </w:rPr>
        <w:t xml:space="preserve">prochainement </w:t>
      </w:r>
      <w:r w:rsidR="0064412B" w:rsidRPr="00282B49">
        <w:rPr>
          <w:bCs/>
        </w:rPr>
        <w:t xml:space="preserve">des informations </w:t>
      </w:r>
      <w:r w:rsidR="005F2FBB" w:rsidRPr="00282B49">
        <w:rPr>
          <w:bCs/>
        </w:rPr>
        <w:t>pratiques</w:t>
      </w:r>
      <w:r w:rsidR="0064412B" w:rsidRPr="00282B49">
        <w:rPr>
          <w:bCs/>
        </w:rPr>
        <w:t xml:space="preserve"> concernant </w:t>
      </w:r>
      <w:r w:rsidR="005F2FBB" w:rsidRPr="00282B49">
        <w:rPr>
          <w:bCs/>
        </w:rPr>
        <w:t xml:space="preserve">le lieu, </w:t>
      </w:r>
      <w:r w:rsidR="0064412B" w:rsidRPr="00282B49">
        <w:rPr>
          <w:bCs/>
        </w:rPr>
        <w:t>l</w:t>
      </w:r>
      <w:r w:rsidR="00E916B8" w:rsidRPr="00282B49">
        <w:rPr>
          <w:bCs/>
        </w:rPr>
        <w:t>'</w:t>
      </w:r>
      <w:r w:rsidR="0064412B" w:rsidRPr="00282B49">
        <w:rPr>
          <w:bCs/>
        </w:rPr>
        <w:t xml:space="preserve">hébergement, les transports et les visas sur </w:t>
      </w:r>
      <w:r w:rsidR="00752173" w:rsidRPr="00282B49">
        <w:t>la page web de la manifestation</w:t>
      </w:r>
      <w:r w:rsidR="00673791" w:rsidRPr="00282B49">
        <w:t>.</w:t>
      </w:r>
    </w:p>
    <w:p w:rsidR="0064412B" w:rsidRPr="00282B49" w:rsidRDefault="00087A45" w:rsidP="00B25F9A">
      <w:pPr>
        <w:jc w:val="both"/>
      </w:pPr>
      <w:r w:rsidRPr="00282B49">
        <w:rPr>
          <w:bCs/>
        </w:rPr>
        <w:t>7</w:t>
      </w:r>
      <w:r w:rsidR="0064412B" w:rsidRPr="00282B49">
        <w:rPr>
          <w:bCs/>
        </w:rPr>
        <w:tab/>
      </w:r>
      <w:r w:rsidR="0064412B" w:rsidRPr="00282B49">
        <w:t xml:space="preserve">Afin de permettre </w:t>
      </w:r>
      <w:r w:rsidR="00752173" w:rsidRPr="00282B49">
        <w:t>au TSB</w:t>
      </w:r>
      <w:r w:rsidR="0064412B" w:rsidRPr="00282B49">
        <w:t xml:space="preserve"> de prendre les dispositions nécessaires concernant l</w:t>
      </w:r>
      <w:r w:rsidR="00E916B8" w:rsidRPr="00282B49">
        <w:t>'</w:t>
      </w:r>
      <w:r w:rsidR="0064412B" w:rsidRPr="00282B49">
        <w:t xml:space="preserve">organisation </w:t>
      </w:r>
      <w:r w:rsidR="00752173" w:rsidRPr="00282B49">
        <w:t>de l</w:t>
      </w:r>
      <w:r w:rsidR="00E916B8" w:rsidRPr="00282B49">
        <w:t>'</w:t>
      </w:r>
      <w:r w:rsidR="00752173" w:rsidRPr="00282B49">
        <w:t>atelier</w:t>
      </w:r>
      <w:r w:rsidR="0064412B" w:rsidRPr="00282B49">
        <w:t>, je vous saurais gré de bien vouloir vous inscrire au moyen du formulaire en ligne disponible à l</w:t>
      </w:r>
      <w:r w:rsidR="00E916B8" w:rsidRPr="00282B49">
        <w:t>'</w:t>
      </w:r>
      <w:r w:rsidR="0064412B" w:rsidRPr="00282B49">
        <w:t xml:space="preserve">adresse: </w:t>
      </w:r>
      <w:hyperlink r:id="rId11" w:history="1">
        <w:r w:rsidRPr="00282B49">
          <w:rPr>
            <w:rStyle w:val="Hyperlink"/>
          </w:rPr>
          <w:t>https://www.itu.int/net4/CRM/xreg/web/Registration.aspx?Event=C-00006221</w:t>
        </w:r>
      </w:hyperlink>
      <w:r w:rsidR="0064412B" w:rsidRPr="00282B49">
        <w:t xml:space="preserve">, dès que possible et </w:t>
      </w:r>
      <w:r w:rsidR="0064412B" w:rsidRPr="00282B49">
        <w:rPr>
          <w:b/>
          <w:bCs/>
        </w:rPr>
        <w:t>au plus tard le</w:t>
      </w:r>
      <w:r w:rsidR="00837ABB">
        <w:rPr>
          <w:b/>
          <w:bCs/>
        </w:rPr>
        <w:t xml:space="preserve"> </w:t>
      </w:r>
      <w:r w:rsidRPr="00282B49">
        <w:rPr>
          <w:b/>
          <w:bCs/>
        </w:rPr>
        <w:t>12 août </w:t>
      </w:r>
      <w:r w:rsidR="0064412B" w:rsidRPr="00282B49">
        <w:rPr>
          <w:b/>
          <w:bCs/>
        </w:rPr>
        <w:t>2019</w:t>
      </w:r>
      <w:r w:rsidR="0064412B" w:rsidRPr="00282B49">
        <w:t>.</w:t>
      </w:r>
      <w:r w:rsidR="0064412B" w:rsidRPr="00282B49">
        <w:rPr>
          <w:b/>
          <w:bCs/>
        </w:rPr>
        <w:t xml:space="preserve"> Veuillez noter que l</w:t>
      </w:r>
      <w:r w:rsidR="00E916B8" w:rsidRPr="00282B49">
        <w:rPr>
          <w:b/>
          <w:bCs/>
        </w:rPr>
        <w:t>'</w:t>
      </w:r>
      <w:r w:rsidR="0064412B" w:rsidRPr="00282B49">
        <w:rPr>
          <w:b/>
          <w:bCs/>
        </w:rPr>
        <w:t xml:space="preserve">inscription préalable des participants se fait exclusivement </w:t>
      </w:r>
      <w:r w:rsidR="0064412B" w:rsidRPr="00282B49">
        <w:rPr>
          <w:b/>
          <w:bCs/>
          <w:i/>
          <w:iCs/>
        </w:rPr>
        <w:t>en ligne</w:t>
      </w:r>
      <w:r w:rsidR="0064412B" w:rsidRPr="00282B49">
        <w:t>.</w:t>
      </w:r>
    </w:p>
    <w:p w:rsidR="0064412B" w:rsidRPr="00282B49" w:rsidRDefault="00A311A5" w:rsidP="00B25F9A">
      <w:pPr>
        <w:jc w:val="both"/>
        <w:rPr>
          <w:bCs/>
        </w:rPr>
      </w:pPr>
      <w:r w:rsidRPr="00282B49">
        <w:rPr>
          <w:bCs/>
        </w:rPr>
        <w:t>8</w:t>
      </w:r>
      <w:r w:rsidR="0064412B" w:rsidRPr="00282B49">
        <w:rPr>
          <w:bCs/>
        </w:rPr>
        <w:tab/>
      </w:r>
      <w:r w:rsidR="00752173" w:rsidRPr="00282B49">
        <w:rPr>
          <w:bCs/>
        </w:rPr>
        <w:t>P</w:t>
      </w:r>
      <w:r w:rsidR="0064412B" w:rsidRPr="00282B49">
        <w:rPr>
          <w:bCs/>
        </w:rPr>
        <w:t>our les ressortissants de certains pays, l</w:t>
      </w:r>
      <w:r w:rsidR="00E916B8" w:rsidRPr="00282B49">
        <w:rPr>
          <w:bCs/>
        </w:rPr>
        <w:t>'</w:t>
      </w:r>
      <w:r w:rsidR="0064412B" w:rsidRPr="00282B49">
        <w:rPr>
          <w:bCs/>
        </w:rPr>
        <w:t>entrée et le séjour, quelle qu</w:t>
      </w:r>
      <w:r w:rsidR="00E916B8" w:rsidRPr="00282B49">
        <w:rPr>
          <w:bCs/>
        </w:rPr>
        <w:t>'</w:t>
      </w:r>
      <w:r w:rsidR="005F2FBB" w:rsidRPr="00282B49">
        <w:rPr>
          <w:bCs/>
        </w:rPr>
        <w:t xml:space="preserve">en soit la durée, à Singapour </w:t>
      </w:r>
      <w:r w:rsidR="0064412B" w:rsidRPr="00282B49">
        <w:rPr>
          <w:bCs/>
        </w:rPr>
        <w:t>sont soumis à l</w:t>
      </w:r>
      <w:r w:rsidR="00E916B8" w:rsidRPr="00282B49">
        <w:rPr>
          <w:bCs/>
        </w:rPr>
        <w:t>'</w:t>
      </w:r>
      <w:r w:rsidR="0064412B" w:rsidRPr="00282B49">
        <w:rPr>
          <w:bCs/>
        </w:rPr>
        <w:t>obtention d</w:t>
      </w:r>
      <w:r w:rsidR="00E916B8" w:rsidRPr="00282B49">
        <w:rPr>
          <w:bCs/>
        </w:rPr>
        <w:t>'</w:t>
      </w:r>
      <w:r w:rsidR="0064412B" w:rsidRPr="00282B49">
        <w:rPr>
          <w:bCs/>
        </w:rPr>
        <w:t>un visa.</w:t>
      </w:r>
      <w:r w:rsidR="00E916B8" w:rsidRPr="00282B49">
        <w:t xml:space="preserve"> </w:t>
      </w:r>
      <w:r w:rsidR="00752173" w:rsidRPr="00282B49">
        <w:t xml:space="preserve">Ce visa doit être obtenu auprès de la représentation de </w:t>
      </w:r>
      <w:r w:rsidR="005F2FBB" w:rsidRPr="00282B49">
        <w:t>Singapour</w:t>
      </w:r>
      <w:r w:rsidR="00752173" w:rsidRPr="00282B49">
        <w:t xml:space="preserve"> (ambassade ou </w:t>
      </w:r>
      <w:r w:rsidR="004712B3" w:rsidRPr="00282B49">
        <w:t>consulat) dans votre pays ou, à </w:t>
      </w:r>
      <w:r w:rsidR="00752173" w:rsidRPr="00282B49">
        <w:t>défaut, dans le pays le plus proche de votre pays de départ</w:t>
      </w:r>
      <w:r w:rsidR="0064412B" w:rsidRPr="00282B49">
        <w:rPr>
          <w:bCs/>
        </w:rPr>
        <w:t>.</w:t>
      </w:r>
    </w:p>
    <w:p w:rsidR="00BD6ECF" w:rsidRPr="00282B49" w:rsidRDefault="00517A03" w:rsidP="00B25F9A">
      <w:pPr>
        <w:spacing w:before="180"/>
        <w:jc w:val="both"/>
      </w:pPr>
      <w:r w:rsidRPr="00282B49">
        <w:t>Veuillez agréer, Madame, Monsieur, l</w:t>
      </w:r>
      <w:r w:rsidR="00E916B8" w:rsidRPr="00282B49">
        <w:t>'</w:t>
      </w:r>
      <w:r w:rsidRPr="00282B49">
        <w:t>assurance de ma haute considération.</w:t>
      </w:r>
    </w:p>
    <w:p w:rsidR="00036F4F" w:rsidRPr="00282B49" w:rsidRDefault="00036F4F" w:rsidP="00A26ABA">
      <w:pPr>
        <w:keepNext/>
        <w:keepLines/>
        <w:spacing w:before="480" w:after="480"/>
        <w:rPr>
          <w:i/>
          <w:iCs/>
        </w:rPr>
      </w:pPr>
      <w:bookmarkStart w:id="2" w:name="_GoBack"/>
      <w:r w:rsidRPr="00282B49">
        <w:rPr>
          <w:i/>
          <w:iCs/>
        </w:rPr>
        <w:t>(</w:t>
      </w:r>
      <w:proofErr w:type="gramStart"/>
      <w:r w:rsidRPr="00282B49">
        <w:rPr>
          <w:i/>
          <w:iCs/>
        </w:rPr>
        <w:t>signé</w:t>
      </w:r>
      <w:proofErr w:type="gramEnd"/>
      <w:r w:rsidRPr="00282B49">
        <w:rPr>
          <w:i/>
          <w:iCs/>
        </w:rPr>
        <w:t>)</w:t>
      </w:r>
    </w:p>
    <w:bookmarkEnd w:id="2"/>
    <w:p w:rsidR="00517A03" w:rsidRPr="00282B49" w:rsidRDefault="00036F4F" w:rsidP="00A26ABA">
      <w:pPr>
        <w:keepNext/>
        <w:keepLines/>
        <w:spacing w:before="240"/>
        <w:ind w:right="-284"/>
      </w:pPr>
      <w:r w:rsidRPr="00282B49">
        <w:t>Chaesub Lee</w:t>
      </w:r>
      <w:r w:rsidRPr="00282B49">
        <w:br/>
        <w:t xml:space="preserve">Directeur du Bureau de la normalisation </w:t>
      </w:r>
      <w:r w:rsidRPr="00282B49">
        <w:br/>
        <w:t>des télécommunications</w:t>
      </w:r>
      <w:r w:rsidRPr="00282B49">
        <w:rPr>
          <w:b/>
        </w:rPr>
        <w:t xml:space="preserve"> </w:t>
      </w:r>
    </w:p>
    <w:sectPr w:rsidR="00517A03" w:rsidRPr="00282B49" w:rsidSect="00A15179">
      <w:headerReference w:type="default" r:id="rId12"/>
      <w:footerReference w:type="first" r:id="rId13"/>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747" w:rsidRDefault="00487747">
      <w:r>
        <w:separator/>
      </w:r>
    </w:p>
  </w:endnote>
  <w:endnote w:type="continuationSeparator" w:id="0">
    <w:p w:rsidR="00487747" w:rsidRDefault="00487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0A2" w:rsidRPr="00F632E9"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CH</w:t>
    </w:r>
    <w:r w:rsidRPr="00F632E9">
      <w:rPr>
        <w:sz w:val="18"/>
        <w:szCs w:val="18"/>
        <w:lang w:val="fr-CH"/>
      </w:rPr>
      <w:noBreakHyphen/>
      <w:t>1211 Genève 20</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Suisse </w:t>
    </w:r>
    <w:r w:rsidRPr="00F632E9">
      <w:rPr>
        <w:sz w:val="18"/>
        <w:szCs w:val="18"/>
        <w:lang w:val="fr-CH"/>
      </w:rPr>
      <w:br/>
      <w:t>Tél</w:t>
    </w:r>
    <w:r w:rsidR="00085F5A">
      <w:rPr>
        <w:sz w:val="18"/>
        <w:szCs w:val="18"/>
        <w:lang w:val="fr-CH"/>
      </w:rPr>
      <w:t>.</w:t>
    </w:r>
    <w:r w:rsidRPr="00F632E9">
      <w:rPr>
        <w:sz w:val="18"/>
        <w:szCs w:val="18"/>
        <w:lang w:val="fr-CH"/>
      </w:rPr>
      <w:t xml:space="preserve">: +41 22 730 5111 • Fax: +41 22 733 7256 • </w:t>
    </w:r>
    <w:r w:rsidR="00085F5A" w:rsidRPr="00F632E9">
      <w:rPr>
        <w:sz w:val="18"/>
        <w:szCs w:val="18"/>
        <w:lang w:val="fr-CH"/>
      </w:rPr>
      <w:t>Courriel</w:t>
    </w:r>
    <w:r w:rsidRPr="00F632E9">
      <w:rPr>
        <w:sz w:val="18"/>
        <w:szCs w:val="18"/>
        <w:lang w:val="fr-CH"/>
      </w:rPr>
      <w:t xml:space="preserve">: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747" w:rsidRDefault="00487747">
      <w:r>
        <w:t>____________________</w:t>
      </w:r>
    </w:p>
  </w:footnote>
  <w:footnote w:type="continuationSeparator" w:id="0">
    <w:p w:rsidR="00487747" w:rsidRDefault="00487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BC1" w:rsidRPr="00697BC1" w:rsidRDefault="00107669" w:rsidP="00C85274">
    <w:pPr>
      <w:pStyle w:val="Header"/>
      <w:spacing w:before="120" w:after="240"/>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793A39">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033863">
      <w:rPr>
        <w:noProof/>
        <w:sz w:val="18"/>
        <w:szCs w:val="16"/>
      </w:rPr>
      <w:br/>
      <w:t>Circulaire TSB 174</w:t>
    </w:r>
    <w:r w:rsidR="00CC5A37">
      <w:rPr>
        <w:noProof/>
        <w:sz w:val="18"/>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AB"/>
    <w:rsid w:val="000039EE"/>
    <w:rsid w:val="00005622"/>
    <w:rsid w:val="0002519E"/>
    <w:rsid w:val="00026E9E"/>
    <w:rsid w:val="00033863"/>
    <w:rsid w:val="00035B43"/>
    <w:rsid w:val="00036F4F"/>
    <w:rsid w:val="000758B3"/>
    <w:rsid w:val="00085F5A"/>
    <w:rsid w:val="00087A45"/>
    <w:rsid w:val="000B0952"/>
    <w:rsid w:val="000B0D96"/>
    <w:rsid w:val="000B59D8"/>
    <w:rsid w:val="000C1F6B"/>
    <w:rsid w:val="000C25CC"/>
    <w:rsid w:val="000C56BE"/>
    <w:rsid w:val="001026FD"/>
    <w:rsid w:val="00107669"/>
    <w:rsid w:val="001077FD"/>
    <w:rsid w:val="00115DD7"/>
    <w:rsid w:val="00167472"/>
    <w:rsid w:val="00167F92"/>
    <w:rsid w:val="00173738"/>
    <w:rsid w:val="001B79A3"/>
    <w:rsid w:val="001F75FA"/>
    <w:rsid w:val="002152A3"/>
    <w:rsid w:val="00282B49"/>
    <w:rsid w:val="002E395D"/>
    <w:rsid w:val="003131F0"/>
    <w:rsid w:val="00333A80"/>
    <w:rsid w:val="00341117"/>
    <w:rsid w:val="00364E95"/>
    <w:rsid w:val="00372875"/>
    <w:rsid w:val="003A4BB6"/>
    <w:rsid w:val="003B1E80"/>
    <w:rsid w:val="003B66E8"/>
    <w:rsid w:val="004033F1"/>
    <w:rsid w:val="00406B8F"/>
    <w:rsid w:val="00414B0C"/>
    <w:rsid w:val="00423C21"/>
    <w:rsid w:val="004257AC"/>
    <w:rsid w:val="0043711B"/>
    <w:rsid w:val="004712B3"/>
    <w:rsid w:val="00487747"/>
    <w:rsid w:val="004977C9"/>
    <w:rsid w:val="004B732E"/>
    <w:rsid w:val="004D51F4"/>
    <w:rsid w:val="004D64E0"/>
    <w:rsid w:val="005120A2"/>
    <w:rsid w:val="0051210D"/>
    <w:rsid w:val="005136D2"/>
    <w:rsid w:val="00517A03"/>
    <w:rsid w:val="005651E2"/>
    <w:rsid w:val="005A3DD9"/>
    <w:rsid w:val="005B1DFC"/>
    <w:rsid w:val="005B3036"/>
    <w:rsid w:val="005F2FBB"/>
    <w:rsid w:val="00601682"/>
    <w:rsid w:val="00603470"/>
    <w:rsid w:val="00625E79"/>
    <w:rsid w:val="006333F7"/>
    <w:rsid w:val="006427A1"/>
    <w:rsid w:val="0064412B"/>
    <w:rsid w:val="00644741"/>
    <w:rsid w:val="00655EA8"/>
    <w:rsid w:val="00673791"/>
    <w:rsid w:val="00697BC1"/>
    <w:rsid w:val="006A6FFE"/>
    <w:rsid w:val="006C5A91"/>
    <w:rsid w:val="00702079"/>
    <w:rsid w:val="00716BBC"/>
    <w:rsid w:val="007321BC"/>
    <w:rsid w:val="00752173"/>
    <w:rsid w:val="00760063"/>
    <w:rsid w:val="00775E4B"/>
    <w:rsid w:val="00793A39"/>
    <w:rsid w:val="0079553B"/>
    <w:rsid w:val="00795679"/>
    <w:rsid w:val="007A40FE"/>
    <w:rsid w:val="00810105"/>
    <w:rsid w:val="008157E0"/>
    <w:rsid w:val="00837ABB"/>
    <w:rsid w:val="00850477"/>
    <w:rsid w:val="00854E1D"/>
    <w:rsid w:val="008605EB"/>
    <w:rsid w:val="00887FA6"/>
    <w:rsid w:val="008C4397"/>
    <w:rsid w:val="008C465A"/>
    <w:rsid w:val="008F2C9B"/>
    <w:rsid w:val="00923CD6"/>
    <w:rsid w:val="00935AA8"/>
    <w:rsid w:val="00971C9A"/>
    <w:rsid w:val="0098653B"/>
    <w:rsid w:val="00997716"/>
    <w:rsid w:val="009D51FA"/>
    <w:rsid w:val="009F1E23"/>
    <w:rsid w:val="00A15179"/>
    <w:rsid w:val="00A26ABA"/>
    <w:rsid w:val="00A311A5"/>
    <w:rsid w:val="00A33E80"/>
    <w:rsid w:val="00A51537"/>
    <w:rsid w:val="00A5280F"/>
    <w:rsid w:val="00A5645A"/>
    <w:rsid w:val="00A60FC1"/>
    <w:rsid w:val="00A7006A"/>
    <w:rsid w:val="00A97C37"/>
    <w:rsid w:val="00AA41D4"/>
    <w:rsid w:val="00AC37B5"/>
    <w:rsid w:val="00AD752F"/>
    <w:rsid w:val="00AF08A4"/>
    <w:rsid w:val="00B25F9A"/>
    <w:rsid w:val="00B27B41"/>
    <w:rsid w:val="00B42659"/>
    <w:rsid w:val="00B51B88"/>
    <w:rsid w:val="00B8573E"/>
    <w:rsid w:val="00BA7A03"/>
    <w:rsid w:val="00BB24C0"/>
    <w:rsid w:val="00BD6ECF"/>
    <w:rsid w:val="00C26F2E"/>
    <w:rsid w:val="00C302E3"/>
    <w:rsid w:val="00C45376"/>
    <w:rsid w:val="00C45D97"/>
    <w:rsid w:val="00C84C65"/>
    <w:rsid w:val="00C85274"/>
    <w:rsid w:val="00C87A87"/>
    <w:rsid w:val="00C9028F"/>
    <w:rsid w:val="00CA0416"/>
    <w:rsid w:val="00CB1125"/>
    <w:rsid w:val="00CC5A37"/>
    <w:rsid w:val="00CD042E"/>
    <w:rsid w:val="00CF2560"/>
    <w:rsid w:val="00CF5B46"/>
    <w:rsid w:val="00D04F72"/>
    <w:rsid w:val="00D24BCF"/>
    <w:rsid w:val="00D272AB"/>
    <w:rsid w:val="00D46B68"/>
    <w:rsid w:val="00D542A5"/>
    <w:rsid w:val="00DB4AC6"/>
    <w:rsid w:val="00DC3D47"/>
    <w:rsid w:val="00DD77DA"/>
    <w:rsid w:val="00E06C61"/>
    <w:rsid w:val="00E13DB3"/>
    <w:rsid w:val="00E2408B"/>
    <w:rsid w:val="00E554A0"/>
    <w:rsid w:val="00E62CEA"/>
    <w:rsid w:val="00E72AE1"/>
    <w:rsid w:val="00E916B8"/>
    <w:rsid w:val="00ED6A7A"/>
    <w:rsid w:val="00EE4C36"/>
    <w:rsid w:val="00EF0684"/>
    <w:rsid w:val="00F05C0F"/>
    <w:rsid w:val="00F308E4"/>
    <w:rsid w:val="00F346CE"/>
    <w:rsid w:val="00F34F98"/>
    <w:rsid w:val="00F40540"/>
    <w:rsid w:val="00F67402"/>
    <w:rsid w:val="00F766A2"/>
    <w:rsid w:val="00F9451D"/>
    <w:rsid w:val="00FF619E"/>
    <w:rsid w:val="00FF71F2"/>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3C7D17"/>
  <w15:docId w15:val="{A4FF611A-AB6D-4FD5-820F-45394D291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Tabletext0">
    <w:name w:val="Table_text"/>
    <w:basedOn w:val="Normal"/>
    <w:rsid w:val="00752173"/>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rFonts w:ascii="Calibri" w:eastAsia="SimSun" w:hAnsi="Calibri"/>
      <w:lang w:val="en-GB"/>
    </w:rPr>
  </w:style>
  <w:style w:type="paragraph" w:styleId="BalloonText">
    <w:name w:val="Balloon Text"/>
    <w:basedOn w:val="Normal"/>
    <w:link w:val="BalloonTextChar"/>
    <w:semiHidden/>
    <w:unhideWhenUsed/>
    <w:rsid w:val="0067379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73791"/>
    <w:rPr>
      <w:rFonts w:ascii="Segoe UI" w:hAnsi="Segoe UI" w:cs="Segoe UI"/>
      <w:sz w:val="18"/>
      <w:szCs w:val="18"/>
      <w:lang w:val="fr-FR" w:eastAsia="en-US"/>
    </w:rPr>
  </w:style>
  <w:style w:type="character" w:styleId="FollowedHyperlink">
    <w:name w:val="FollowedHyperlink"/>
    <w:basedOn w:val="DefaultParagraphFont"/>
    <w:semiHidden/>
    <w:unhideWhenUsed/>
    <w:rsid w:val="00E916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4/CRM/xreg/web/Registration.aspx?Event=C-0000622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tu.int/en/ITU-T/Workshops-and-Seminars/qos/201908/"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CE6A2-BE42-4317-BD1B-A3850D2D7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13</TotalTime>
  <Pages>2</Pages>
  <Words>517</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3764</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Cormier-Ribout, Kevin</dc:creator>
  <cp:lastModifiedBy>Jenkins, Lia</cp:lastModifiedBy>
  <cp:revision>8</cp:revision>
  <cp:lastPrinted>2019-06-11T09:56:00Z</cp:lastPrinted>
  <dcterms:created xsi:type="dcterms:W3CDTF">2019-06-07T06:24:00Z</dcterms:created>
  <dcterms:modified xsi:type="dcterms:W3CDTF">2019-06-11T09:57:00Z</dcterms:modified>
</cp:coreProperties>
</file>