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593CC2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lang w:eastAsia="zh-CN" w:bidi="ar-EG"/>
              </w:rPr>
            </w:pPr>
            <w:r w:rsidRPr="00B219A0">
              <w:rPr>
                <w:noProof/>
                <w:lang w:val="en-GB" w:eastAsia="en-GB"/>
              </w:rPr>
              <w:drawing>
                <wp:inline distT="0" distB="0" distL="0" distR="0" wp14:anchorId="1C56C276" wp14:editId="476ED779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A15A8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A8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A15A8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6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D64B7E">
              <w:rPr>
                <w:rFonts w:eastAsiaTheme="minorEastAsia"/>
                <w:lang w:eastAsia="zh-CN"/>
              </w:rPr>
              <w:t>24</w:t>
            </w:r>
            <w:r w:rsidR="00D64B7E">
              <w:rPr>
                <w:rFonts w:eastAsiaTheme="minorEastAsia" w:hint="cs"/>
                <w:rtl/>
                <w:lang w:eastAsia="zh-CN" w:bidi="ar-EG"/>
              </w:rPr>
              <w:t xml:space="preserve"> يوليو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3D0B92" w:rsidRPr="00513E16" w:rsidRDefault="00A15845" w:rsidP="00D64B7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CB5705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D64B7E">
              <w:rPr>
                <w:rFonts w:eastAsiaTheme="minorEastAsia"/>
                <w:b/>
                <w:position w:val="2"/>
                <w:lang w:eastAsia="zh-CN" w:bidi="ar-SY"/>
              </w:rPr>
              <w:t>189</w:t>
            </w:r>
            <w:r w:rsidR="00593CC2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="00D64B7E" w:rsidRPr="00D64B7E">
              <w:rPr>
                <w:rFonts w:eastAsiaTheme="minorEastAsia"/>
                <w:bCs/>
                <w:position w:val="2"/>
                <w:lang w:eastAsia="zh-CN" w:bidi="ar-EG"/>
              </w:rPr>
              <w:t>SG15/HO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Default="003D0B92" w:rsidP="00FC2CD7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 xml:space="preserve">إدارات الدول الأعضاء في </w:t>
            </w:r>
            <w:r w:rsidR="00FC2CD7">
              <w:rPr>
                <w:rFonts w:hint="cs"/>
                <w:rtl/>
              </w:rPr>
              <w:t>الاتحاد</w:t>
            </w:r>
            <w:r w:rsidR="00D64B7E">
              <w:rPr>
                <w:rFonts w:hint="cs"/>
                <w:rtl/>
              </w:rPr>
              <w:t>؛</w:t>
            </w:r>
          </w:p>
          <w:p w:rsidR="00D64B7E" w:rsidRPr="00513E16" w:rsidRDefault="00D64B7E" w:rsidP="00D64B7E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position w:val="2"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D64B7E">
              <w:rPr>
                <w:rtl/>
              </w:rPr>
              <w:t xml:space="preserve"> أعضاء قطاع تقييس الاتصالات</w:t>
            </w:r>
            <w:r w:rsidRPr="00D64B7E">
              <w:rPr>
                <w:rtl/>
                <w:lang w:bidi="ar-EG"/>
              </w:rPr>
              <w:t xml:space="preserve"> في الاتحاد</w:t>
            </w:r>
          </w:p>
        </w:tc>
      </w:tr>
      <w:tr w:rsidR="003D0B92" w:rsidRPr="00A15845" w:rsidTr="00425492">
        <w:trPr>
          <w:cantSplit/>
          <w:trHeight w:val="340"/>
        </w:trPr>
        <w:tc>
          <w:tcPr>
            <w:tcW w:w="796" w:type="pct"/>
          </w:tcPr>
          <w:p w:rsidR="003D0B92" w:rsidRPr="00513E16" w:rsidRDefault="003D0B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3D0B92" w:rsidRPr="007A5BDE" w:rsidRDefault="003D0B92" w:rsidP="00D64B7E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7A5BDE">
              <w:rPr>
                <w:lang w:bidi="ar-SY"/>
              </w:rPr>
              <w:t>+41 22 730 </w:t>
            </w:r>
            <w:r w:rsidR="00D64B7E">
              <w:rPr>
                <w:lang w:bidi="ar-SY"/>
              </w:rPr>
              <w:t>6356</w:t>
            </w:r>
          </w:p>
        </w:tc>
        <w:tc>
          <w:tcPr>
            <w:tcW w:w="2470" w:type="pct"/>
            <w:vMerge/>
          </w:tcPr>
          <w:p w:rsidR="003D0B92" w:rsidRPr="00513E16" w:rsidRDefault="003D0B92" w:rsidP="003D0B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D0B92" w:rsidRPr="00A15845" w:rsidTr="00425492">
        <w:trPr>
          <w:cantSplit/>
          <w:trHeight w:val="340"/>
        </w:trPr>
        <w:tc>
          <w:tcPr>
            <w:tcW w:w="796" w:type="pct"/>
          </w:tcPr>
          <w:p w:rsidR="003D0B92" w:rsidRPr="00513E16" w:rsidRDefault="003D0B92" w:rsidP="003D0B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3D0B92" w:rsidRPr="007A5BDE" w:rsidRDefault="003D0B92" w:rsidP="003D0B9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D0B92" w:rsidRPr="00513E16" w:rsidRDefault="003D0B92" w:rsidP="003D0B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D0B92" w:rsidRPr="00A15845" w:rsidTr="00425492">
        <w:trPr>
          <w:cantSplit/>
        </w:trPr>
        <w:tc>
          <w:tcPr>
            <w:tcW w:w="796" w:type="pct"/>
          </w:tcPr>
          <w:p w:rsidR="003D0B92" w:rsidRPr="00513E16" w:rsidRDefault="003D0B92" w:rsidP="006C05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3D0B92" w:rsidRPr="007A5BDE" w:rsidRDefault="006636CB" w:rsidP="006C0513">
            <w:pPr>
              <w:spacing w:before="60" w:after="60" w:line="320" w:lineRule="exact"/>
              <w:jc w:val="left"/>
              <w:rPr>
                <w:lang w:bidi="ar-SY"/>
              </w:rPr>
            </w:pPr>
            <w:hyperlink r:id="rId12" w:history="1">
              <w:r w:rsidR="003D0B92" w:rsidRPr="0038670B">
                <w:rPr>
                  <w:rStyle w:val="Hyperlink"/>
                  <w:lang w:bidi="ar-SY"/>
                </w:rPr>
                <w:t>tsbsg2@itu.int</w:t>
              </w:r>
            </w:hyperlink>
          </w:p>
        </w:tc>
        <w:tc>
          <w:tcPr>
            <w:tcW w:w="2470" w:type="pct"/>
          </w:tcPr>
          <w:p w:rsidR="003D0B92" w:rsidRDefault="003D0B92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rPr>
                <w:b/>
                <w:bCs/>
                <w:position w:val="2"/>
              </w:rPr>
            </w:pPr>
            <w:r w:rsidRPr="003D0B92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167914" w:rsidRPr="00821867" w:rsidRDefault="00167914" w:rsidP="00D64B7E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 w:rsidR="00D64B7E">
              <w:t>15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:rsidR="00167914" w:rsidRPr="00821867" w:rsidRDefault="00167914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:rsidR="003D0B92" w:rsidRPr="003D0B92" w:rsidRDefault="003D0B92" w:rsidP="00D64B7E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D64B7E">
              <w:rPr>
                <w:position w:val="2"/>
              </w:rPr>
              <w:t>15</w:t>
            </w:r>
            <w:r w:rsidR="00D64B7E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:rsidR="003D0B92" w:rsidRPr="003D0B92" w:rsidRDefault="003D0B92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:rsidR="003D0B92" w:rsidRPr="003D0B92" w:rsidRDefault="003D0B92" w:rsidP="006C0513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3D0B92" w:rsidRPr="00A15845" w:rsidTr="00425492">
        <w:trPr>
          <w:cantSplit/>
        </w:trPr>
        <w:tc>
          <w:tcPr>
            <w:tcW w:w="796" w:type="pct"/>
          </w:tcPr>
          <w:p w:rsidR="003D0B92" w:rsidRPr="00A15845" w:rsidRDefault="003D0B92" w:rsidP="009473D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3D0B92" w:rsidRPr="00A15845" w:rsidRDefault="003D0B92" w:rsidP="009473D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3D0B92" w:rsidRPr="00A15845" w:rsidRDefault="003D0B92" w:rsidP="009473D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3D0B92" w:rsidRPr="00A15845" w:rsidTr="00425492">
        <w:trPr>
          <w:cantSplit/>
        </w:trPr>
        <w:tc>
          <w:tcPr>
            <w:tcW w:w="796" w:type="pct"/>
          </w:tcPr>
          <w:p w:rsidR="003D0B92" w:rsidRPr="00A15845" w:rsidRDefault="003D0B92" w:rsidP="00CD1422">
            <w:pPr>
              <w:tabs>
                <w:tab w:val="left" w:pos="1278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  <w:r w:rsidR="00CD1422">
              <w:rPr>
                <w:rFonts w:eastAsiaTheme="minorEastAsia"/>
                <w:rtl/>
                <w:lang w:eastAsia="zh-CN"/>
              </w:rPr>
              <w:tab/>
            </w:r>
            <w:r w:rsidR="00CD1422">
              <w:rPr>
                <w:rFonts w:eastAsiaTheme="minorEastAsia"/>
                <w:rtl/>
                <w:lang w:eastAsia="zh-CN"/>
              </w:rPr>
              <w:tab/>
            </w:r>
          </w:p>
        </w:tc>
        <w:tc>
          <w:tcPr>
            <w:tcW w:w="4204" w:type="pct"/>
            <w:gridSpan w:val="2"/>
          </w:tcPr>
          <w:p w:rsidR="003D0B92" w:rsidRPr="009E70DC" w:rsidRDefault="003D0B92" w:rsidP="00B6510A">
            <w:pPr>
              <w:spacing w:before="0"/>
              <w:rPr>
                <w:b/>
                <w:bCs/>
                <w:spacing w:val="4"/>
                <w:highlight w:val="green"/>
                <w:rtl/>
              </w:rPr>
            </w:pPr>
            <w:r w:rsidRPr="00FC2CD7">
              <w:rPr>
                <w:rFonts w:hint="cs"/>
                <w:b/>
                <w:bCs/>
                <w:spacing w:val="4"/>
                <w:rtl/>
              </w:rPr>
              <w:t xml:space="preserve">اقتراح بإلغاء </w:t>
            </w:r>
            <w:r w:rsidR="00D64B7E">
              <w:rPr>
                <w:rFonts w:hint="cs"/>
                <w:b/>
                <w:bCs/>
                <w:spacing w:val="4"/>
                <w:rtl/>
              </w:rPr>
              <w:t>التوصيتين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Pr="00FC2CD7">
              <w:rPr>
                <w:b/>
                <w:bCs/>
                <w:spacing w:val="4"/>
              </w:rPr>
              <w:t>ITU</w:t>
            </w:r>
            <w:r w:rsidRPr="00FC2CD7">
              <w:rPr>
                <w:b/>
                <w:bCs/>
                <w:spacing w:val="4"/>
              </w:rPr>
              <w:noBreakHyphen/>
              <w:t>T </w:t>
            </w:r>
            <w:r w:rsidR="00D64B7E">
              <w:rPr>
                <w:b/>
                <w:bCs/>
                <w:spacing w:val="4"/>
              </w:rPr>
              <w:t>L.125</w:t>
            </w:r>
            <w:r w:rsidR="00B6510A">
              <w:rPr>
                <w:b/>
                <w:bCs/>
                <w:spacing w:val="4"/>
              </w:rPr>
              <w:t>/</w:t>
            </w:r>
            <w:r w:rsidR="00D64B7E">
              <w:rPr>
                <w:b/>
                <w:bCs/>
                <w:spacing w:val="4"/>
              </w:rPr>
              <w:t>L.14</w:t>
            </w:r>
            <w:r w:rsidR="00D64B7E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و</w:t>
            </w:r>
            <w:r w:rsidR="00D64B7E">
              <w:rPr>
                <w:b/>
                <w:bCs/>
                <w:spacing w:val="4"/>
                <w:lang w:bidi="ar-EG"/>
              </w:rPr>
              <w:t>ITU-T L.255/L.17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 وافقت عليه لجنة الدراسات</w:t>
            </w:r>
            <w:r w:rsidRPr="00FC2CD7">
              <w:rPr>
                <w:rFonts w:hint="eastAsia"/>
                <w:b/>
                <w:bCs/>
                <w:spacing w:val="4"/>
                <w:rtl/>
              </w:rPr>
              <w:t> </w:t>
            </w:r>
            <w:r w:rsidR="00D64B7E">
              <w:rPr>
                <w:b/>
                <w:bCs/>
                <w:spacing w:val="4"/>
              </w:rPr>
              <w:t>15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 لقطاع</w:t>
            </w:r>
            <w:r w:rsidRPr="00FC2CD7">
              <w:rPr>
                <w:rFonts w:hint="eastAsia"/>
                <w:b/>
                <w:bCs/>
                <w:spacing w:val="4"/>
                <w:rtl/>
              </w:rPr>
              <w:t> </w:t>
            </w:r>
            <w:r w:rsidRPr="00FC2CD7">
              <w:rPr>
                <w:rFonts w:hint="cs"/>
                <w:b/>
                <w:bCs/>
                <w:spacing w:val="4"/>
                <w:rtl/>
              </w:rPr>
              <w:t xml:space="preserve">تقييس الاتصالات في اجتماعها في الفترة </w:t>
            </w:r>
            <w:r w:rsidR="00D64B7E">
              <w:rPr>
                <w:b/>
                <w:bCs/>
                <w:spacing w:val="4"/>
              </w:rPr>
              <w:t>12-1</w:t>
            </w:r>
            <w:r w:rsidR="00D64B7E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يوليو </w:t>
            </w:r>
            <w:r w:rsidRPr="00FC2CD7">
              <w:rPr>
                <w:b/>
                <w:bCs/>
                <w:spacing w:val="4"/>
              </w:rPr>
              <w:t>201</w:t>
            </w:r>
            <w:r w:rsidR="00167914" w:rsidRPr="00FC2CD7">
              <w:rPr>
                <w:b/>
                <w:bCs/>
                <w:spacing w:val="4"/>
              </w:rPr>
              <w:t>9</w:t>
            </w:r>
          </w:p>
        </w:tc>
      </w:tr>
    </w:tbl>
    <w:p w:rsidR="00A15845" w:rsidRPr="00593CC2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593CC2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593CC2" w:rsidRDefault="00A15845" w:rsidP="00593CC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593CC2">
        <w:rPr>
          <w:rFonts w:eastAsiaTheme="minorEastAsia" w:hint="cs"/>
          <w:rtl/>
          <w:lang w:eastAsia="zh-CN"/>
        </w:rPr>
        <w:t>تحية طيبة وبعد،</w:t>
      </w:r>
    </w:p>
    <w:p w:rsidR="00FF5791" w:rsidRPr="00610D29" w:rsidRDefault="00FF5791" w:rsidP="00610D29">
      <w:pPr>
        <w:rPr>
          <w:rtl/>
          <w:lang w:bidi="ar-EG"/>
        </w:rPr>
      </w:pPr>
      <w:proofErr w:type="gramStart"/>
      <w:r w:rsidRPr="006147AA">
        <w:rPr>
          <w:spacing w:val="-2"/>
        </w:rPr>
        <w:t>1</w:t>
      </w:r>
      <w:r w:rsidRPr="006147AA">
        <w:rPr>
          <w:spacing w:val="-2"/>
        </w:rPr>
        <w:tab/>
      </w:r>
      <w:r w:rsidRPr="006147AA">
        <w:rPr>
          <w:rFonts w:hint="cs"/>
          <w:spacing w:val="-2"/>
          <w:rtl/>
        </w:rPr>
        <w:t xml:space="preserve">بناءً على طلب رئيس لجنة الدراسات </w:t>
      </w:r>
      <w:r w:rsidR="00D64B7E" w:rsidRPr="006147AA">
        <w:rPr>
          <w:spacing w:val="-2"/>
        </w:rPr>
        <w:t>15</w:t>
      </w:r>
      <w:r w:rsidRPr="006147AA">
        <w:rPr>
          <w:rFonts w:hint="cs"/>
          <w:spacing w:val="-2"/>
          <w:rtl/>
        </w:rPr>
        <w:t xml:space="preserve"> </w:t>
      </w:r>
      <w:r w:rsidR="00CA6EFB" w:rsidRPr="006147AA">
        <w:rPr>
          <w:rFonts w:hint="cs"/>
          <w:spacing w:val="-2"/>
          <w:rtl/>
        </w:rPr>
        <w:t>(</w:t>
      </w:r>
      <w:r w:rsidR="00ED0331" w:rsidRPr="006147AA">
        <w:rPr>
          <w:rFonts w:hint="eastAsia"/>
          <w:spacing w:val="-2"/>
          <w:rtl/>
        </w:rPr>
        <w:t> </w:t>
      </w:r>
      <w:r w:rsidR="00D64B7E" w:rsidRPr="006147AA">
        <w:rPr>
          <w:i/>
          <w:iCs/>
          <w:spacing w:val="-2"/>
          <w:rtl/>
          <w:lang w:bidi="ar-DZ"/>
        </w:rPr>
        <w:t>الشبكات والتكنولوجيات والبنى التحتية لأغراض النقل والنفاذ والمنشآت المن‍زلية</w:t>
      </w:r>
      <w:r w:rsidR="00CA6EFB" w:rsidRPr="006147AA">
        <w:rPr>
          <w:rFonts w:hint="cs"/>
          <w:spacing w:val="-2"/>
          <w:rtl/>
        </w:rPr>
        <w:t>)</w:t>
      </w:r>
      <w:r w:rsidRPr="006147AA">
        <w:rPr>
          <w:rFonts w:hint="cs"/>
          <w:spacing w:val="-2"/>
          <w:rtl/>
        </w:rPr>
        <w:t xml:space="preserve">، أتشرف بأن أُعلِمَكُم </w:t>
      </w:r>
      <w:r w:rsidR="00FC2CD7" w:rsidRPr="006147AA">
        <w:rPr>
          <w:rFonts w:hint="cs"/>
          <w:spacing w:val="-2"/>
          <w:rtl/>
        </w:rPr>
        <w:t>ب</w:t>
      </w:r>
      <w:r w:rsidRPr="006147AA">
        <w:rPr>
          <w:rFonts w:hint="cs"/>
          <w:spacing w:val="-2"/>
          <w:rtl/>
        </w:rPr>
        <w:t xml:space="preserve">أن لجنة الدراسات هذه </w:t>
      </w:r>
      <w:r w:rsidR="007627F5" w:rsidRPr="006147AA">
        <w:rPr>
          <w:rFonts w:hint="cs"/>
          <w:spacing w:val="-2"/>
          <w:rtl/>
        </w:rPr>
        <w:t>وافقت</w:t>
      </w:r>
      <w:r w:rsidRPr="006147AA">
        <w:rPr>
          <w:rFonts w:hint="cs"/>
          <w:spacing w:val="-2"/>
          <w:rtl/>
        </w:rPr>
        <w:t xml:space="preserve"> في اجتماعها </w:t>
      </w:r>
      <w:r w:rsidR="00FC2CD7" w:rsidRPr="006147AA">
        <w:rPr>
          <w:rFonts w:hint="cs"/>
          <w:spacing w:val="-2"/>
          <w:rtl/>
        </w:rPr>
        <w:t>الذي عُقد</w:t>
      </w:r>
      <w:r w:rsidRPr="006147AA">
        <w:rPr>
          <w:rFonts w:hint="cs"/>
          <w:spacing w:val="-2"/>
          <w:rtl/>
        </w:rPr>
        <w:t xml:space="preserve"> من </w:t>
      </w:r>
      <w:r w:rsidR="00D64B7E" w:rsidRPr="006147AA">
        <w:rPr>
          <w:spacing w:val="-2"/>
        </w:rPr>
        <w:t>1</w:t>
      </w:r>
      <w:r w:rsidR="00D64B7E" w:rsidRPr="006147AA">
        <w:rPr>
          <w:rFonts w:hint="cs"/>
          <w:spacing w:val="-2"/>
          <w:rtl/>
          <w:lang w:bidi="ar-EG"/>
        </w:rPr>
        <w:t xml:space="preserve"> إلى </w:t>
      </w:r>
      <w:r w:rsidR="00D64B7E" w:rsidRPr="006147AA">
        <w:rPr>
          <w:spacing w:val="-2"/>
          <w:lang w:bidi="ar-EG"/>
        </w:rPr>
        <w:t>12</w:t>
      </w:r>
      <w:r w:rsidR="00D64B7E" w:rsidRPr="006147AA">
        <w:rPr>
          <w:rFonts w:hint="cs"/>
          <w:spacing w:val="-2"/>
          <w:rtl/>
          <w:lang w:bidi="ar-EG"/>
        </w:rPr>
        <w:t xml:space="preserve"> يوليو</w:t>
      </w:r>
      <w:r w:rsidRPr="006147AA">
        <w:rPr>
          <w:rFonts w:hint="cs"/>
          <w:spacing w:val="-2"/>
          <w:rtl/>
          <w:lang w:bidi="ar-EG"/>
        </w:rPr>
        <w:t xml:space="preserve"> </w:t>
      </w:r>
      <w:r w:rsidRPr="006147AA">
        <w:rPr>
          <w:spacing w:val="-2"/>
          <w:lang w:bidi="ar-EG"/>
        </w:rPr>
        <w:t>20</w:t>
      </w:r>
      <w:r w:rsidR="00CA6EFB" w:rsidRPr="006147AA">
        <w:rPr>
          <w:spacing w:val="-2"/>
          <w:lang w:bidi="ar-EG"/>
        </w:rPr>
        <w:t>19</w:t>
      </w:r>
      <w:r w:rsidRPr="006147AA">
        <w:rPr>
          <w:rFonts w:hint="cs"/>
          <w:spacing w:val="-2"/>
          <w:rtl/>
        </w:rPr>
        <w:t xml:space="preserve"> على إلغاء </w:t>
      </w:r>
      <w:r w:rsidR="00D64B7E" w:rsidRPr="00610D29">
        <w:rPr>
          <w:rFonts w:hint="cs"/>
          <w:rtl/>
        </w:rPr>
        <w:t>التوصيتين</w:t>
      </w:r>
      <w:r w:rsidR="00610D29" w:rsidRPr="00610D29">
        <w:rPr>
          <w:rFonts w:hint="eastAsia"/>
          <w:rtl/>
        </w:rPr>
        <w:t> </w:t>
      </w:r>
      <w:r w:rsidR="00D64B7E" w:rsidRPr="00610D29">
        <w:t>ITU</w:t>
      </w:r>
      <w:r w:rsidR="00D64B7E" w:rsidRPr="00610D29">
        <w:noBreakHyphen/>
        <w:t>T L.125</w:t>
      </w:r>
      <w:r w:rsidR="00912219" w:rsidRPr="00610D29">
        <w:t>/</w:t>
      </w:r>
      <w:r w:rsidR="00D64B7E" w:rsidRPr="00610D29">
        <w:t>L.14</w:t>
      </w:r>
      <w:r w:rsidR="00D64B7E" w:rsidRPr="00610D29">
        <w:rPr>
          <w:rFonts w:hint="cs"/>
          <w:rtl/>
          <w:lang w:bidi="ar-EG"/>
        </w:rPr>
        <w:t xml:space="preserve"> و</w:t>
      </w:r>
      <w:r w:rsidR="00D64B7E" w:rsidRPr="00610D29">
        <w:t>ITU-T L.255/L.17</w:t>
      </w:r>
      <w:r w:rsidR="00D64B7E" w:rsidRPr="00610D29">
        <w:rPr>
          <w:rFonts w:hint="cs"/>
          <w:rtl/>
        </w:rPr>
        <w:t xml:space="preserve"> </w:t>
      </w:r>
      <w:r w:rsidRPr="00610D29">
        <w:rPr>
          <w:rFonts w:hint="cs"/>
          <w:rtl/>
        </w:rPr>
        <w:t xml:space="preserve">عملاً بأحكام البند </w:t>
      </w:r>
      <w:r w:rsidR="00CA6EFB" w:rsidRPr="00610D29">
        <w:t>2.</w:t>
      </w:r>
      <w:r w:rsidRPr="00610D29">
        <w:t>8.9</w:t>
      </w:r>
      <w:r w:rsidRPr="00610D29">
        <w:rPr>
          <w:rFonts w:hint="cs"/>
          <w:rtl/>
          <w:lang w:bidi="ar-EG"/>
        </w:rPr>
        <w:t xml:space="preserve"> من القسم </w:t>
      </w:r>
      <w:r w:rsidRPr="00610D29">
        <w:rPr>
          <w:lang w:bidi="ar-EG"/>
        </w:rPr>
        <w:t>9</w:t>
      </w:r>
      <w:r w:rsidRPr="00610D29">
        <w:rPr>
          <w:rFonts w:hint="cs"/>
          <w:rtl/>
          <w:lang w:bidi="ar-EG"/>
        </w:rPr>
        <w:t xml:space="preserve"> من القرار</w:t>
      </w:r>
      <w:r w:rsidR="00FC2CD7" w:rsidRPr="00610D29">
        <w:rPr>
          <w:rFonts w:hint="eastAsia"/>
          <w:rtl/>
          <w:lang w:bidi="ar-EG"/>
        </w:rPr>
        <w:t> </w:t>
      </w:r>
      <w:r w:rsidRPr="00610D29">
        <w:rPr>
          <w:lang w:bidi="ar-EG"/>
        </w:rPr>
        <w:t>1</w:t>
      </w:r>
      <w:r w:rsidRPr="00610D29">
        <w:rPr>
          <w:rFonts w:hint="cs"/>
          <w:rtl/>
          <w:lang w:bidi="ar-EG"/>
        </w:rPr>
        <w:t xml:space="preserve"> </w:t>
      </w:r>
      <w:r w:rsidR="00FC2CD7" w:rsidRPr="00610D29">
        <w:rPr>
          <w:rFonts w:hint="cs"/>
          <w:rtl/>
          <w:lang w:bidi="ar-EG"/>
        </w:rPr>
        <w:t>(المراجَع في الحمامات،</w:t>
      </w:r>
      <w:r w:rsidR="00610D29">
        <w:rPr>
          <w:rFonts w:hint="cs"/>
          <w:rtl/>
          <w:lang w:bidi="ar-EG"/>
        </w:rPr>
        <w:t xml:space="preserve"> </w:t>
      </w:r>
      <w:r w:rsidR="00FC2CD7" w:rsidRPr="00610D29">
        <w:rPr>
          <w:lang w:bidi="ar-EG"/>
        </w:rPr>
        <w:t>2016</w:t>
      </w:r>
      <w:r w:rsidR="00FC2CD7" w:rsidRPr="00610D29">
        <w:rPr>
          <w:rFonts w:hint="cs"/>
          <w:rtl/>
          <w:lang w:bidi="ar-EG"/>
        </w:rPr>
        <w:t>) ل</w:t>
      </w:r>
      <w:r w:rsidRPr="00610D29">
        <w:rPr>
          <w:rFonts w:hint="cs"/>
          <w:rtl/>
          <w:lang w:bidi="ar-EG"/>
        </w:rPr>
        <w:t>لجمعية العالمية لتقييس الاتصالات.</w:t>
      </w:r>
      <w:proofErr w:type="gramEnd"/>
      <w:r w:rsidRPr="00610D29">
        <w:rPr>
          <w:rFonts w:hint="cs"/>
          <w:rtl/>
          <w:lang w:bidi="ar-EG"/>
        </w:rPr>
        <w:t xml:space="preserve"> وقد شارك في</w:t>
      </w:r>
      <w:r w:rsidR="00FC2CD7" w:rsidRPr="00610D29">
        <w:rPr>
          <w:rFonts w:hint="eastAsia"/>
          <w:rtl/>
          <w:lang w:bidi="ar-EG"/>
        </w:rPr>
        <w:t> </w:t>
      </w:r>
      <w:r w:rsidRPr="00610D29">
        <w:rPr>
          <w:rFonts w:hint="cs"/>
          <w:rtl/>
          <w:lang w:bidi="ar-EG"/>
        </w:rPr>
        <w:t xml:space="preserve">الاجتماع </w:t>
      </w:r>
      <w:r w:rsidR="00D64B7E" w:rsidRPr="00610D29">
        <w:rPr>
          <w:lang w:bidi="ar-EG"/>
        </w:rPr>
        <w:t>25</w:t>
      </w:r>
      <w:r w:rsidRPr="00610D29">
        <w:rPr>
          <w:rFonts w:hint="cs"/>
          <w:rtl/>
          <w:lang w:bidi="ar-EG"/>
        </w:rPr>
        <w:t xml:space="preserve"> دولة عضواً و</w:t>
      </w:r>
      <w:r w:rsidR="00D64B7E" w:rsidRPr="00610D29">
        <w:rPr>
          <w:lang w:bidi="ar-EG"/>
        </w:rPr>
        <w:t>46</w:t>
      </w:r>
      <w:r w:rsidR="00CA6EFB" w:rsidRPr="00610D29">
        <w:rPr>
          <w:rFonts w:hint="cs"/>
          <w:rtl/>
          <w:lang w:bidi="ar-EG"/>
        </w:rPr>
        <w:t xml:space="preserve"> </w:t>
      </w:r>
      <w:r w:rsidR="00FC2CD7" w:rsidRPr="00610D29">
        <w:rPr>
          <w:rFonts w:hint="cs"/>
          <w:rtl/>
          <w:lang w:bidi="ar-EG"/>
        </w:rPr>
        <w:t>عضواً من أعضاء القطاع</w:t>
      </w:r>
      <w:r w:rsidR="00CA6EFB" w:rsidRPr="00610D29">
        <w:rPr>
          <w:rFonts w:hint="cs"/>
          <w:rtl/>
          <w:lang w:bidi="ar-EG"/>
        </w:rPr>
        <w:t xml:space="preserve"> و</w:t>
      </w:r>
      <w:r w:rsidRPr="00610D29">
        <w:rPr>
          <w:rFonts w:hint="cs"/>
          <w:rtl/>
          <w:lang w:bidi="ar-EG"/>
        </w:rPr>
        <w:t>لم</w:t>
      </w:r>
      <w:r w:rsidR="00FC2CD7" w:rsidRPr="00610D29">
        <w:rPr>
          <w:rFonts w:hint="eastAsia"/>
          <w:rtl/>
          <w:lang w:bidi="ar-EG"/>
        </w:rPr>
        <w:t> </w:t>
      </w:r>
      <w:r w:rsidRPr="00610D29">
        <w:rPr>
          <w:rFonts w:hint="cs"/>
          <w:rtl/>
          <w:lang w:bidi="ar-EG"/>
        </w:rPr>
        <w:t>يلق هذا الاتفاق أي</w:t>
      </w:r>
      <w:r w:rsidR="006147AA" w:rsidRPr="00610D29">
        <w:rPr>
          <w:rFonts w:hint="eastAsia"/>
          <w:rtl/>
          <w:lang w:bidi="ar-EG"/>
        </w:rPr>
        <w:t> </w:t>
      </w:r>
      <w:r w:rsidRPr="00610D29">
        <w:rPr>
          <w:rFonts w:hint="cs"/>
          <w:rtl/>
          <w:lang w:bidi="ar-EG"/>
        </w:rPr>
        <w:t>اعتراض.</w:t>
      </w:r>
    </w:p>
    <w:p w:rsidR="00FF5791" w:rsidRPr="00593CC2" w:rsidRDefault="00FF5791" w:rsidP="00593CC2">
      <w:pPr>
        <w:rPr>
          <w:rtl/>
          <w:lang w:bidi="ar-EG"/>
        </w:rPr>
      </w:pPr>
      <w:proofErr w:type="gramStart"/>
      <w:r w:rsidRPr="00593CC2">
        <w:rPr>
          <w:lang w:bidi="ar-EG"/>
        </w:rPr>
        <w:t>2</w:t>
      </w:r>
      <w:r w:rsidRPr="00593CC2">
        <w:rPr>
          <w:rFonts w:hint="cs"/>
          <w:rtl/>
          <w:lang w:bidi="ar-EG"/>
        </w:rPr>
        <w:tab/>
        <w:t>وترد</w:t>
      </w:r>
      <w:proofErr w:type="gramEnd"/>
      <w:r w:rsidRPr="00593CC2">
        <w:rPr>
          <w:rFonts w:hint="cs"/>
          <w:rtl/>
          <w:lang w:bidi="ar-EG"/>
        </w:rPr>
        <w:t xml:space="preserve"> في </w:t>
      </w:r>
      <w:r w:rsidRPr="00593CC2">
        <w:rPr>
          <w:rFonts w:hint="cs"/>
          <w:b/>
          <w:bCs/>
          <w:rtl/>
          <w:lang w:bidi="ar-EG"/>
        </w:rPr>
        <w:t xml:space="preserve">الملحق </w:t>
      </w:r>
      <w:r w:rsidRPr="00593CC2">
        <w:rPr>
          <w:b/>
          <w:bCs/>
          <w:lang w:bidi="ar-EG"/>
        </w:rPr>
        <w:t>1</w:t>
      </w:r>
      <w:r w:rsidRPr="00593CC2">
        <w:rPr>
          <w:rFonts w:hint="cs"/>
          <w:rtl/>
          <w:lang w:bidi="ar-EG"/>
        </w:rPr>
        <w:t xml:space="preserve"> معلومات عن هذا الاتفاق بما في ذلك ملخص لتفسير أسباب الإلغاء.</w:t>
      </w:r>
    </w:p>
    <w:p w:rsidR="00FF5791" w:rsidRPr="00593CC2" w:rsidRDefault="00FF5791" w:rsidP="00D64B7E">
      <w:pPr>
        <w:rPr>
          <w:rtl/>
          <w:lang w:bidi="ar-EG"/>
        </w:rPr>
      </w:pPr>
      <w:r w:rsidRPr="00593CC2">
        <w:rPr>
          <w:lang w:bidi="ar-EG"/>
        </w:rPr>
        <w:t>3</w:t>
      </w:r>
      <w:r w:rsidRPr="00593CC2">
        <w:rPr>
          <w:rFonts w:hint="cs"/>
          <w:rtl/>
          <w:lang w:bidi="ar-EG"/>
        </w:rPr>
        <w:tab/>
        <w:t xml:space="preserve">وتبعاً لأحكام القسم </w:t>
      </w:r>
      <w:r w:rsidRPr="00593CC2">
        <w:rPr>
          <w:lang w:bidi="ar-EG"/>
        </w:rPr>
        <w:t>9</w:t>
      </w:r>
      <w:r w:rsidRPr="00593CC2">
        <w:rPr>
          <w:rFonts w:hint="cs"/>
          <w:rtl/>
          <w:lang w:bidi="ar-EG"/>
        </w:rPr>
        <w:t xml:space="preserve"> من القرار </w:t>
      </w:r>
      <w:r w:rsidRPr="00593CC2">
        <w:rPr>
          <w:lang w:bidi="ar-EG"/>
        </w:rPr>
        <w:t>1</w:t>
      </w:r>
      <w:r w:rsidRPr="00593CC2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593CC2">
        <w:rPr>
          <w:lang w:bidi="ar-EG"/>
        </w:rPr>
        <w:t>2400</w:t>
      </w:r>
      <w:r w:rsidRPr="00593CC2">
        <w:rPr>
          <w:rFonts w:hint="cs"/>
          <w:rtl/>
          <w:lang w:bidi="ar-EG"/>
        </w:rPr>
        <w:t xml:space="preserve"> بالتوقيت العالمي المنسّق </w:t>
      </w:r>
      <w:r w:rsidRPr="00593CC2">
        <w:rPr>
          <w:rFonts w:hint="cs"/>
          <w:b/>
          <w:bCs/>
          <w:rtl/>
          <w:lang w:bidi="ar-EG"/>
        </w:rPr>
        <w:t>في</w:t>
      </w:r>
      <w:r w:rsidRPr="00593CC2">
        <w:rPr>
          <w:rFonts w:hint="cs"/>
          <w:rtl/>
          <w:lang w:bidi="ar-EG"/>
        </w:rPr>
        <w:t xml:space="preserve"> </w:t>
      </w:r>
      <w:r w:rsidR="00D64B7E">
        <w:rPr>
          <w:b/>
          <w:bCs/>
          <w:lang w:bidi="ar-EG"/>
        </w:rPr>
        <w:t>24</w:t>
      </w:r>
      <w:r w:rsidR="00D64B7E">
        <w:rPr>
          <w:rFonts w:hint="cs"/>
          <w:b/>
          <w:bCs/>
          <w:rtl/>
          <w:lang w:bidi="ar-EG"/>
        </w:rPr>
        <w:t xml:space="preserve"> أكتوبر</w:t>
      </w:r>
      <w:r w:rsidR="00CA6EFB" w:rsidRPr="00593CC2">
        <w:rPr>
          <w:rFonts w:hint="cs"/>
          <w:b/>
          <w:bCs/>
          <w:rtl/>
          <w:lang w:bidi="ar-EG"/>
        </w:rPr>
        <w:t xml:space="preserve"> </w:t>
      </w:r>
      <w:r w:rsidRPr="00593CC2">
        <w:rPr>
          <w:b/>
          <w:bCs/>
          <w:lang w:bidi="ar-EG"/>
        </w:rPr>
        <w:t>20</w:t>
      </w:r>
      <w:r w:rsidR="00CA6EFB" w:rsidRPr="00593CC2">
        <w:rPr>
          <w:b/>
          <w:bCs/>
          <w:lang w:bidi="ar-EG"/>
        </w:rPr>
        <w:t>19</w:t>
      </w:r>
      <w:r w:rsidRPr="00593CC2">
        <w:rPr>
          <w:rFonts w:hint="cs"/>
          <w:rtl/>
          <w:lang w:bidi="ar-EG"/>
        </w:rPr>
        <w:t xml:space="preserve"> بما إذا كانت إدارتكم</w:t>
      </w:r>
      <w:r w:rsidR="00FC2CD7" w:rsidRPr="00593CC2">
        <w:rPr>
          <w:rFonts w:hint="cs"/>
          <w:rtl/>
          <w:lang w:bidi="ar-EG"/>
        </w:rPr>
        <w:t>/منظمتكم</w:t>
      </w:r>
      <w:r w:rsidRPr="00593CC2">
        <w:rPr>
          <w:rFonts w:hint="cs"/>
          <w:rtl/>
          <w:lang w:bidi="ar-EG"/>
        </w:rPr>
        <w:t xml:space="preserve"> تؤيد أم ترفض هذا الإلغاء.</w:t>
      </w:r>
    </w:p>
    <w:p w:rsidR="00CD1422" w:rsidRDefault="00FF5791" w:rsidP="00593CC2">
      <w:pPr>
        <w:rPr>
          <w:rtl/>
          <w:lang w:bidi="ar-EG"/>
        </w:rPr>
      </w:pPr>
      <w:r w:rsidRPr="00593CC2">
        <w:rPr>
          <w:rFonts w:hint="cs"/>
          <w:rtl/>
          <w:lang w:bidi="ar-EG"/>
        </w:rPr>
        <w:tab/>
        <w:t xml:space="preserve">وإذا رأت أي دولة من الدول الأعضاء </w:t>
      </w:r>
      <w:r w:rsidR="00FC2CD7" w:rsidRPr="00593CC2">
        <w:rPr>
          <w:rFonts w:hint="cs"/>
          <w:rtl/>
          <w:lang w:bidi="ar-EG"/>
        </w:rPr>
        <w:t>أو</w:t>
      </w:r>
      <w:r w:rsidR="00FC2CD7" w:rsidRPr="00593CC2">
        <w:rPr>
          <w:rFonts w:hint="eastAsia"/>
          <w:rtl/>
          <w:lang w:bidi="ar-EG"/>
        </w:rPr>
        <w:t> </w:t>
      </w:r>
      <w:r w:rsidR="00FC2CD7" w:rsidRPr="00593CC2">
        <w:rPr>
          <w:rFonts w:hint="cs"/>
          <w:rtl/>
          <w:lang w:bidi="ar-EG"/>
        </w:rPr>
        <w:t xml:space="preserve">أي عضو من أعضاء القطاع </w:t>
      </w:r>
      <w:r w:rsidRPr="00593CC2">
        <w:rPr>
          <w:rFonts w:hint="cs"/>
          <w:rtl/>
          <w:lang w:bidi="ar-EG"/>
        </w:rPr>
        <w:t>ما</w:t>
      </w:r>
      <w:r w:rsidR="00FC2CD7" w:rsidRPr="00593CC2">
        <w:rPr>
          <w:rFonts w:hint="eastAsia"/>
          <w:rtl/>
          <w:lang w:bidi="ar-EG"/>
        </w:rPr>
        <w:t> </w:t>
      </w:r>
      <w:r w:rsidRPr="00593CC2">
        <w:rPr>
          <w:rFonts w:hint="cs"/>
          <w:rtl/>
          <w:lang w:bidi="ar-EG"/>
        </w:rPr>
        <w:t xml:space="preserve">يمنع الموافقة على الإلغاء، يرجى منها </w:t>
      </w:r>
      <w:r w:rsidR="00FC2CD7" w:rsidRPr="00593CC2">
        <w:rPr>
          <w:rFonts w:hint="cs"/>
          <w:rtl/>
          <w:lang w:bidi="ar-EG"/>
        </w:rPr>
        <w:t>أو</w:t>
      </w:r>
      <w:r w:rsidR="00FC2CD7" w:rsidRPr="00593CC2">
        <w:rPr>
          <w:rFonts w:hint="eastAsia"/>
          <w:rtl/>
          <w:lang w:bidi="ar-EG"/>
        </w:rPr>
        <w:t> </w:t>
      </w:r>
      <w:r w:rsidR="00FC2CD7" w:rsidRPr="00593CC2">
        <w:rPr>
          <w:rFonts w:hint="cs"/>
          <w:rtl/>
          <w:lang w:bidi="ar-EG"/>
        </w:rPr>
        <w:t xml:space="preserve">منه بيان </w:t>
      </w:r>
      <w:r w:rsidRPr="00593CC2">
        <w:rPr>
          <w:rFonts w:hint="cs"/>
          <w:rtl/>
          <w:lang w:bidi="ar-EG"/>
        </w:rPr>
        <w:t>أسباب ذلك الاعتراض وعندئذ تُعاد المسألة إلى لجنة الدراسات.</w:t>
      </w:r>
    </w:p>
    <w:p w:rsidR="00FF5791" w:rsidRPr="00593CC2" w:rsidRDefault="00FF5791" w:rsidP="00D64B7E">
      <w:pPr>
        <w:keepNext/>
        <w:keepLines/>
        <w:rPr>
          <w:rtl/>
          <w:lang w:bidi="ar-EG"/>
        </w:rPr>
      </w:pPr>
      <w:proofErr w:type="gramStart"/>
      <w:r w:rsidRPr="00593CC2">
        <w:rPr>
          <w:lang w:bidi="ar-EG"/>
        </w:rPr>
        <w:lastRenderedPageBreak/>
        <w:t>4</w:t>
      </w:r>
      <w:r w:rsidRPr="00593CC2">
        <w:rPr>
          <w:rFonts w:hint="cs"/>
          <w:rtl/>
          <w:lang w:bidi="ar-EG"/>
        </w:rPr>
        <w:tab/>
      </w:r>
      <w:r w:rsidR="00CA6EFB" w:rsidRPr="00593CC2">
        <w:rPr>
          <w:rFonts w:hint="cs"/>
          <w:rtl/>
          <w:lang w:bidi="ar-EG"/>
        </w:rPr>
        <w:t>وفي</w:t>
      </w:r>
      <w:proofErr w:type="gramEnd"/>
      <w:r w:rsidR="00CA6EFB" w:rsidRPr="00593CC2">
        <w:rPr>
          <w:rFonts w:hint="cs"/>
          <w:rtl/>
          <w:lang w:bidi="ar-EG"/>
        </w:rPr>
        <w:t xml:space="preserve"> أعقاب المهلة المذكورة أعلاه، </w:t>
      </w:r>
      <w:r w:rsidR="00D64B7E">
        <w:rPr>
          <w:b/>
          <w:bCs/>
          <w:lang w:bidi="ar-EG"/>
        </w:rPr>
        <w:t>24</w:t>
      </w:r>
      <w:r w:rsidR="00D64B7E">
        <w:rPr>
          <w:rFonts w:hint="cs"/>
          <w:b/>
          <w:bCs/>
          <w:rtl/>
          <w:lang w:bidi="ar-EG"/>
        </w:rPr>
        <w:t xml:space="preserve"> أكتوبر</w:t>
      </w:r>
      <w:r w:rsidR="00CA6EFB" w:rsidRPr="00593CC2">
        <w:rPr>
          <w:rFonts w:hint="cs"/>
          <w:b/>
          <w:bCs/>
          <w:rtl/>
          <w:lang w:bidi="ar-EG"/>
        </w:rPr>
        <w:t xml:space="preserve"> </w:t>
      </w:r>
      <w:r w:rsidR="00CA6EFB" w:rsidRPr="00593CC2">
        <w:rPr>
          <w:b/>
          <w:bCs/>
          <w:lang w:bidi="ar-EG"/>
        </w:rPr>
        <w:t>2019</w:t>
      </w:r>
      <w:r w:rsidR="009E70DC" w:rsidRPr="00593CC2">
        <w:rPr>
          <w:rFonts w:hint="cs"/>
          <w:rtl/>
          <w:lang w:bidi="ar-EG"/>
        </w:rPr>
        <w:t>،</w:t>
      </w:r>
      <w:r w:rsidR="00CA6EFB" w:rsidRPr="00593CC2">
        <w:rPr>
          <w:rFonts w:hint="cs"/>
          <w:rtl/>
          <w:lang w:bidi="ar-EG"/>
        </w:rPr>
        <w:t xml:space="preserve"> </w:t>
      </w:r>
      <w:r w:rsidRPr="00593CC2">
        <w:rPr>
          <w:rFonts w:hint="cs"/>
          <w:rtl/>
          <w:lang w:bidi="ar-EG"/>
        </w:rPr>
        <w:t>سوف يُعلِن مدير مكتب تقييس الاتصالات، في رسالة معممة، نتيجة المشاورة. وتُنشَر هذه المعلومات أيضاً في النشرة التشغيلية للاتحاد.</w:t>
      </w:r>
    </w:p>
    <w:p w:rsidR="00A15845" w:rsidRPr="00593CC2" w:rsidRDefault="00A15845" w:rsidP="00593CC2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593CC2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211DEC" w:rsidRPr="00593CC2" w:rsidRDefault="00FC2CD7" w:rsidP="0055322D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 w:after="480"/>
        <w:rPr>
          <w:rFonts w:eastAsiaTheme="minorEastAsia"/>
          <w:i/>
          <w:iCs/>
          <w:rtl/>
          <w:lang w:eastAsia="zh-CN" w:bidi="ar-EG"/>
        </w:rPr>
      </w:pPr>
      <w:r w:rsidRPr="00593CC2">
        <w:rPr>
          <w:rFonts w:eastAsiaTheme="minorEastAsia" w:hint="cs"/>
          <w:i/>
          <w:iCs/>
          <w:rtl/>
          <w:lang w:eastAsia="zh-CN" w:bidi="ar-EG"/>
        </w:rPr>
        <w:t>(</w:t>
      </w:r>
      <w:r w:rsidR="00211DEC" w:rsidRPr="00593CC2">
        <w:rPr>
          <w:rFonts w:eastAsiaTheme="minorEastAsia" w:hint="cs"/>
          <w:i/>
          <w:iCs/>
          <w:rtl/>
          <w:lang w:eastAsia="zh-CN" w:bidi="ar-EG"/>
        </w:rPr>
        <w:t>توقيع)</w:t>
      </w:r>
      <w:bookmarkStart w:id="0" w:name="_GoBack"/>
      <w:bookmarkEnd w:id="0"/>
    </w:p>
    <w:p w:rsidR="008B5B5D" w:rsidRPr="00593CC2" w:rsidRDefault="00A15845" w:rsidP="00211DE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left"/>
        <w:rPr>
          <w:rFonts w:eastAsiaTheme="minorEastAsia"/>
          <w:lang w:eastAsia="zh-CN" w:bidi="ar-SY"/>
        </w:rPr>
      </w:pPr>
      <w:r w:rsidRPr="00593CC2">
        <w:rPr>
          <w:rFonts w:eastAsiaTheme="minorEastAsia" w:hint="cs"/>
          <w:rtl/>
          <w:lang w:eastAsia="zh-CN" w:bidi="ar-SY"/>
        </w:rPr>
        <w:t>تشيساب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لي</w:t>
      </w:r>
      <w:r w:rsidRPr="00593CC2">
        <w:rPr>
          <w:rFonts w:eastAsiaTheme="minorEastAsia"/>
          <w:rtl/>
          <w:lang w:eastAsia="zh-CN" w:bidi="ar-SY"/>
        </w:rPr>
        <w:br/>
      </w:r>
      <w:r w:rsidRPr="00593CC2">
        <w:rPr>
          <w:rFonts w:eastAsiaTheme="minorEastAsia" w:hint="cs"/>
          <w:rtl/>
          <w:lang w:eastAsia="zh-CN" w:bidi="ar-SY"/>
        </w:rPr>
        <w:t>مدير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مكتب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تقييس</w:t>
      </w:r>
      <w:r w:rsidRPr="00593CC2">
        <w:rPr>
          <w:rFonts w:eastAsiaTheme="minorEastAsia"/>
          <w:rtl/>
          <w:lang w:eastAsia="zh-CN" w:bidi="ar-SY"/>
        </w:rPr>
        <w:t xml:space="preserve"> </w:t>
      </w:r>
      <w:r w:rsidRPr="00593CC2">
        <w:rPr>
          <w:rFonts w:eastAsiaTheme="minorEastAsia" w:hint="cs"/>
          <w:rtl/>
          <w:lang w:eastAsia="zh-CN" w:bidi="ar-SY"/>
        </w:rPr>
        <w:t>الاتصالات</w:t>
      </w:r>
    </w:p>
    <w:p w:rsidR="00CA6EFB" w:rsidRPr="00593CC2" w:rsidRDefault="00CA6EFB" w:rsidP="008C490E">
      <w:pPr>
        <w:spacing w:before="720"/>
        <w:jc w:val="left"/>
        <w:rPr>
          <w:rtl/>
          <w:lang w:bidi="ar-EG"/>
        </w:rPr>
      </w:pPr>
      <w:r w:rsidRPr="00593CC2">
        <w:rPr>
          <w:rFonts w:hint="cs"/>
          <w:b/>
          <w:bCs/>
          <w:rtl/>
          <w:lang w:bidi="ar-EG"/>
        </w:rPr>
        <w:t>الملحقات:</w:t>
      </w:r>
      <w:r w:rsidRPr="00593CC2">
        <w:rPr>
          <w:rFonts w:hint="cs"/>
          <w:rtl/>
          <w:lang w:bidi="ar-EG"/>
        </w:rPr>
        <w:t xml:space="preserve"> </w:t>
      </w:r>
      <w:r w:rsidRPr="00593CC2">
        <w:rPr>
          <w:lang w:bidi="ar-EG"/>
        </w:rPr>
        <w:t>1</w:t>
      </w:r>
    </w:p>
    <w:p w:rsidR="00A73377" w:rsidRPr="00D675BD" w:rsidRDefault="00A73377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lang w:val="en-GB"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A73377" w:rsidRPr="00945935" w:rsidRDefault="00CA6EFB" w:rsidP="0080490C">
      <w:pPr>
        <w:pStyle w:val="Annextitle"/>
        <w:spacing w:after="240"/>
        <w:rPr>
          <w:rFonts w:eastAsiaTheme="minorEastAsia"/>
        </w:rPr>
      </w:pPr>
      <w:r w:rsidRPr="00945935">
        <w:rPr>
          <w:rFonts w:eastAsiaTheme="minorEastAsia" w:hint="cs"/>
          <w:rtl/>
        </w:rPr>
        <w:lastRenderedPageBreak/>
        <w:t xml:space="preserve">الملحق </w:t>
      </w:r>
      <w:r w:rsidRPr="00945935">
        <w:rPr>
          <w:rFonts w:eastAsiaTheme="minorEastAsia"/>
        </w:rPr>
        <w:t>1</w:t>
      </w:r>
    </w:p>
    <w:p w:rsidR="00D64B7E" w:rsidRDefault="006013E6" w:rsidP="002031E9">
      <w:pPr>
        <w:pStyle w:val="Annextitle"/>
        <w:rPr>
          <w:rtl/>
        </w:rPr>
      </w:pPr>
      <w:r w:rsidRPr="006013E6">
        <w:rPr>
          <w:rFonts w:hint="cs"/>
          <w:rtl/>
        </w:rPr>
        <w:t>التوصيتان</w:t>
      </w:r>
      <w:r w:rsidR="00CA6EFB" w:rsidRPr="006013E6">
        <w:rPr>
          <w:rFonts w:hint="cs"/>
          <w:rtl/>
        </w:rPr>
        <w:t xml:space="preserve"> المقترح إلغاؤه</w:t>
      </w:r>
      <w:r w:rsidRPr="006013E6">
        <w:rPr>
          <w:rFonts w:hint="cs"/>
          <w:rtl/>
        </w:rPr>
        <w:t>م</w:t>
      </w:r>
      <w:r w:rsidR="00CA6EFB" w:rsidRPr="006013E6">
        <w:rPr>
          <w:rFonts w:hint="cs"/>
          <w:rtl/>
        </w:rPr>
        <w:t>ا</w:t>
      </w:r>
      <w:r w:rsidR="00CA6EFB" w:rsidRPr="008B6C06">
        <w:rPr>
          <w:rFonts w:hint="cs"/>
          <w:rtl/>
        </w:rPr>
        <w:t xml:space="preserve">: </w:t>
      </w:r>
      <w:r w:rsidR="00D64B7E" w:rsidRPr="00D64B7E">
        <w:rPr>
          <w:lang w:eastAsia="ja-JP"/>
        </w:rPr>
        <w:t>ITU</w:t>
      </w:r>
      <w:r w:rsidR="00D64B7E" w:rsidRPr="00D64B7E">
        <w:rPr>
          <w:lang w:eastAsia="ja-JP"/>
        </w:rPr>
        <w:noBreakHyphen/>
        <w:t>T L.125</w:t>
      </w:r>
      <w:r>
        <w:rPr>
          <w:lang w:eastAsia="ja-JP"/>
        </w:rPr>
        <w:t>/</w:t>
      </w:r>
      <w:r w:rsidR="00D64B7E" w:rsidRPr="00D64B7E">
        <w:rPr>
          <w:lang w:eastAsia="ja-JP"/>
        </w:rPr>
        <w:t>L.14</w:t>
      </w:r>
      <w:r w:rsidR="00D64B7E" w:rsidRPr="00D64B7E">
        <w:rPr>
          <w:rFonts w:hint="cs"/>
          <w:rtl/>
          <w:lang w:eastAsia="ja-JP"/>
        </w:rPr>
        <w:t xml:space="preserve"> و</w:t>
      </w:r>
      <w:r w:rsidR="00D64B7E" w:rsidRPr="00D64B7E">
        <w:rPr>
          <w:lang w:eastAsia="ja-JP"/>
        </w:rPr>
        <w:t>ITU-T L.255/L.17</w:t>
      </w:r>
    </w:p>
    <w:p w:rsidR="00CA6EFB" w:rsidRPr="00D64B7E" w:rsidRDefault="00D64B7E" w:rsidP="006013E6">
      <w:pPr>
        <w:pStyle w:val="Headingb"/>
        <w:rPr>
          <w:i/>
          <w:iCs/>
          <w:rtl/>
        </w:rPr>
      </w:pPr>
      <w:r>
        <w:rPr>
          <w:rFonts w:hint="cs"/>
          <w:rtl/>
        </w:rPr>
        <w:t xml:space="preserve">التوصية </w:t>
      </w:r>
      <w:r>
        <w:t>ITU-T L.125/L.14</w:t>
      </w:r>
      <w:r>
        <w:rPr>
          <w:rFonts w:hint="cs"/>
          <w:rtl/>
        </w:rPr>
        <w:t xml:space="preserve">، </w:t>
      </w:r>
      <w:r w:rsidR="006013E6">
        <w:rPr>
          <w:rFonts w:hint="cs"/>
          <w:i/>
          <w:iCs/>
          <w:rtl/>
        </w:rPr>
        <w:t>طريقة قياس لتحديد أداء الشد لكبلات الألياف البصرية في ظروف التحميل</w:t>
      </w:r>
    </w:p>
    <w:p w:rsidR="00CA6EFB" w:rsidRDefault="00FC2CD7" w:rsidP="00A93E01">
      <w:pPr>
        <w:pStyle w:val="Headingb"/>
        <w:rPr>
          <w:rtl/>
        </w:rPr>
      </w:pPr>
      <w:r>
        <w:rPr>
          <w:rFonts w:hint="cs"/>
          <w:rtl/>
        </w:rPr>
        <w:t>تاريخ الموافقة:</w:t>
      </w:r>
      <w:r w:rsidR="00CA6EFB" w:rsidRPr="00CA6EFB">
        <w:rPr>
          <w:rFonts w:hint="cs"/>
          <w:rtl/>
        </w:rPr>
        <w:tab/>
      </w:r>
      <w:r w:rsidR="00D64B7E">
        <w:t>1992-07-31</w:t>
      </w:r>
    </w:p>
    <w:p w:rsidR="003B367C" w:rsidRPr="00D64B7E" w:rsidRDefault="003B367C" w:rsidP="009A69DD">
      <w:pPr>
        <w:pStyle w:val="Headingb"/>
        <w:rPr>
          <w:rtl/>
        </w:rPr>
      </w:pPr>
      <w:r w:rsidRPr="00D64B7E">
        <w:rPr>
          <w:rFonts w:hint="cs"/>
          <w:rtl/>
        </w:rPr>
        <w:t>ملخص:</w:t>
      </w:r>
    </w:p>
    <w:p w:rsidR="00A73377" w:rsidRPr="00722C99" w:rsidRDefault="00722C99" w:rsidP="00B026C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تتناول هذه التوصية طريقة قياس أداء الشد للكبلات، حيث توصي باتباع الطريقة </w:t>
      </w:r>
      <w:r>
        <w:rPr>
          <w:lang w:bidi="ar-EG"/>
        </w:rPr>
        <w:t>E1</w:t>
      </w:r>
      <w:r>
        <w:rPr>
          <w:rFonts w:hint="cs"/>
          <w:rtl/>
          <w:lang w:bidi="ar-EG"/>
        </w:rPr>
        <w:t xml:space="preserve"> للمعيار </w:t>
      </w:r>
      <w:r>
        <w:rPr>
          <w:lang w:bidi="ar-EG"/>
        </w:rPr>
        <w:t>IEC 794</w:t>
      </w:r>
      <w:r>
        <w:rPr>
          <w:lang w:bidi="ar-EG"/>
        </w:rPr>
        <w:noBreakHyphen/>
        <w:t>1</w:t>
      </w:r>
      <w:r>
        <w:rPr>
          <w:rFonts w:hint="cs"/>
          <w:rtl/>
          <w:lang w:bidi="ar-EG"/>
        </w:rPr>
        <w:t xml:space="preserve"> "أداء الشد".</w:t>
      </w:r>
    </w:p>
    <w:p w:rsidR="003B367C" w:rsidRPr="00D64B7E" w:rsidRDefault="003B367C" w:rsidP="009A69DD">
      <w:pPr>
        <w:pStyle w:val="Headingb"/>
        <w:rPr>
          <w:rtl/>
        </w:rPr>
      </w:pPr>
      <w:r w:rsidRPr="00D64B7E">
        <w:rPr>
          <w:rtl/>
        </w:rPr>
        <w:t>ملخص توضيح</w:t>
      </w:r>
      <w:r w:rsidRPr="00D64B7E">
        <w:rPr>
          <w:rFonts w:hint="cs"/>
          <w:rtl/>
        </w:rPr>
        <w:t>ي</w:t>
      </w:r>
      <w:r w:rsidRPr="00D64B7E">
        <w:rPr>
          <w:rtl/>
        </w:rPr>
        <w:t xml:space="preserve"> للأسباب الداعية إلى الإلغا</w:t>
      </w:r>
      <w:r w:rsidR="003D1C5E">
        <w:rPr>
          <w:rFonts w:hint="cs"/>
          <w:rtl/>
        </w:rPr>
        <w:t>ء</w:t>
      </w:r>
    </w:p>
    <w:p w:rsidR="003B367C" w:rsidRPr="00722C99" w:rsidRDefault="00722C99" w:rsidP="00DE2573">
      <w:pPr>
        <w:rPr>
          <w:spacing w:val="4"/>
          <w:rtl/>
          <w:lang w:bidi="ar-EG"/>
        </w:rPr>
      </w:pPr>
      <w:r w:rsidRPr="00D06367">
        <w:rPr>
          <w:rFonts w:hint="cs"/>
          <w:rtl/>
          <w:lang w:bidi="ar-EG"/>
        </w:rPr>
        <w:t xml:space="preserve">استعيض عن التوصية </w:t>
      </w:r>
      <w:r w:rsidRPr="00D06367">
        <w:rPr>
          <w:lang w:bidi="ar-EG"/>
        </w:rPr>
        <w:t>L.125/L.14</w:t>
      </w:r>
      <w:r w:rsidRPr="00D06367">
        <w:rPr>
          <w:rFonts w:hint="cs"/>
          <w:rtl/>
          <w:lang w:bidi="ar-EG"/>
        </w:rPr>
        <w:t xml:space="preserve"> حالياً بالمعيار </w:t>
      </w:r>
      <w:r w:rsidRPr="00D06367">
        <w:rPr>
          <w:lang w:bidi="ar-EG"/>
        </w:rPr>
        <w:t>IEC 60794</w:t>
      </w:r>
      <w:r w:rsidRPr="00D06367">
        <w:rPr>
          <w:lang w:bidi="ar-EG"/>
        </w:rPr>
        <w:noBreakHyphen/>
        <w:t>1</w:t>
      </w:r>
      <w:r w:rsidRPr="00D06367">
        <w:rPr>
          <w:lang w:bidi="ar-EG"/>
        </w:rPr>
        <w:noBreakHyphen/>
        <w:t>21</w:t>
      </w:r>
      <w:r w:rsidRPr="00D06367">
        <w:rPr>
          <w:rFonts w:hint="cs"/>
          <w:rtl/>
          <w:lang w:bidi="ar-EG"/>
        </w:rPr>
        <w:t>. وتحيل جميع توصيات قطاع تقييس الاتصالات ذات</w:t>
      </w:r>
      <w:r w:rsidR="00DE2573" w:rsidRPr="00D06367">
        <w:rPr>
          <w:rFonts w:hint="eastAsia"/>
          <w:rtl/>
          <w:lang w:bidi="ar-EG"/>
        </w:rPr>
        <w:t> </w:t>
      </w:r>
      <w:r w:rsidRPr="00D06367">
        <w:rPr>
          <w:rFonts w:hint="cs"/>
          <w:rtl/>
          <w:lang w:bidi="ar-EG"/>
        </w:rPr>
        <w:t>الصلة</w:t>
      </w:r>
      <w:r>
        <w:rPr>
          <w:rFonts w:hint="cs"/>
          <w:spacing w:val="4"/>
          <w:rtl/>
          <w:lang w:bidi="ar-EG"/>
        </w:rPr>
        <w:t xml:space="preserve"> إلى المعيار </w:t>
      </w:r>
      <w:r>
        <w:rPr>
          <w:spacing w:val="4"/>
          <w:lang w:bidi="ar-EG"/>
        </w:rPr>
        <w:t>IEC 60794</w:t>
      </w:r>
      <w:r>
        <w:rPr>
          <w:spacing w:val="4"/>
          <w:lang w:bidi="ar-EG"/>
        </w:rPr>
        <w:noBreakHyphen/>
        <w:t>1</w:t>
      </w:r>
      <w:r>
        <w:rPr>
          <w:spacing w:val="4"/>
          <w:lang w:bidi="ar-EG"/>
        </w:rPr>
        <w:noBreakHyphen/>
        <w:t>21</w:t>
      </w:r>
      <w:r>
        <w:rPr>
          <w:rFonts w:hint="cs"/>
          <w:spacing w:val="4"/>
          <w:rtl/>
          <w:lang w:bidi="ar-EG"/>
        </w:rPr>
        <w:t xml:space="preserve"> بدلاً من التوصية</w:t>
      </w:r>
      <w:r w:rsidR="002E6EB9">
        <w:rPr>
          <w:rFonts w:hint="cs"/>
          <w:spacing w:val="4"/>
          <w:rtl/>
          <w:lang w:bidi="ar-EG"/>
        </w:rPr>
        <w:t xml:space="preserve"> </w:t>
      </w:r>
      <w:r w:rsidR="002E6EB9">
        <w:rPr>
          <w:spacing w:val="4"/>
          <w:lang w:bidi="ar-EG"/>
        </w:rPr>
        <w:t>L.125/L.14</w:t>
      </w:r>
      <w:r>
        <w:rPr>
          <w:rFonts w:hint="cs"/>
          <w:spacing w:val="4"/>
          <w:rtl/>
          <w:lang w:bidi="ar-EG"/>
        </w:rPr>
        <w:t>. ولذا، فإن هذه التوصية تعتبر متقادمة حالياً.</w:t>
      </w:r>
    </w:p>
    <w:p w:rsidR="00D64B7E" w:rsidRPr="00E40BBD" w:rsidRDefault="00D64B7E" w:rsidP="00E40BBD">
      <w:pPr>
        <w:pStyle w:val="Headingb"/>
        <w:rPr>
          <w:spacing w:val="-2"/>
          <w:rtl/>
        </w:rPr>
      </w:pPr>
      <w:r w:rsidRPr="00E40BBD">
        <w:rPr>
          <w:rFonts w:hint="cs"/>
          <w:spacing w:val="-2"/>
          <w:rtl/>
        </w:rPr>
        <w:t xml:space="preserve">التوصية </w:t>
      </w:r>
      <w:r w:rsidRPr="00E40BBD">
        <w:rPr>
          <w:spacing w:val="-2"/>
        </w:rPr>
        <w:t>ITU-T L.255/L.17</w:t>
      </w:r>
      <w:r w:rsidRPr="00E40BBD">
        <w:rPr>
          <w:rFonts w:hint="cs"/>
          <w:spacing w:val="-2"/>
          <w:rtl/>
        </w:rPr>
        <w:t xml:space="preserve">، </w:t>
      </w:r>
      <w:r w:rsidR="00722C99" w:rsidRPr="00E40BBD">
        <w:rPr>
          <w:rFonts w:hint="cs"/>
          <w:i/>
          <w:iCs/>
          <w:spacing w:val="-2"/>
          <w:rtl/>
        </w:rPr>
        <w:t xml:space="preserve">تنفيذ توصيل العملاء في الشبكة الهاتفية العمومية التبديلية </w:t>
      </w:r>
      <w:r w:rsidR="00D3599E" w:rsidRPr="00E40BBD">
        <w:rPr>
          <w:i/>
          <w:iCs/>
          <w:spacing w:val="-2"/>
        </w:rPr>
        <w:t>(PSTN)</w:t>
      </w:r>
      <w:r w:rsidR="00D3599E" w:rsidRPr="00E40BBD">
        <w:rPr>
          <w:rFonts w:hint="cs"/>
          <w:i/>
          <w:iCs/>
          <w:spacing w:val="-2"/>
          <w:rtl/>
        </w:rPr>
        <w:t xml:space="preserve"> عبر الألياف البصرية</w:t>
      </w:r>
    </w:p>
    <w:p w:rsidR="00D64B7E" w:rsidRPr="00D64B7E" w:rsidRDefault="00D64B7E" w:rsidP="00A93E01">
      <w:pPr>
        <w:pStyle w:val="Headingb0"/>
        <w:rPr>
          <w:rtl/>
          <w:lang w:bidi="ar-EG"/>
        </w:rPr>
      </w:pPr>
      <w:r w:rsidRPr="00D64B7E">
        <w:rPr>
          <w:rFonts w:hint="cs"/>
          <w:rtl/>
          <w:lang w:bidi="ar-EG"/>
        </w:rPr>
        <w:t>تاريخ الموافقة:</w:t>
      </w:r>
      <w:r w:rsidRPr="00D64B7E">
        <w:rPr>
          <w:rFonts w:hint="cs"/>
          <w:rtl/>
          <w:lang w:bidi="ar-EG"/>
        </w:rPr>
        <w:tab/>
      </w:r>
      <w:r>
        <w:rPr>
          <w:lang w:bidi="ar-EG"/>
        </w:rPr>
        <w:t>1995</w:t>
      </w:r>
      <w:r w:rsidRPr="00D64B7E">
        <w:rPr>
          <w:lang w:bidi="ar-EG"/>
        </w:rPr>
        <w:t>-0</w:t>
      </w:r>
      <w:r>
        <w:rPr>
          <w:lang w:bidi="ar-EG"/>
        </w:rPr>
        <w:t>6</w:t>
      </w:r>
      <w:r w:rsidRPr="00D64B7E">
        <w:rPr>
          <w:lang w:bidi="ar-EG"/>
        </w:rPr>
        <w:t>-</w:t>
      </w:r>
      <w:r>
        <w:rPr>
          <w:lang w:bidi="ar-EG"/>
        </w:rPr>
        <w:t>20</w:t>
      </w:r>
    </w:p>
    <w:p w:rsidR="00D64B7E" w:rsidRPr="00D64B7E" w:rsidRDefault="00D64B7E" w:rsidP="009A69DD">
      <w:pPr>
        <w:pStyle w:val="Headingb"/>
        <w:rPr>
          <w:rtl/>
        </w:rPr>
      </w:pPr>
      <w:r w:rsidRPr="00D64B7E">
        <w:rPr>
          <w:rFonts w:hint="cs"/>
          <w:rtl/>
        </w:rPr>
        <w:t>ملخص:</w:t>
      </w:r>
    </w:p>
    <w:p w:rsidR="00D64B7E" w:rsidRPr="00D64B7E" w:rsidRDefault="00DA57E6" w:rsidP="00D64B7E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تتناول هذه التوصية تقييس مكونات المنشآت الخارجية، حيث ترى إنه ينبغي استعمال نفس الأغراض في جميع عقد الشبكات من أجل تخزين الألياف وإقرانها من أجل تيسير أنشطة التركيب والصيانة.</w:t>
      </w:r>
    </w:p>
    <w:p w:rsidR="00D64B7E" w:rsidRPr="00D64B7E" w:rsidRDefault="00D64B7E" w:rsidP="009A69DD">
      <w:pPr>
        <w:pStyle w:val="Headingb"/>
        <w:rPr>
          <w:rtl/>
        </w:rPr>
      </w:pPr>
      <w:r w:rsidRPr="00D64B7E">
        <w:rPr>
          <w:rtl/>
        </w:rPr>
        <w:t>ملخص توضيح</w:t>
      </w:r>
      <w:r w:rsidRPr="00D64B7E">
        <w:rPr>
          <w:rFonts w:hint="cs"/>
          <w:rtl/>
        </w:rPr>
        <w:t>ي</w:t>
      </w:r>
      <w:r w:rsidRPr="00D64B7E">
        <w:rPr>
          <w:rtl/>
        </w:rPr>
        <w:t xml:space="preserve"> للأسباب الداعية إلى الإلغا</w:t>
      </w:r>
      <w:r w:rsidR="003D1C5E">
        <w:rPr>
          <w:rFonts w:hint="cs"/>
          <w:rtl/>
        </w:rPr>
        <w:t>ء</w:t>
      </w:r>
    </w:p>
    <w:p w:rsidR="00D64B7E" w:rsidRPr="00D62DCE" w:rsidRDefault="00D62DCE" w:rsidP="00D64B7E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يمكن اعتبار بنود التوصية في الوقت الراهن "ممارسات تركيب جيدة" وهي متناولة في التوصيتين </w:t>
      </w:r>
      <w:r>
        <w:rPr>
          <w:spacing w:val="4"/>
          <w:lang w:bidi="ar-EG"/>
        </w:rPr>
        <w:t>L.50</w:t>
      </w:r>
      <w:r>
        <w:rPr>
          <w:rFonts w:hint="cs"/>
          <w:spacing w:val="4"/>
          <w:rtl/>
          <w:lang w:bidi="ar-EG"/>
        </w:rPr>
        <w:t xml:space="preserve"> و</w:t>
      </w:r>
      <w:r>
        <w:rPr>
          <w:spacing w:val="4"/>
          <w:lang w:bidi="ar-EG"/>
        </w:rPr>
        <w:t>L.51</w:t>
      </w:r>
      <w:r>
        <w:rPr>
          <w:rFonts w:hint="cs"/>
          <w:spacing w:val="4"/>
          <w:rtl/>
          <w:lang w:bidi="ar-EG"/>
        </w:rPr>
        <w:t>. ويتناول التذييل </w:t>
      </w:r>
      <w:r>
        <w:rPr>
          <w:spacing w:val="4"/>
          <w:lang w:bidi="ar-EG"/>
        </w:rPr>
        <w:t>I</w:t>
      </w:r>
      <w:r>
        <w:rPr>
          <w:rFonts w:hint="cs"/>
          <w:spacing w:val="4"/>
          <w:rtl/>
          <w:lang w:bidi="ar-EG"/>
        </w:rPr>
        <w:t xml:space="preserve"> تجربتي اليابان والمملكة المتحدة. وهذه المفاهيم تغطيها حالياً التوصيتان </w:t>
      </w:r>
      <w:r>
        <w:rPr>
          <w:spacing w:val="4"/>
          <w:lang w:bidi="ar-EG"/>
        </w:rPr>
        <w:t>L.90</w:t>
      </w:r>
      <w:r>
        <w:rPr>
          <w:rFonts w:hint="cs"/>
          <w:spacing w:val="4"/>
          <w:rtl/>
          <w:lang w:bidi="ar-EG"/>
        </w:rPr>
        <w:t xml:space="preserve"> و</w:t>
      </w:r>
      <w:r>
        <w:rPr>
          <w:spacing w:val="4"/>
          <w:lang w:bidi="ar-EG"/>
        </w:rPr>
        <w:t>L.93</w:t>
      </w:r>
      <w:r>
        <w:rPr>
          <w:rFonts w:hint="cs"/>
          <w:spacing w:val="4"/>
          <w:rtl/>
          <w:lang w:bidi="ar-EG"/>
        </w:rPr>
        <w:t>.</w:t>
      </w:r>
      <w:r w:rsidR="00E9693D">
        <w:rPr>
          <w:rFonts w:hint="cs"/>
          <w:spacing w:val="4"/>
          <w:rtl/>
          <w:lang w:bidi="ar-EG"/>
        </w:rPr>
        <w:t xml:space="preserve"> ولذا، فإن هذه التوصية تعتبر متقادمة حالياً.</w:t>
      </w:r>
    </w:p>
    <w:p w:rsidR="003B367C" w:rsidRDefault="009C65EF" w:rsidP="00945935">
      <w:pPr>
        <w:spacing w:before="600"/>
        <w:jc w:val="center"/>
        <w:rPr>
          <w:rtl/>
          <w:lang w:bidi="ar-EG"/>
        </w:rPr>
      </w:pPr>
      <w:r>
        <w:rPr>
          <w:rFonts w:hint="cs"/>
          <w:spacing w:val="4"/>
          <w:rtl/>
          <w:lang w:bidi="ar-EG"/>
        </w:rPr>
        <w:t>___________</w:t>
      </w:r>
    </w:p>
    <w:sectPr w:rsidR="003B367C" w:rsidSect="008B5B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92" w:rsidRDefault="003D0B92" w:rsidP="00E07379">
      <w:pPr>
        <w:spacing w:before="0" w:line="240" w:lineRule="auto"/>
      </w:pPr>
      <w:r>
        <w:separator/>
      </w:r>
    </w:p>
  </w:endnote>
  <w:endnote w:type="continuationSeparator" w:id="0">
    <w:p w:rsidR="003D0B92" w:rsidRDefault="003D0B9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E9" w:rsidRDefault="002C2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B7E" w:rsidRPr="001059EF" w:rsidRDefault="00D64B7E" w:rsidP="001059EF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CC2" w:rsidRPr="00593CC2" w:rsidRDefault="00593CC2" w:rsidP="00593CC2">
    <w:pPr>
      <w:tabs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cs="Times New Roman"/>
        <w:color w:val="0070C0"/>
        <w:sz w:val="16"/>
        <w:szCs w:val="20"/>
        <w:lang w:val="en-GB"/>
      </w:rPr>
    </w:pPr>
    <w:r w:rsidRPr="00593CC2">
      <w:rPr>
        <w:rFonts w:cs="Times New Roman"/>
        <w:color w:val="0070C0"/>
        <w:sz w:val="18"/>
        <w:szCs w:val="18"/>
        <w:lang w:val="en-GB"/>
      </w:rPr>
      <w:t>International Telecommunication Union • Place des Nations • CH-1211 Geneva 20 • Switzerland</w:t>
    </w:r>
    <w:r w:rsidRPr="00593CC2">
      <w:rPr>
        <w:rFonts w:cs="Times New Roman"/>
        <w:color w:val="0070C0"/>
        <w:sz w:val="18"/>
        <w:szCs w:val="18"/>
        <w:lang w:val="en-GB"/>
      </w:rPr>
      <w:br/>
      <w:t xml:space="preserve">Tel: +41 22 730 5111 • Fax: +41 22 733 7256 • E-mail: </w:t>
    </w:r>
    <w:hyperlink r:id="rId1" w:history="1">
      <w:r w:rsidRPr="00593CC2">
        <w:rPr>
          <w:rFonts w:cs="Times New Roman"/>
          <w:color w:val="0070C0"/>
          <w:sz w:val="18"/>
          <w:szCs w:val="18"/>
          <w:u w:val="single"/>
          <w:lang w:val="en-GB"/>
        </w:rPr>
        <w:t>itumail@itu.int</w:t>
      </w:r>
    </w:hyperlink>
    <w:r w:rsidRPr="00593CC2">
      <w:rPr>
        <w:rFonts w:cs="Times New Roman"/>
        <w:color w:val="0070C0"/>
        <w:sz w:val="18"/>
        <w:szCs w:val="18"/>
        <w:lang w:val="en-GB"/>
      </w:rPr>
      <w:t xml:space="preserve"> • </w:t>
    </w:r>
    <w:hyperlink r:id="rId2" w:history="1">
      <w:r w:rsidRPr="00593CC2">
        <w:rPr>
          <w:rFonts w:cs="Times New Roman"/>
          <w:color w:val="0070C0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92" w:rsidRDefault="003D0B92" w:rsidP="00E07379">
      <w:pPr>
        <w:spacing w:before="0" w:line="240" w:lineRule="auto"/>
      </w:pPr>
      <w:r>
        <w:separator/>
      </w:r>
    </w:p>
  </w:footnote>
  <w:footnote w:type="continuationSeparator" w:id="0">
    <w:p w:rsidR="003D0B92" w:rsidRDefault="003D0B9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E9" w:rsidRDefault="002C2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972AD9" w:rsidRDefault="00A73377" w:rsidP="009926EC">
    <w:pPr>
      <w:spacing w:after="240"/>
      <w:jc w:val="center"/>
      <w:rPr>
        <w:rStyle w:val="PageNumber"/>
        <w:rFonts w:cs="Traditional Arabic"/>
        <w:szCs w:val="26"/>
        <w:rtl/>
        <w:lang w:bidi="ar-EG"/>
      </w:rPr>
    </w:pPr>
    <w:r w:rsidRPr="00972AD9">
      <w:rPr>
        <w:rStyle w:val="PageNumber"/>
        <w:rFonts w:cs="Traditional Arabic"/>
        <w:szCs w:val="26"/>
      </w:rPr>
      <w:t xml:space="preserve"> -</w:t>
    </w:r>
    <w:r w:rsidR="0022345D" w:rsidRPr="00972AD9">
      <w:rPr>
        <w:rStyle w:val="PageNumber"/>
        <w:rFonts w:cs="Calibri"/>
      </w:rPr>
      <w:fldChar w:fldCharType="begin"/>
    </w:r>
    <w:r w:rsidR="0022345D" w:rsidRPr="00972AD9">
      <w:rPr>
        <w:rStyle w:val="PageNumber"/>
        <w:rFonts w:cs="Calibri"/>
      </w:rPr>
      <w:instrText xml:space="preserve"> PAGE </w:instrText>
    </w:r>
    <w:r w:rsidR="0022345D" w:rsidRPr="00972AD9">
      <w:rPr>
        <w:rStyle w:val="PageNumber"/>
        <w:rFonts w:cs="Calibri"/>
      </w:rPr>
      <w:fldChar w:fldCharType="separate"/>
    </w:r>
    <w:r w:rsidR="006636CB">
      <w:rPr>
        <w:rStyle w:val="PageNumber"/>
        <w:rFonts w:cs="Calibri"/>
        <w:noProof/>
      </w:rPr>
      <w:t>3</w:t>
    </w:r>
    <w:r w:rsidR="0022345D" w:rsidRPr="00972AD9">
      <w:rPr>
        <w:rStyle w:val="PageNumber"/>
        <w:rFonts w:cs="Calibri"/>
      </w:rPr>
      <w:fldChar w:fldCharType="end"/>
    </w:r>
    <w:r w:rsidRPr="00972AD9">
      <w:rPr>
        <w:rStyle w:val="PageNumber"/>
        <w:rFonts w:cs="Traditional Arabic"/>
        <w:szCs w:val="26"/>
      </w:rPr>
      <w:t xml:space="preserve">- </w:t>
    </w:r>
    <w:r w:rsidRPr="00972AD9">
      <w:rPr>
        <w:rStyle w:val="PageNumber"/>
        <w:rFonts w:cs="Traditional Arabic"/>
        <w:szCs w:val="26"/>
        <w:rtl/>
      </w:rPr>
      <w:br/>
    </w:r>
    <w:r w:rsidRPr="00972AD9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9926EC">
      <w:rPr>
        <w:rStyle w:val="PageNumber"/>
        <w:rFonts w:cs="Traditional Arabic"/>
        <w:szCs w:val="26"/>
        <w:lang w:bidi="ar-EG"/>
      </w:rPr>
      <w:t>189</w:t>
    </w:r>
    <w:r w:rsidRPr="00972AD9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E9" w:rsidRDefault="002C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9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059EF"/>
    <w:rsid w:val="001252C4"/>
    <w:rsid w:val="0016640F"/>
    <w:rsid w:val="00167914"/>
    <w:rsid w:val="00173915"/>
    <w:rsid w:val="001C28DD"/>
    <w:rsid w:val="002031E9"/>
    <w:rsid w:val="00211DEC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26E9"/>
    <w:rsid w:val="002C4DAE"/>
    <w:rsid w:val="002C5E22"/>
    <w:rsid w:val="002D6669"/>
    <w:rsid w:val="002E6541"/>
    <w:rsid w:val="002E6EB9"/>
    <w:rsid w:val="002F5560"/>
    <w:rsid w:val="0030004D"/>
    <w:rsid w:val="0030486B"/>
    <w:rsid w:val="003231B9"/>
    <w:rsid w:val="003275AC"/>
    <w:rsid w:val="00333D29"/>
    <w:rsid w:val="003409F4"/>
    <w:rsid w:val="003433D9"/>
    <w:rsid w:val="00352487"/>
    <w:rsid w:val="00357185"/>
    <w:rsid w:val="003B367C"/>
    <w:rsid w:val="003C106D"/>
    <w:rsid w:val="003C475F"/>
    <w:rsid w:val="003D0B92"/>
    <w:rsid w:val="003D1C5E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05FF"/>
    <w:rsid w:val="00501E0E"/>
    <w:rsid w:val="005045EF"/>
    <w:rsid w:val="00513E16"/>
    <w:rsid w:val="005204D7"/>
    <w:rsid w:val="00530420"/>
    <w:rsid w:val="00552BC5"/>
    <w:rsid w:val="0055322D"/>
    <w:rsid w:val="0055516A"/>
    <w:rsid w:val="0056374C"/>
    <w:rsid w:val="0056614F"/>
    <w:rsid w:val="00570526"/>
    <w:rsid w:val="0057656F"/>
    <w:rsid w:val="00576731"/>
    <w:rsid w:val="0059285F"/>
    <w:rsid w:val="00593CC2"/>
    <w:rsid w:val="005A24B1"/>
    <w:rsid w:val="005B7B8A"/>
    <w:rsid w:val="005D6476"/>
    <w:rsid w:val="005D6C0D"/>
    <w:rsid w:val="005E5283"/>
    <w:rsid w:val="005E58F5"/>
    <w:rsid w:val="006013E6"/>
    <w:rsid w:val="00606660"/>
    <w:rsid w:val="00610D29"/>
    <w:rsid w:val="006147AA"/>
    <w:rsid w:val="006157A3"/>
    <w:rsid w:val="00620E60"/>
    <w:rsid w:val="0063315A"/>
    <w:rsid w:val="006425E5"/>
    <w:rsid w:val="0065591D"/>
    <w:rsid w:val="00662C5A"/>
    <w:rsid w:val="006636CB"/>
    <w:rsid w:val="00670AF5"/>
    <w:rsid w:val="006A0B4F"/>
    <w:rsid w:val="006C0513"/>
    <w:rsid w:val="006C1556"/>
    <w:rsid w:val="006F267F"/>
    <w:rsid w:val="006F63F7"/>
    <w:rsid w:val="006F6F03"/>
    <w:rsid w:val="00701269"/>
    <w:rsid w:val="00706D7A"/>
    <w:rsid w:val="00722C99"/>
    <w:rsid w:val="00726AEC"/>
    <w:rsid w:val="00735AC5"/>
    <w:rsid w:val="007530CA"/>
    <w:rsid w:val="007627F5"/>
    <w:rsid w:val="00785BEF"/>
    <w:rsid w:val="0079553D"/>
    <w:rsid w:val="00796199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0490C"/>
    <w:rsid w:val="008235CD"/>
    <w:rsid w:val="00823A07"/>
    <w:rsid w:val="00835FEC"/>
    <w:rsid w:val="008513CB"/>
    <w:rsid w:val="00857F1D"/>
    <w:rsid w:val="00874D9C"/>
    <w:rsid w:val="00880D13"/>
    <w:rsid w:val="008A1810"/>
    <w:rsid w:val="008A4489"/>
    <w:rsid w:val="008B0BA2"/>
    <w:rsid w:val="008B5B5D"/>
    <w:rsid w:val="008C490E"/>
    <w:rsid w:val="00912219"/>
    <w:rsid w:val="00917694"/>
    <w:rsid w:val="00921769"/>
    <w:rsid w:val="009263CD"/>
    <w:rsid w:val="00930E6D"/>
    <w:rsid w:val="00945935"/>
    <w:rsid w:val="009473DC"/>
    <w:rsid w:val="00972AD9"/>
    <w:rsid w:val="00972CA2"/>
    <w:rsid w:val="00982B28"/>
    <w:rsid w:val="00984EA5"/>
    <w:rsid w:val="00992593"/>
    <w:rsid w:val="009926EC"/>
    <w:rsid w:val="009A69DD"/>
    <w:rsid w:val="009B1056"/>
    <w:rsid w:val="009C17E1"/>
    <w:rsid w:val="009C35ED"/>
    <w:rsid w:val="009C65EF"/>
    <w:rsid w:val="009E70DC"/>
    <w:rsid w:val="009F1C12"/>
    <w:rsid w:val="00A124CB"/>
    <w:rsid w:val="00A15845"/>
    <w:rsid w:val="00A15A8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3E01"/>
    <w:rsid w:val="00A97F94"/>
    <w:rsid w:val="00AB1309"/>
    <w:rsid w:val="00AC2C52"/>
    <w:rsid w:val="00AD1503"/>
    <w:rsid w:val="00AE57FE"/>
    <w:rsid w:val="00AE7244"/>
    <w:rsid w:val="00AF3FEE"/>
    <w:rsid w:val="00B026C8"/>
    <w:rsid w:val="00B02F46"/>
    <w:rsid w:val="00B2000C"/>
    <w:rsid w:val="00B20ADE"/>
    <w:rsid w:val="00B23C4B"/>
    <w:rsid w:val="00B6510A"/>
    <w:rsid w:val="00B66B9A"/>
    <w:rsid w:val="00B82089"/>
    <w:rsid w:val="00B970AE"/>
    <w:rsid w:val="00BA1427"/>
    <w:rsid w:val="00BD0C50"/>
    <w:rsid w:val="00BD6EA5"/>
    <w:rsid w:val="00BE49D0"/>
    <w:rsid w:val="00BF2C38"/>
    <w:rsid w:val="00C23331"/>
    <w:rsid w:val="00C265DA"/>
    <w:rsid w:val="00C41529"/>
    <w:rsid w:val="00C442F2"/>
    <w:rsid w:val="00C674FE"/>
    <w:rsid w:val="00C7297D"/>
    <w:rsid w:val="00C75633"/>
    <w:rsid w:val="00C8242E"/>
    <w:rsid w:val="00C82615"/>
    <w:rsid w:val="00C867DB"/>
    <w:rsid w:val="00C940CE"/>
    <w:rsid w:val="00CA0438"/>
    <w:rsid w:val="00CA2A38"/>
    <w:rsid w:val="00CA50FF"/>
    <w:rsid w:val="00CA6EFB"/>
    <w:rsid w:val="00CB5705"/>
    <w:rsid w:val="00CC3CD2"/>
    <w:rsid w:val="00CC43BE"/>
    <w:rsid w:val="00CD123C"/>
    <w:rsid w:val="00CD1422"/>
    <w:rsid w:val="00CD2085"/>
    <w:rsid w:val="00CE2EE1"/>
    <w:rsid w:val="00CE7A12"/>
    <w:rsid w:val="00CF3FFD"/>
    <w:rsid w:val="00CF5ED3"/>
    <w:rsid w:val="00D0494C"/>
    <w:rsid w:val="00D06367"/>
    <w:rsid w:val="00D14BEB"/>
    <w:rsid w:val="00D21C89"/>
    <w:rsid w:val="00D355E8"/>
    <w:rsid w:val="00D3599E"/>
    <w:rsid w:val="00D45542"/>
    <w:rsid w:val="00D62DCE"/>
    <w:rsid w:val="00D64B7E"/>
    <w:rsid w:val="00D675BD"/>
    <w:rsid w:val="00D77D0F"/>
    <w:rsid w:val="00DA1CF0"/>
    <w:rsid w:val="00DA57E6"/>
    <w:rsid w:val="00DB07E9"/>
    <w:rsid w:val="00DB2271"/>
    <w:rsid w:val="00DB5659"/>
    <w:rsid w:val="00DC24B4"/>
    <w:rsid w:val="00DD7A05"/>
    <w:rsid w:val="00DE2573"/>
    <w:rsid w:val="00DF16DC"/>
    <w:rsid w:val="00DF2610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25DA4"/>
    <w:rsid w:val="00E32189"/>
    <w:rsid w:val="00E40BBD"/>
    <w:rsid w:val="00E45211"/>
    <w:rsid w:val="00E7292D"/>
    <w:rsid w:val="00E7380C"/>
    <w:rsid w:val="00E74BE7"/>
    <w:rsid w:val="00E86CC9"/>
    <w:rsid w:val="00E96624"/>
    <w:rsid w:val="00E9693D"/>
    <w:rsid w:val="00ED0331"/>
    <w:rsid w:val="00F126F1"/>
    <w:rsid w:val="00F2106A"/>
    <w:rsid w:val="00F36D8B"/>
    <w:rsid w:val="00F401D0"/>
    <w:rsid w:val="00F45F2B"/>
    <w:rsid w:val="00F57AE4"/>
    <w:rsid w:val="00F67150"/>
    <w:rsid w:val="00F72656"/>
    <w:rsid w:val="00F74527"/>
    <w:rsid w:val="00F84366"/>
    <w:rsid w:val="00F85089"/>
    <w:rsid w:val="00F85564"/>
    <w:rsid w:val="00F86CFA"/>
    <w:rsid w:val="00FC2CD7"/>
    <w:rsid w:val="00FD2867"/>
    <w:rsid w:val="00FD58BD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A2F0E4"/>
  <w15:chartTrackingRefBased/>
  <w15:docId w15:val="{FD7E128B-72E3-4FC6-906A-F1419FA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D9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Headingb0">
    <w:name w:val="Heading b"/>
    <w:basedOn w:val="Normal"/>
    <w:qFormat/>
    <w:rsid w:val="00CA6EFB"/>
    <w:pPr>
      <w:keepNext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/>
    </w:rPr>
  </w:style>
  <w:style w:type="paragraph" w:customStyle="1" w:styleId="HeadingI0">
    <w:name w:val="Heading I"/>
    <w:basedOn w:val="Normal"/>
    <w:qFormat/>
    <w:rsid w:val="003B367C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Theme="minorEastAsia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2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tu.in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de10a323-94a9-4e93-88b4-ea964576960d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ECE516-2BE0-46BA-BC24-C2A090E4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39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33</cp:revision>
  <cp:lastPrinted>2019-07-31T14:17:00Z</cp:lastPrinted>
  <dcterms:created xsi:type="dcterms:W3CDTF">2019-07-26T14:03:00Z</dcterms:created>
  <dcterms:modified xsi:type="dcterms:W3CDTF">2019-07-31T14:17:00Z</dcterms:modified>
  <cp:category>Conference document</cp:category>
</cp:coreProperties>
</file>