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000" w:firstRow="0" w:lastRow="0" w:firstColumn="0" w:lastColumn="0" w:noHBand="0" w:noVBand="0"/>
      </w:tblPr>
      <w:tblGrid>
        <w:gridCol w:w="1134"/>
        <w:gridCol w:w="142"/>
        <w:gridCol w:w="3402"/>
        <w:gridCol w:w="3119"/>
        <w:gridCol w:w="1984"/>
      </w:tblGrid>
      <w:tr w:rsidR="0014734E" w:rsidRPr="00405C86" w14:paraId="6E33689A" w14:textId="77777777" w:rsidTr="0089346E">
        <w:trPr>
          <w:trHeight w:val="1282"/>
        </w:trPr>
        <w:tc>
          <w:tcPr>
            <w:tcW w:w="1276" w:type="dxa"/>
            <w:gridSpan w:val="2"/>
            <w:shd w:val="clear" w:color="auto" w:fill="auto"/>
            <w:tcMar>
              <w:left w:w="0" w:type="dxa"/>
              <w:right w:w="0" w:type="dxa"/>
            </w:tcMar>
            <w:vAlign w:val="center"/>
          </w:tcPr>
          <w:p w14:paraId="0917F32A" w14:textId="77777777" w:rsidR="0014734E" w:rsidRPr="00405C86" w:rsidRDefault="002A284F" w:rsidP="0089346E">
            <w:pPr>
              <w:pStyle w:val="Tabletext"/>
              <w:jc w:val="center"/>
            </w:pPr>
            <w:r>
              <w:rPr>
                <w:noProof/>
                <w:lang w:eastAsia="en-GB"/>
              </w:rPr>
              <w:drawing>
                <wp:inline distT="0" distB="0" distL="0" distR="0" wp14:anchorId="010AC997" wp14:editId="15E4671F">
                  <wp:extent cx="807720" cy="807720"/>
                  <wp:effectExtent l="0" t="0" r="0" b="0"/>
                  <wp:docPr id="7" name="Picture 7"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76D84009" w14:textId="77777777" w:rsidR="0014734E" w:rsidRPr="00405C86" w:rsidRDefault="0014734E" w:rsidP="0089346E">
            <w:pPr>
              <w:spacing w:before="0"/>
              <w:rPr>
                <w:rFonts w:cs="Times New Roman Bold"/>
                <w:b/>
                <w:bCs/>
                <w:smallCaps/>
                <w:sz w:val="26"/>
                <w:szCs w:val="26"/>
              </w:rPr>
            </w:pPr>
            <w:r w:rsidRPr="00405C86">
              <w:rPr>
                <w:rFonts w:cs="Times New Roman Bold"/>
                <w:b/>
                <w:bCs/>
                <w:smallCaps/>
                <w:sz w:val="36"/>
                <w:szCs w:val="36"/>
              </w:rPr>
              <w:t>International telecommunication union</w:t>
            </w:r>
          </w:p>
          <w:p w14:paraId="611D98CC" w14:textId="77777777" w:rsidR="0014734E" w:rsidRPr="00405C86" w:rsidRDefault="0014734E" w:rsidP="0089346E">
            <w:pPr>
              <w:spacing w:before="0"/>
              <w:rPr>
                <w:rFonts w:ascii="Verdana" w:hAnsi="Verdana"/>
                <w:color w:val="FFFFFF"/>
                <w:sz w:val="26"/>
                <w:szCs w:val="26"/>
              </w:rPr>
            </w:pPr>
            <w:r w:rsidRPr="00405C86">
              <w:rPr>
                <w:rFonts w:cs="Times New Roman Bold"/>
                <w:b/>
                <w:bCs/>
                <w:iCs/>
                <w:smallCaps/>
                <w:sz w:val="28"/>
                <w:szCs w:val="28"/>
              </w:rPr>
              <w:t>Telecommunication Standardization Bureau</w:t>
            </w:r>
          </w:p>
        </w:tc>
        <w:tc>
          <w:tcPr>
            <w:tcW w:w="1984" w:type="dxa"/>
            <w:shd w:val="clear" w:color="auto" w:fill="auto"/>
            <w:vAlign w:val="center"/>
          </w:tcPr>
          <w:p w14:paraId="477BA9F1" w14:textId="77777777" w:rsidR="0014734E" w:rsidRPr="00405C86" w:rsidRDefault="0014734E" w:rsidP="0089346E">
            <w:pPr>
              <w:spacing w:before="0"/>
              <w:jc w:val="right"/>
              <w:rPr>
                <w:rFonts w:ascii="Verdana" w:hAnsi="Verdana"/>
                <w:color w:val="FFFFFF"/>
                <w:sz w:val="26"/>
                <w:szCs w:val="26"/>
              </w:rPr>
            </w:pPr>
          </w:p>
        </w:tc>
      </w:tr>
      <w:tr w:rsidR="0014734E" w:rsidRPr="00405C86" w14:paraId="0D621A7A" w14:textId="77777777" w:rsidTr="0089346E">
        <w:trPr>
          <w:cantSplit/>
          <w:trHeight w:val="80"/>
        </w:trPr>
        <w:tc>
          <w:tcPr>
            <w:tcW w:w="4678" w:type="dxa"/>
            <w:gridSpan w:val="3"/>
            <w:vAlign w:val="center"/>
          </w:tcPr>
          <w:p w14:paraId="4540C4EB" w14:textId="77777777" w:rsidR="0014734E" w:rsidRPr="00405C86" w:rsidRDefault="0014734E" w:rsidP="0089346E">
            <w:pPr>
              <w:pStyle w:val="Tabletext"/>
              <w:jc w:val="right"/>
            </w:pPr>
          </w:p>
        </w:tc>
        <w:tc>
          <w:tcPr>
            <w:tcW w:w="5103" w:type="dxa"/>
            <w:gridSpan w:val="2"/>
            <w:vAlign w:val="center"/>
          </w:tcPr>
          <w:p w14:paraId="60CF57A4" w14:textId="2B4A1034" w:rsidR="0014734E" w:rsidRPr="00405C86" w:rsidRDefault="0014734E" w:rsidP="00C65C6E">
            <w:pPr>
              <w:pStyle w:val="Tabletext"/>
              <w:spacing w:before="480" w:after="120"/>
              <w:ind w:left="-108"/>
            </w:pPr>
            <w:r w:rsidRPr="00405C86">
              <w:t xml:space="preserve">Geneva, </w:t>
            </w:r>
            <w:r w:rsidR="00C65C6E">
              <w:t>21 August 2019</w:t>
            </w:r>
          </w:p>
        </w:tc>
      </w:tr>
      <w:tr w:rsidR="0014734E" w:rsidRPr="00405C86" w14:paraId="6173ACFE" w14:textId="77777777" w:rsidTr="0089346E">
        <w:trPr>
          <w:cantSplit/>
          <w:trHeight w:val="746"/>
        </w:trPr>
        <w:tc>
          <w:tcPr>
            <w:tcW w:w="1134" w:type="dxa"/>
          </w:tcPr>
          <w:p w14:paraId="079E8361" w14:textId="77777777" w:rsidR="0014734E" w:rsidRPr="00073E7B" w:rsidRDefault="0014734E" w:rsidP="0089346E">
            <w:pPr>
              <w:pStyle w:val="Tabletext"/>
            </w:pPr>
            <w:r w:rsidRPr="00073E7B">
              <w:t>Ref:</w:t>
            </w:r>
          </w:p>
        </w:tc>
        <w:tc>
          <w:tcPr>
            <w:tcW w:w="3544" w:type="dxa"/>
            <w:gridSpan w:val="2"/>
          </w:tcPr>
          <w:p w14:paraId="6722D789" w14:textId="75DD52D0" w:rsidR="0014734E" w:rsidRPr="00405C86" w:rsidRDefault="0014734E" w:rsidP="00AC2C6A">
            <w:pPr>
              <w:pStyle w:val="Tabletext"/>
              <w:rPr>
                <w:b/>
                <w:bCs/>
              </w:rPr>
            </w:pPr>
            <w:r w:rsidRPr="00405C86">
              <w:rPr>
                <w:b/>
                <w:bCs/>
              </w:rPr>
              <w:t xml:space="preserve">TSB Circular </w:t>
            </w:r>
            <w:r w:rsidR="00AC2C6A">
              <w:rPr>
                <w:b/>
                <w:bCs/>
              </w:rPr>
              <w:t>191</w:t>
            </w:r>
          </w:p>
        </w:tc>
        <w:tc>
          <w:tcPr>
            <w:tcW w:w="5103" w:type="dxa"/>
            <w:gridSpan w:val="2"/>
            <w:vMerge w:val="restart"/>
          </w:tcPr>
          <w:p w14:paraId="3EB37E8F" w14:textId="77777777" w:rsidR="0014734E" w:rsidRPr="00405C86" w:rsidRDefault="0014734E" w:rsidP="0089346E">
            <w:pPr>
              <w:tabs>
                <w:tab w:val="clear" w:pos="794"/>
                <w:tab w:val="clear" w:pos="1191"/>
                <w:tab w:val="clear" w:pos="1588"/>
                <w:tab w:val="clear" w:pos="1985"/>
                <w:tab w:val="left" w:pos="241"/>
              </w:tabs>
              <w:spacing w:before="0"/>
              <w:ind w:left="283" w:hanging="391"/>
              <w:rPr>
                <w:szCs w:val="24"/>
              </w:rPr>
            </w:pPr>
            <w:r w:rsidRPr="00405C86">
              <w:rPr>
                <w:b/>
              </w:rPr>
              <w:t>To:</w:t>
            </w:r>
          </w:p>
          <w:p w14:paraId="070AFAFC" w14:textId="77777777" w:rsidR="0014734E" w:rsidRPr="00405C86" w:rsidRDefault="0014734E" w:rsidP="0089346E">
            <w:pPr>
              <w:tabs>
                <w:tab w:val="clear" w:pos="794"/>
                <w:tab w:val="clear" w:pos="1191"/>
                <w:tab w:val="clear" w:pos="1588"/>
                <w:tab w:val="clear" w:pos="1985"/>
              </w:tabs>
              <w:spacing w:before="40"/>
              <w:ind w:left="283" w:hanging="391"/>
              <w:rPr>
                <w:szCs w:val="24"/>
              </w:rPr>
            </w:pPr>
            <w:r w:rsidRPr="00405C86">
              <w:rPr>
                <w:szCs w:val="24"/>
              </w:rPr>
              <w:t>-</w:t>
            </w:r>
            <w:r w:rsidRPr="00405C86">
              <w:rPr>
                <w:szCs w:val="24"/>
              </w:rPr>
              <w:tab/>
              <w:t>Administrations of Member States of</w:t>
            </w:r>
            <w:r w:rsidRPr="00405C86">
              <w:rPr>
                <w:szCs w:val="24"/>
              </w:rPr>
              <w:br/>
              <w:t>the Union;</w:t>
            </w:r>
          </w:p>
          <w:p w14:paraId="4B4B5084" w14:textId="77777777" w:rsidR="0014734E" w:rsidRPr="00054FD1" w:rsidRDefault="0014734E" w:rsidP="0089346E">
            <w:pPr>
              <w:tabs>
                <w:tab w:val="clear" w:pos="794"/>
                <w:tab w:val="clear" w:pos="1191"/>
                <w:tab w:val="clear" w:pos="1588"/>
                <w:tab w:val="clear" w:pos="1985"/>
              </w:tabs>
              <w:spacing w:before="40"/>
              <w:ind w:left="283" w:hanging="391"/>
              <w:rPr>
                <w:szCs w:val="24"/>
                <w:lang w:val="fr-CH"/>
              </w:rPr>
            </w:pPr>
            <w:r w:rsidRPr="00054FD1">
              <w:rPr>
                <w:szCs w:val="24"/>
                <w:lang w:val="fr-CH"/>
              </w:rPr>
              <w:t>-</w:t>
            </w:r>
            <w:r w:rsidRPr="00054FD1">
              <w:rPr>
                <w:szCs w:val="24"/>
                <w:lang w:val="fr-CH"/>
              </w:rPr>
              <w:tab/>
              <w:t xml:space="preserve">ITU-T </w:t>
            </w:r>
            <w:proofErr w:type="spellStart"/>
            <w:r w:rsidRPr="00054FD1">
              <w:rPr>
                <w:szCs w:val="24"/>
                <w:lang w:val="fr-CH"/>
              </w:rPr>
              <w:t>Sector</w:t>
            </w:r>
            <w:proofErr w:type="spellEnd"/>
            <w:r w:rsidRPr="00054FD1">
              <w:rPr>
                <w:szCs w:val="24"/>
                <w:lang w:val="fr-CH"/>
              </w:rPr>
              <w:t xml:space="preserve"> </w:t>
            </w:r>
            <w:proofErr w:type="spellStart"/>
            <w:r w:rsidRPr="00054FD1">
              <w:rPr>
                <w:szCs w:val="24"/>
                <w:lang w:val="fr-CH"/>
              </w:rPr>
              <w:t>Members</w:t>
            </w:r>
            <w:proofErr w:type="spellEnd"/>
            <w:r w:rsidRPr="00054FD1">
              <w:rPr>
                <w:szCs w:val="24"/>
                <w:lang w:val="fr-CH"/>
              </w:rPr>
              <w:t>;</w:t>
            </w:r>
          </w:p>
          <w:p w14:paraId="235CAFEC" w14:textId="77777777" w:rsidR="0014734E" w:rsidRPr="00054FD1" w:rsidRDefault="0014734E" w:rsidP="0089346E">
            <w:pPr>
              <w:tabs>
                <w:tab w:val="clear" w:pos="794"/>
                <w:tab w:val="clear" w:pos="1191"/>
                <w:tab w:val="clear" w:pos="1588"/>
                <w:tab w:val="clear" w:pos="1985"/>
              </w:tabs>
              <w:spacing w:before="40"/>
              <w:ind w:left="283" w:hanging="391"/>
              <w:rPr>
                <w:szCs w:val="24"/>
                <w:lang w:val="fr-CH"/>
              </w:rPr>
            </w:pPr>
            <w:r w:rsidRPr="00054FD1">
              <w:rPr>
                <w:szCs w:val="24"/>
                <w:lang w:val="fr-CH"/>
              </w:rPr>
              <w:t>-</w:t>
            </w:r>
            <w:r w:rsidRPr="00054FD1">
              <w:rPr>
                <w:szCs w:val="24"/>
                <w:lang w:val="fr-CH"/>
              </w:rPr>
              <w:tab/>
              <w:t>ITU-T Associates;</w:t>
            </w:r>
          </w:p>
          <w:p w14:paraId="35D5ADA7" w14:textId="77777777" w:rsidR="0014734E" w:rsidRPr="00405C86" w:rsidRDefault="004F4BF4" w:rsidP="0089346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ind w:left="283" w:hanging="391"/>
              <w:rPr>
                <w:szCs w:val="24"/>
              </w:rPr>
            </w:pPr>
            <w:r>
              <w:rPr>
                <w:szCs w:val="24"/>
              </w:rPr>
              <w:t>-</w:t>
            </w:r>
            <w:r>
              <w:rPr>
                <w:szCs w:val="24"/>
              </w:rPr>
              <w:tab/>
              <w:t>ITU Academia</w:t>
            </w:r>
          </w:p>
        </w:tc>
      </w:tr>
      <w:tr w:rsidR="0014734E" w:rsidRPr="00405C86" w14:paraId="0DC59136" w14:textId="77777777" w:rsidTr="0089346E">
        <w:trPr>
          <w:cantSplit/>
          <w:trHeight w:val="221"/>
        </w:trPr>
        <w:tc>
          <w:tcPr>
            <w:tcW w:w="1134" w:type="dxa"/>
          </w:tcPr>
          <w:p w14:paraId="2DC0777F" w14:textId="77777777" w:rsidR="0014734E" w:rsidRPr="00073E7B" w:rsidRDefault="0014734E" w:rsidP="0089346E">
            <w:pPr>
              <w:pStyle w:val="Tabletext"/>
            </w:pPr>
            <w:r w:rsidRPr="00073E7B">
              <w:t>Tel:</w:t>
            </w:r>
          </w:p>
        </w:tc>
        <w:tc>
          <w:tcPr>
            <w:tcW w:w="3544" w:type="dxa"/>
            <w:gridSpan w:val="2"/>
          </w:tcPr>
          <w:p w14:paraId="4BB51A34" w14:textId="77777777" w:rsidR="0014734E" w:rsidRPr="00405C86" w:rsidRDefault="0014734E" w:rsidP="00073E7B">
            <w:pPr>
              <w:pStyle w:val="Tabletext"/>
              <w:rPr>
                <w:b/>
              </w:rPr>
            </w:pPr>
            <w:r w:rsidRPr="00405C86">
              <w:t xml:space="preserve">+41 22 730 </w:t>
            </w:r>
            <w:r w:rsidR="00D22446">
              <w:t>5</w:t>
            </w:r>
            <w:r w:rsidR="00073E7B">
              <w:t>356</w:t>
            </w:r>
          </w:p>
        </w:tc>
        <w:tc>
          <w:tcPr>
            <w:tcW w:w="5103" w:type="dxa"/>
            <w:gridSpan w:val="2"/>
            <w:vMerge/>
          </w:tcPr>
          <w:p w14:paraId="7DBB1946" w14:textId="77777777" w:rsidR="0014734E" w:rsidRPr="00405C86" w:rsidRDefault="0014734E" w:rsidP="0089346E">
            <w:pPr>
              <w:pStyle w:val="Tabletext"/>
              <w:ind w:left="142" w:hanging="391"/>
            </w:pPr>
          </w:p>
        </w:tc>
      </w:tr>
      <w:tr w:rsidR="0014734E" w:rsidRPr="00405C86" w14:paraId="33F5F6B0" w14:textId="77777777" w:rsidTr="0089346E">
        <w:trPr>
          <w:cantSplit/>
          <w:trHeight w:val="282"/>
        </w:trPr>
        <w:tc>
          <w:tcPr>
            <w:tcW w:w="1134" w:type="dxa"/>
          </w:tcPr>
          <w:p w14:paraId="6F6084FA" w14:textId="77777777" w:rsidR="0014734E" w:rsidRPr="00073E7B" w:rsidRDefault="0014734E" w:rsidP="0089346E">
            <w:pPr>
              <w:pStyle w:val="Tabletext"/>
            </w:pPr>
            <w:r w:rsidRPr="00073E7B">
              <w:t>Fax:</w:t>
            </w:r>
          </w:p>
        </w:tc>
        <w:tc>
          <w:tcPr>
            <w:tcW w:w="3544" w:type="dxa"/>
            <w:gridSpan w:val="2"/>
          </w:tcPr>
          <w:p w14:paraId="64DA6C25" w14:textId="77777777" w:rsidR="0014734E" w:rsidRPr="00405C86" w:rsidRDefault="0014734E" w:rsidP="0089346E">
            <w:pPr>
              <w:pStyle w:val="Tabletext"/>
              <w:rPr>
                <w:b/>
              </w:rPr>
            </w:pPr>
            <w:r w:rsidRPr="00405C86">
              <w:t>+41 22 730 5853</w:t>
            </w:r>
          </w:p>
        </w:tc>
        <w:tc>
          <w:tcPr>
            <w:tcW w:w="5103" w:type="dxa"/>
            <w:gridSpan w:val="2"/>
            <w:vMerge/>
          </w:tcPr>
          <w:p w14:paraId="2A73B510" w14:textId="77777777" w:rsidR="0014734E" w:rsidRPr="00405C86" w:rsidRDefault="0014734E" w:rsidP="0089346E">
            <w:pPr>
              <w:pStyle w:val="Tabletext"/>
              <w:ind w:left="142" w:hanging="391"/>
            </w:pPr>
          </w:p>
        </w:tc>
      </w:tr>
      <w:tr w:rsidR="0014734E" w:rsidRPr="00405C86" w14:paraId="1AACED56" w14:textId="77777777" w:rsidTr="0089346E">
        <w:trPr>
          <w:cantSplit/>
          <w:trHeight w:val="1652"/>
        </w:trPr>
        <w:tc>
          <w:tcPr>
            <w:tcW w:w="1134" w:type="dxa"/>
          </w:tcPr>
          <w:p w14:paraId="7E058989" w14:textId="77777777" w:rsidR="0014734E" w:rsidRPr="00073E7B" w:rsidRDefault="0014734E" w:rsidP="0089346E">
            <w:pPr>
              <w:pStyle w:val="Tabletext"/>
            </w:pPr>
            <w:r w:rsidRPr="00073E7B">
              <w:t>E-mail:</w:t>
            </w:r>
          </w:p>
        </w:tc>
        <w:tc>
          <w:tcPr>
            <w:tcW w:w="3544" w:type="dxa"/>
            <w:gridSpan w:val="2"/>
          </w:tcPr>
          <w:p w14:paraId="357A578A" w14:textId="77777777" w:rsidR="0014734E" w:rsidRPr="00405C86" w:rsidRDefault="00523051" w:rsidP="00073E7B">
            <w:pPr>
              <w:pStyle w:val="Tabletext"/>
            </w:pPr>
            <w:hyperlink r:id="rId12" w:history="1">
              <w:r w:rsidR="00073E7B" w:rsidRPr="00DC3B08">
                <w:rPr>
                  <w:rStyle w:val="Hyperlink"/>
                </w:rPr>
                <w:t>tsbfgai4ee@itu.int</w:t>
              </w:r>
            </w:hyperlink>
          </w:p>
        </w:tc>
        <w:tc>
          <w:tcPr>
            <w:tcW w:w="5103" w:type="dxa"/>
            <w:gridSpan w:val="2"/>
          </w:tcPr>
          <w:p w14:paraId="317D0BE5" w14:textId="77777777" w:rsidR="00E20A38" w:rsidRPr="00963900" w:rsidRDefault="00E20A38" w:rsidP="00E20A38">
            <w:pPr>
              <w:pStyle w:val="Tabletext"/>
              <w:ind w:left="283" w:hanging="391"/>
            </w:pPr>
            <w:r w:rsidRPr="00963900">
              <w:rPr>
                <w:b/>
              </w:rPr>
              <w:t>Copy to:</w:t>
            </w:r>
          </w:p>
          <w:p w14:paraId="253E23F7" w14:textId="77777777" w:rsidR="00E20A38" w:rsidRPr="00963900" w:rsidRDefault="00E20A38" w:rsidP="00E20A38">
            <w:pPr>
              <w:pStyle w:val="Tabletext"/>
              <w:tabs>
                <w:tab w:val="clear" w:pos="284"/>
              </w:tabs>
              <w:ind w:left="283" w:hanging="391"/>
            </w:pPr>
            <w:r w:rsidRPr="00963900">
              <w:t>-</w:t>
            </w:r>
            <w:r w:rsidRPr="00963900">
              <w:tab/>
              <w:t>The Chairm</w:t>
            </w:r>
            <w:r>
              <w:t>e</w:t>
            </w:r>
            <w:r w:rsidRPr="00963900">
              <w:t>n and Vice-Chairmen of Study Groups;</w:t>
            </w:r>
          </w:p>
          <w:p w14:paraId="5BF6710D" w14:textId="77777777" w:rsidR="00E20A38" w:rsidRPr="00963900" w:rsidRDefault="00E20A38" w:rsidP="00E20A38">
            <w:pPr>
              <w:pStyle w:val="Tabletext"/>
              <w:tabs>
                <w:tab w:val="clear" w:pos="284"/>
              </w:tabs>
              <w:ind w:left="283" w:hanging="391"/>
            </w:pPr>
            <w:r w:rsidRPr="00963900">
              <w:t>-</w:t>
            </w:r>
            <w:r w:rsidRPr="00963900">
              <w:tab/>
              <w:t>The Director of the Telecommunication Development Bureau;</w:t>
            </w:r>
          </w:p>
          <w:p w14:paraId="185BF404" w14:textId="77777777" w:rsidR="0014734E" w:rsidRPr="00405C86" w:rsidRDefault="00E20A38" w:rsidP="00E20A38">
            <w:pPr>
              <w:pStyle w:val="Tabletext"/>
              <w:tabs>
                <w:tab w:val="clear" w:pos="284"/>
              </w:tabs>
              <w:ind w:left="283" w:hanging="391"/>
            </w:pPr>
            <w:r w:rsidRPr="00963900">
              <w:t>-</w:t>
            </w:r>
            <w:r w:rsidRPr="00963900">
              <w:tab/>
              <w:t xml:space="preserve">The Director of the </w:t>
            </w:r>
            <w:proofErr w:type="spellStart"/>
            <w:r w:rsidRPr="00963900">
              <w:t>Radiocommunication</w:t>
            </w:r>
            <w:proofErr w:type="spellEnd"/>
            <w:r w:rsidRPr="00963900">
              <w:t xml:space="preserve"> Bureau</w:t>
            </w:r>
          </w:p>
        </w:tc>
      </w:tr>
      <w:tr w:rsidR="0014734E" w:rsidRPr="00405C86" w14:paraId="15A2D698" w14:textId="77777777" w:rsidTr="0089346E">
        <w:trPr>
          <w:cantSplit/>
          <w:trHeight w:val="618"/>
        </w:trPr>
        <w:tc>
          <w:tcPr>
            <w:tcW w:w="1134" w:type="dxa"/>
          </w:tcPr>
          <w:p w14:paraId="7719B256" w14:textId="77777777" w:rsidR="0014734E" w:rsidRPr="00405C86" w:rsidRDefault="0014734E" w:rsidP="0089346E">
            <w:pPr>
              <w:pStyle w:val="Tabletext"/>
              <w:spacing w:before="240"/>
            </w:pPr>
            <w:r w:rsidRPr="00405C86">
              <w:rPr>
                <w:b/>
              </w:rPr>
              <w:t>Subject:</w:t>
            </w:r>
          </w:p>
        </w:tc>
        <w:tc>
          <w:tcPr>
            <w:tcW w:w="8647" w:type="dxa"/>
            <w:gridSpan w:val="4"/>
          </w:tcPr>
          <w:p w14:paraId="2FDB92FE" w14:textId="39E2A804" w:rsidR="0014734E" w:rsidRPr="00405C86" w:rsidRDefault="0014734E" w:rsidP="00DE1FCF">
            <w:pPr>
              <w:pStyle w:val="Tabletext"/>
              <w:spacing w:before="240"/>
              <w:rPr>
                <w:b/>
                <w:bCs/>
              </w:rPr>
            </w:pPr>
            <w:r w:rsidRPr="00405C86">
              <w:rPr>
                <w:b/>
                <w:bCs/>
              </w:rPr>
              <w:t xml:space="preserve">Creation of a new ITU-T Focus Group on </w:t>
            </w:r>
            <w:r w:rsidR="00073E7B" w:rsidRPr="00073E7B">
              <w:rPr>
                <w:rFonts w:cs="Segoe UI"/>
                <w:b/>
                <w:bCs/>
              </w:rPr>
              <w:t>Environmental Efficiency for Artificial Intelligence and other Emerging Technologies (FG-AI4EE)</w:t>
            </w:r>
            <w:r w:rsidR="00A314D9">
              <w:rPr>
                <w:b/>
                <w:bCs/>
              </w:rPr>
              <w:t xml:space="preserve"> and its first meeting</w:t>
            </w:r>
            <w:r w:rsidR="00A16A5E">
              <w:rPr>
                <w:b/>
                <w:bCs/>
              </w:rPr>
              <w:t xml:space="preserve">, </w:t>
            </w:r>
            <w:r w:rsidR="00073E7B">
              <w:rPr>
                <w:b/>
                <w:bCs/>
              </w:rPr>
              <w:t>Vienna</w:t>
            </w:r>
            <w:r w:rsidR="008605AB">
              <w:rPr>
                <w:b/>
                <w:bCs/>
              </w:rPr>
              <w:t xml:space="preserve">, </w:t>
            </w:r>
            <w:r w:rsidR="00073E7B">
              <w:rPr>
                <w:b/>
                <w:bCs/>
              </w:rPr>
              <w:t>Austri</w:t>
            </w:r>
            <w:r w:rsidR="008605AB">
              <w:rPr>
                <w:b/>
                <w:bCs/>
              </w:rPr>
              <w:t>a</w:t>
            </w:r>
            <w:r w:rsidR="00B230AE">
              <w:rPr>
                <w:b/>
                <w:bCs/>
              </w:rPr>
              <w:t>,</w:t>
            </w:r>
            <w:r w:rsidR="00A314D9">
              <w:rPr>
                <w:b/>
                <w:bCs/>
              </w:rPr>
              <w:t xml:space="preserve"> </w:t>
            </w:r>
            <w:r w:rsidR="00073E7B">
              <w:rPr>
                <w:b/>
                <w:bCs/>
              </w:rPr>
              <w:t>15 October 2019</w:t>
            </w:r>
          </w:p>
        </w:tc>
      </w:tr>
    </w:tbl>
    <w:p w14:paraId="230F412A" w14:textId="77777777" w:rsidR="0014734E" w:rsidRPr="00566916" w:rsidRDefault="0014734E" w:rsidP="00E20A38">
      <w:pPr>
        <w:spacing w:before="360"/>
        <w:rPr>
          <w:rFonts w:asciiTheme="minorHAnsi" w:hAnsiTheme="minorHAnsi"/>
          <w:szCs w:val="24"/>
        </w:rPr>
      </w:pPr>
      <w:r w:rsidRPr="00566916">
        <w:rPr>
          <w:rFonts w:asciiTheme="minorHAnsi" w:hAnsiTheme="minorHAnsi"/>
          <w:szCs w:val="24"/>
        </w:rPr>
        <w:t>Dear Sir/Madam,</w:t>
      </w:r>
    </w:p>
    <w:p w14:paraId="1B43A7BA" w14:textId="1573C88A" w:rsidR="0014734E" w:rsidRPr="00566916" w:rsidRDefault="0014734E" w:rsidP="0014734E">
      <w:pPr>
        <w:rPr>
          <w:rFonts w:asciiTheme="minorHAnsi" w:hAnsiTheme="minorHAnsi"/>
          <w:szCs w:val="24"/>
        </w:rPr>
      </w:pPr>
      <w:r w:rsidRPr="00566916">
        <w:rPr>
          <w:rFonts w:asciiTheme="minorHAnsi" w:hAnsiTheme="minorHAnsi"/>
          <w:szCs w:val="24"/>
        </w:rPr>
        <w:t>1</w:t>
      </w:r>
      <w:r w:rsidRPr="00566916">
        <w:rPr>
          <w:rFonts w:asciiTheme="minorHAnsi" w:hAnsiTheme="minorHAnsi"/>
          <w:szCs w:val="24"/>
        </w:rPr>
        <w:tab/>
        <w:t xml:space="preserve">Further to the agreement by ITU-T Study Group </w:t>
      </w:r>
      <w:r w:rsidR="00FD6829">
        <w:rPr>
          <w:rFonts w:asciiTheme="minorHAnsi" w:hAnsiTheme="minorHAnsi"/>
          <w:szCs w:val="24"/>
        </w:rPr>
        <w:t>5</w:t>
      </w:r>
      <w:r w:rsidRPr="00566916">
        <w:rPr>
          <w:rFonts w:asciiTheme="minorHAnsi" w:hAnsiTheme="minorHAnsi"/>
          <w:szCs w:val="24"/>
        </w:rPr>
        <w:t xml:space="preserve"> at its meeting in </w:t>
      </w:r>
      <w:r w:rsidR="00FD6829">
        <w:rPr>
          <w:rFonts w:asciiTheme="minorHAnsi" w:hAnsiTheme="minorHAnsi"/>
          <w:szCs w:val="24"/>
        </w:rPr>
        <w:t>Geneva</w:t>
      </w:r>
      <w:r w:rsidRPr="00566916">
        <w:rPr>
          <w:rFonts w:asciiTheme="minorHAnsi" w:hAnsiTheme="minorHAnsi"/>
          <w:szCs w:val="24"/>
        </w:rPr>
        <w:t xml:space="preserve"> (</w:t>
      </w:r>
      <w:r w:rsidR="00FD6829">
        <w:rPr>
          <w:rFonts w:asciiTheme="minorHAnsi" w:hAnsiTheme="minorHAnsi"/>
          <w:szCs w:val="24"/>
        </w:rPr>
        <w:t>13</w:t>
      </w:r>
      <w:r w:rsidRPr="00566916">
        <w:rPr>
          <w:rFonts w:asciiTheme="minorHAnsi" w:hAnsiTheme="minorHAnsi"/>
          <w:szCs w:val="24"/>
        </w:rPr>
        <w:t>-2</w:t>
      </w:r>
      <w:r w:rsidR="00FD6829">
        <w:rPr>
          <w:rFonts w:asciiTheme="minorHAnsi" w:hAnsiTheme="minorHAnsi"/>
          <w:szCs w:val="24"/>
        </w:rPr>
        <w:t>2</w:t>
      </w:r>
      <w:r w:rsidRPr="00566916">
        <w:rPr>
          <w:rFonts w:asciiTheme="minorHAnsi" w:hAnsiTheme="minorHAnsi"/>
          <w:szCs w:val="24"/>
        </w:rPr>
        <w:t xml:space="preserve"> </w:t>
      </w:r>
      <w:r w:rsidR="00FD6829">
        <w:rPr>
          <w:rFonts w:asciiTheme="minorHAnsi" w:hAnsiTheme="minorHAnsi"/>
          <w:szCs w:val="24"/>
        </w:rPr>
        <w:t>May</w:t>
      </w:r>
      <w:r w:rsidRPr="00566916">
        <w:rPr>
          <w:rFonts w:asciiTheme="minorHAnsi" w:hAnsiTheme="minorHAnsi"/>
          <w:szCs w:val="24"/>
        </w:rPr>
        <w:t xml:space="preserve"> 201</w:t>
      </w:r>
      <w:r w:rsidR="00FD6829">
        <w:rPr>
          <w:rFonts w:asciiTheme="minorHAnsi" w:hAnsiTheme="minorHAnsi"/>
          <w:szCs w:val="24"/>
        </w:rPr>
        <w:t>9</w:t>
      </w:r>
      <w:r w:rsidRPr="00566916">
        <w:rPr>
          <w:rFonts w:asciiTheme="minorHAnsi" w:hAnsiTheme="minorHAnsi"/>
          <w:szCs w:val="24"/>
        </w:rPr>
        <w:t>), I am pleased to announce the establishment of the ITU-T Focus Group on</w:t>
      </w:r>
      <w:r w:rsidR="00FD6829">
        <w:rPr>
          <w:rFonts w:asciiTheme="minorHAnsi" w:hAnsiTheme="minorHAnsi"/>
          <w:szCs w:val="24"/>
        </w:rPr>
        <w:t xml:space="preserve"> </w:t>
      </w:r>
      <w:r w:rsidR="00FD6829" w:rsidRPr="00FD6829">
        <w:rPr>
          <w:rFonts w:asciiTheme="minorHAnsi" w:hAnsiTheme="minorHAnsi"/>
          <w:szCs w:val="24"/>
        </w:rPr>
        <w:t>Environmental Efficiency for Artificial Intelligence and other Emerging Technologies (FG-AI4EE)</w:t>
      </w:r>
      <w:r w:rsidRPr="00566916">
        <w:rPr>
          <w:rFonts w:asciiTheme="minorHAnsi" w:hAnsiTheme="minorHAnsi"/>
          <w:szCs w:val="24"/>
        </w:rPr>
        <w:t xml:space="preserve">, with Mr </w:t>
      </w:r>
      <w:r w:rsidR="00FD6829">
        <w:t>Paolo Gemma</w:t>
      </w:r>
      <w:r w:rsidR="00FD6829">
        <w:rPr>
          <w:rFonts w:asciiTheme="minorHAnsi" w:hAnsiTheme="minorHAnsi"/>
          <w:szCs w:val="24"/>
        </w:rPr>
        <w:t xml:space="preserve"> </w:t>
      </w:r>
      <w:r w:rsidR="006E7961" w:rsidRPr="00566916">
        <w:rPr>
          <w:rFonts w:asciiTheme="minorHAnsi" w:hAnsiTheme="minorHAnsi"/>
          <w:szCs w:val="24"/>
        </w:rPr>
        <w:t>(</w:t>
      </w:r>
      <w:r w:rsidR="009F406F" w:rsidRPr="009F406F">
        <w:rPr>
          <w:rFonts w:asciiTheme="minorHAnsi" w:hAnsiTheme="minorHAnsi"/>
          <w:szCs w:val="24"/>
        </w:rPr>
        <w:t>Huawei Technologies Co., Ltd., China</w:t>
      </w:r>
      <w:r w:rsidRPr="00566916">
        <w:rPr>
          <w:rFonts w:asciiTheme="minorHAnsi" w:hAnsiTheme="minorHAnsi"/>
          <w:szCs w:val="24"/>
        </w:rPr>
        <w:t xml:space="preserve">) as </w:t>
      </w:r>
      <w:r w:rsidR="009F406F">
        <w:rPr>
          <w:rFonts w:asciiTheme="minorHAnsi" w:hAnsiTheme="minorHAnsi"/>
          <w:szCs w:val="24"/>
        </w:rPr>
        <w:t>Acting c</w:t>
      </w:r>
      <w:r w:rsidRPr="00566916">
        <w:rPr>
          <w:rFonts w:asciiTheme="minorHAnsi" w:hAnsiTheme="minorHAnsi"/>
          <w:szCs w:val="24"/>
        </w:rPr>
        <w:t>hairman and</w:t>
      </w:r>
      <w:r w:rsidR="00B16A61">
        <w:rPr>
          <w:rFonts w:asciiTheme="minorHAnsi" w:hAnsiTheme="minorHAnsi"/>
          <w:szCs w:val="24"/>
        </w:rPr>
        <w:t xml:space="preserve"> </w:t>
      </w:r>
      <w:r w:rsidR="00D354A4">
        <w:rPr>
          <w:rFonts w:asciiTheme="minorHAnsi" w:hAnsiTheme="minorHAnsi"/>
          <w:szCs w:val="24"/>
        </w:rPr>
        <w:t xml:space="preserve">Mmes </w:t>
      </w:r>
      <w:r w:rsidR="002A57BC" w:rsidRPr="002A57BC">
        <w:rPr>
          <w:rFonts w:asciiTheme="minorHAnsi" w:hAnsiTheme="minorHAnsi"/>
          <w:szCs w:val="24"/>
        </w:rPr>
        <w:t xml:space="preserve">Barbara </w:t>
      </w:r>
      <w:proofErr w:type="spellStart"/>
      <w:r w:rsidR="002A57BC" w:rsidRPr="002A57BC">
        <w:rPr>
          <w:rFonts w:asciiTheme="minorHAnsi" w:hAnsiTheme="minorHAnsi"/>
          <w:szCs w:val="24"/>
        </w:rPr>
        <w:t>Kolm</w:t>
      </w:r>
      <w:proofErr w:type="spellEnd"/>
      <w:r w:rsidR="002A57BC" w:rsidRPr="002A57BC">
        <w:rPr>
          <w:rFonts w:asciiTheme="minorHAnsi" w:hAnsiTheme="minorHAnsi"/>
          <w:szCs w:val="24"/>
        </w:rPr>
        <w:t xml:space="preserve"> </w:t>
      </w:r>
      <w:r w:rsidR="002A57BC">
        <w:rPr>
          <w:rFonts w:asciiTheme="minorHAnsi" w:hAnsiTheme="minorHAnsi"/>
          <w:szCs w:val="24"/>
        </w:rPr>
        <w:t>(</w:t>
      </w:r>
      <w:r w:rsidR="002A57BC" w:rsidRPr="002A57BC">
        <w:rPr>
          <w:rFonts w:asciiTheme="minorHAnsi" w:hAnsiTheme="minorHAnsi"/>
          <w:szCs w:val="24"/>
        </w:rPr>
        <w:t xml:space="preserve">Austrian Economics </w:t>
      </w:r>
      <w:proofErr w:type="spellStart"/>
      <w:r w:rsidR="002A57BC" w:rsidRPr="002A57BC">
        <w:rPr>
          <w:rFonts w:asciiTheme="minorHAnsi" w:hAnsiTheme="minorHAnsi"/>
          <w:szCs w:val="24"/>
        </w:rPr>
        <w:t>Center</w:t>
      </w:r>
      <w:proofErr w:type="spellEnd"/>
      <w:r w:rsidR="002A57BC" w:rsidRPr="002A57BC">
        <w:rPr>
          <w:rFonts w:asciiTheme="minorHAnsi" w:hAnsiTheme="minorHAnsi"/>
          <w:szCs w:val="24"/>
        </w:rPr>
        <w:t xml:space="preserve"> &amp; Austrian National Bank</w:t>
      </w:r>
      <w:r w:rsidR="002A57BC">
        <w:rPr>
          <w:rFonts w:asciiTheme="minorHAnsi" w:hAnsiTheme="minorHAnsi"/>
          <w:szCs w:val="24"/>
        </w:rPr>
        <w:t xml:space="preserve">), </w:t>
      </w:r>
      <w:r w:rsidR="002A57BC" w:rsidRPr="002A57BC">
        <w:rPr>
          <w:rFonts w:asciiTheme="minorHAnsi" w:hAnsiTheme="minorHAnsi"/>
          <w:szCs w:val="24"/>
        </w:rPr>
        <w:t xml:space="preserve">Kari </w:t>
      </w:r>
      <w:proofErr w:type="spellStart"/>
      <w:r w:rsidR="002A57BC" w:rsidRPr="002A57BC">
        <w:rPr>
          <w:rFonts w:asciiTheme="minorHAnsi" w:hAnsiTheme="minorHAnsi"/>
          <w:szCs w:val="24"/>
        </w:rPr>
        <w:t>Eik</w:t>
      </w:r>
      <w:proofErr w:type="spellEnd"/>
      <w:r w:rsidR="002A57BC" w:rsidRPr="002A57BC">
        <w:rPr>
          <w:rFonts w:asciiTheme="minorHAnsi" w:hAnsiTheme="minorHAnsi"/>
          <w:szCs w:val="24"/>
        </w:rPr>
        <w:t xml:space="preserve"> </w:t>
      </w:r>
      <w:r w:rsidR="002A57BC">
        <w:rPr>
          <w:rFonts w:asciiTheme="minorHAnsi" w:hAnsiTheme="minorHAnsi"/>
          <w:szCs w:val="24"/>
        </w:rPr>
        <w:t>(</w:t>
      </w:r>
      <w:r w:rsidR="002A57BC" w:rsidRPr="002A57BC">
        <w:rPr>
          <w:rFonts w:asciiTheme="minorHAnsi" w:hAnsiTheme="minorHAnsi"/>
          <w:szCs w:val="24"/>
        </w:rPr>
        <w:t>Organization for International Economic Relations (</w:t>
      </w:r>
      <w:proofErr w:type="spellStart"/>
      <w:r w:rsidR="002A57BC" w:rsidRPr="002A57BC">
        <w:rPr>
          <w:rFonts w:asciiTheme="minorHAnsi" w:hAnsiTheme="minorHAnsi"/>
          <w:szCs w:val="24"/>
        </w:rPr>
        <w:t>OiER</w:t>
      </w:r>
      <w:proofErr w:type="spellEnd"/>
      <w:r w:rsidR="002A57BC" w:rsidRPr="002A57BC">
        <w:rPr>
          <w:rFonts w:asciiTheme="minorHAnsi" w:hAnsiTheme="minorHAnsi"/>
          <w:szCs w:val="24"/>
        </w:rPr>
        <w:t>)</w:t>
      </w:r>
      <w:r w:rsidR="002A57BC">
        <w:rPr>
          <w:rFonts w:asciiTheme="minorHAnsi" w:hAnsiTheme="minorHAnsi"/>
          <w:szCs w:val="24"/>
        </w:rPr>
        <w:t>), Lucy Lombardi (</w:t>
      </w:r>
      <w:r w:rsidR="002A57BC" w:rsidRPr="002A57BC">
        <w:rPr>
          <w:rFonts w:asciiTheme="minorHAnsi" w:hAnsiTheme="minorHAnsi"/>
          <w:szCs w:val="24"/>
        </w:rPr>
        <w:t>Digital &amp; Ecosystem Innovation, TIM</w:t>
      </w:r>
      <w:r w:rsidR="002A57BC">
        <w:rPr>
          <w:rFonts w:asciiTheme="minorHAnsi" w:hAnsiTheme="minorHAnsi"/>
          <w:szCs w:val="24"/>
        </w:rPr>
        <w:t>)</w:t>
      </w:r>
      <w:r w:rsidR="00D354A4">
        <w:rPr>
          <w:rFonts w:asciiTheme="minorHAnsi" w:hAnsiTheme="minorHAnsi"/>
          <w:szCs w:val="24"/>
        </w:rPr>
        <w:t xml:space="preserve"> </w:t>
      </w:r>
      <w:r w:rsidR="002A57BC">
        <w:rPr>
          <w:rFonts w:asciiTheme="minorHAnsi" w:hAnsiTheme="minorHAnsi"/>
          <w:szCs w:val="24"/>
        </w:rPr>
        <w:t>and</w:t>
      </w:r>
      <w:r w:rsidRPr="00566916">
        <w:rPr>
          <w:rFonts w:asciiTheme="minorHAnsi" w:hAnsiTheme="minorHAnsi"/>
          <w:szCs w:val="24"/>
        </w:rPr>
        <w:t xml:space="preserve"> </w:t>
      </w:r>
      <w:r w:rsidR="009F406F">
        <w:rPr>
          <w:rFonts w:asciiTheme="minorHAnsi" w:hAnsiTheme="minorHAnsi"/>
          <w:szCs w:val="24"/>
        </w:rPr>
        <w:t xml:space="preserve">Messrs </w:t>
      </w:r>
      <w:r w:rsidR="009F406F" w:rsidRPr="009F406F">
        <w:rPr>
          <w:rFonts w:asciiTheme="minorHAnsi" w:hAnsiTheme="minorHAnsi"/>
          <w:szCs w:val="24"/>
        </w:rPr>
        <w:t>Neil Sahota</w:t>
      </w:r>
      <w:r w:rsidR="00A314D9" w:rsidRPr="00566916">
        <w:rPr>
          <w:rFonts w:asciiTheme="minorHAnsi" w:hAnsiTheme="minorHAnsi"/>
          <w:szCs w:val="24"/>
        </w:rPr>
        <w:t xml:space="preserve"> (</w:t>
      </w:r>
      <w:proofErr w:type="spellStart"/>
      <w:r w:rsidR="009F406F" w:rsidRPr="009F406F">
        <w:rPr>
          <w:rFonts w:asciiTheme="minorHAnsi" w:hAnsiTheme="minorHAnsi"/>
          <w:szCs w:val="24"/>
        </w:rPr>
        <w:t>Technossus</w:t>
      </w:r>
      <w:proofErr w:type="spellEnd"/>
      <w:r w:rsidR="009F406F" w:rsidRPr="009F406F">
        <w:rPr>
          <w:rFonts w:asciiTheme="minorHAnsi" w:hAnsiTheme="minorHAnsi"/>
          <w:szCs w:val="24"/>
        </w:rPr>
        <w:t>, IBM &amp; University of California</w:t>
      </w:r>
      <w:r w:rsidR="00A314D9" w:rsidRPr="00566916">
        <w:rPr>
          <w:rFonts w:asciiTheme="minorHAnsi" w:hAnsiTheme="minorHAnsi"/>
          <w:szCs w:val="24"/>
        </w:rPr>
        <w:t>)</w:t>
      </w:r>
      <w:r w:rsidR="009F406F">
        <w:rPr>
          <w:rFonts w:asciiTheme="minorHAnsi" w:hAnsiTheme="minorHAnsi"/>
          <w:szCs w:val="24"/>
        </w:rPr>
        <w:t xml:space="preserve">, </w:t>
      </w:r>
      <w:r w:rsidR="009F406F" w:rsidRPr="009F406F">
        <w:rPr>
          <w:rFonts w:asciiTheme="minorHAnsi" w:hAnsiTheme="minorHAnsi"/>
          <w:szCs w:val="24"/>
        </w:rPr>
        <w:t>Joel Alexander Mills</w:t>
      </w:r>
      <w:r w:rsidR="009F406F">
        <w:rPr>
          <w:rFonts w:asciiTheme="minorHAnsi" w:hAnsiTheme="minorHAnsi"/>
          <w:szCs w:val="24"/>
        </w:rPr>
        <w:t xml:space="preserve"> (</w:t>
      </w:r>
      <w:proofErr w:type="spellStart"/>
      <w:r w:rsidR="009F406F" w:rsidRPr="009F406F">
        <w:rPr>
          <w:rFonts w:asciiTheme="minorHAnsi" w:hAnsiTheme="minorHAnsi"/>
          <w:szCs w:val="24"/>
        </w:rPr>
        <w:t>AugmentCity</w:t>
      </w:r>
      <w:proofErr w:type="spellEnd"/>
      <w:r w:rsidR="009F406F" w:rsidRPr="009F406F">
        <w:rPr>
          <w:rFonts w:asciiTheme="minorHAnsi" w:hAnsiTheme="minorHAnsi"/>
          <w:szCs w:val="24"/>
        </w:rPr>
        <w:t xml:space="preserve"> AS</w:t>
      </w:r>
      <w:r w:rsidR="009F406F">
        <w:rPr>
          <w:rFonts w:asciiTheme="minorHAnsi" w:hAnsiTheme="minorHAnsi"/>
          <w:szCs w:val="24"/>
        </w:rPr>
        <w:t xml:space="preserve">), </w:t>
      </w:r>
      <w:r w:rsidR="009F406F" w:rsidRPr="009F406F">
        <w:rPr>
          <w:rFonts w:asciiTheme="minorHAnsi" w:hAnsiTheme="minorHAnsi"/>
          <w:szCs w:val="24"/>
        </w:rPr>
        <w:t xml:space="preserve">Mats </w:t>
      </w:r>
      <w:proofErr w:type="spellStart"/>
      <w:r w:rsidR="009F406F" w:rsidRPr="009F406F">
        <w:rPr>
          <w:rFonts w:asciiTheme="minorHAnsi" w:hAnsiTheme="minorHAnsi"/>
          <w:szCs w:val="24"/>
        </w:rPr>
        <w:t>Pellbäck</w:t>
      </w:r>
      <w:proofErr w:type="spellEnd"/>
      <w:r w:rsidR="009F406F" w:rsidRPr="009F406F">
        <w:rPr>
          <w:rFonts w:asciiTheme="minorHAnsi" w:hAnsiTheme="minorHAnsi"/>
          <w:szCs w:val="24"/>
        </w:rPr>
        <w:t xml:space="preserve"> </w:t>
      </w:r>
      <w:proofErr w:type="spellStart"/>
      <w:r w:rsidR="009F406F" w:rsidRPr="009F406F">
        <w:rPr>
          <w:rFonts w:asciiTheme="minorHAnsi" w:hAnsiTheme="minorHAnsi"/>
          <w:szCs w:val="24"/>
        </w:rPr>
        <w:t>Scharp</w:t>
      </w:r>
      <w:proofErr w:type="spellEnd"/>
      <w:r w:rsidR="009F406F">
        <w:rPr>
          <w:rFonts w:asciiTheme="minorHAnsi" w:hAnsiTheme="minorHAnsi"/>
          <w:szCs w:val="24"/>
        </w:rPr>
        <w:t xml:space="preserve"> (</w:t>
      </w:r>
      <w:r w:rsidR="00B16A61" w:rsidRPr="00B16A61">
        <w:rPr>
          <w:rFonts w:asciiTheme="minorHAnsi" w:hAnsiTheme="minorHAnsi"/>
          <w:szCs w:val="24"/>
        </w:rPr>
        <w:t>Ericsson</w:t>
      </w:r>
      <w:r w:rsidR="009F406F">
        <w:rPr>
          <w:rFonts w:asciiTheme="minorHAnsi" w:hAnsiTheme="minorHAnsi"/>
          <w:szCs w:val="24"/>
        </w:rPr>
        <w:t>)</w:t>
      </w:r>
      <w:r w:rsidR="00B16A61">
        <w:rPr>
          <w:rFonts w:asciiTheme="minorHAnsi" w:hAnsiTheme="minorHAnsi"/>
          <w:szCs w:val="24"/>
        </w:rPr>
        <w:t xml:space="preserve"> and </w:t>
      </w:r>
      <w:r w:rsidR="00B16A61" w:rsidRPr="00B16A61">
        <w:rPr>
          <w:rFonts w:asciiTheme="minorHAnsi" w:hAnsiTheme="minorHAnsi"/>
          <w:szCs w:val="24"/>
        </w:rPr>
        <w:t xml:space="preserve">Peter </w:t>
      </w:r>
      <w:proofErr w:type="spellStart"/>
      <w:r w:rsidR="00B16A61" w:rsidRPr="00B16A61">
        <w:rPr>
          <w:rFonts w:asciiTheme="minorHAnsi" w:hAnsiTheme="minorHAnsi"/>
          <w:szCs w:val="24"/>
        </w:rPr>
        <w:t>Ulanga</w:t>
      </w:r>
      <w:proofErr w:type="spellEnd"/>
      <w:r w:rsidR="00B16A61" w:rsidRPr="00B16A61">
        <w:rPr>
          <w:rFonts w:asciiTheme="minorHAnsi" w:hAnsiTheme="minorHAnsi"/>
          <w:szCs w:val="24"/>
        </w:rPr>
        <w:t xml:space="preserve"> </w:t>
      </w:r>
      <w:r w:rsidR="00B16A61">
        <w:rPr>
          <w:rFonts w:asciiTheme="minorHAnsi" w:hAnsiTheme="minorHAnsi"/>
          <w:szCs w:val="24"/>
        </w:rPr>
        <w:t>(</w:t>
      </w:r>
      <w:r w:rsidR="00B16A61" w:rsidRPr="00B16A61">
        <w:rPr>
          <w:rFonts w:asciiTheme="minorHAnsi" w:hAnsiTheme="minorHAnsi"/>
          <w:szCs w:val="24"/>
        </w:rPr>
        <w:t>Universal Communications Service Access Fund, United Republic of Tanzania</w:t>
      </w:r>
      <w:r w:rsidR="00B16A61">
        <w:rPr>
          <w:rFonts w:asciiTheme="minorHAnsi" w:hAnsiTheme="minorHAnsi"/>
          <w:szCs w:val="24"/>
        </w:rPr>
        <w:t>)</w:t>
      </w:r>
      <w:r w:rsidR="00773DDE">
        <w:rPr>
          <w:rFonts w:asciiTheme="minorHAnsi" w:hAnsiTheme="minorHAnsi"/>
          <w:szCs w:val="24"/>
        </w:rPr>
        <w:t xml:space="preserve"> as V</w:t>
      </w:r>
      <w:r w:rsidR="00A314D9" w:rsidRPr="00566916">
        <w:rPr>
          <w:rFonts w:asciiTheme="minorHAnsi" w:hAnsiTheme="minorHAnsi"/>
          <w:szCs w:val="24"/>
        </w:rPr>
        <w:t>ice-chairm</w:t>
      </w:r>
      <w:r w:rsidR="00B16A61">
        <w:rPr>
          <w:rFonts w:asciiTheme="minorHAnsi" w:hAnsiTheme="minorHAnsi"/>
          <w:szCs w:val="24"/>
        </w:rPr>
        <w:t>e</w:t>
      </w:r>
      <w:r w:rsidR="00A314D9" w:rsidRPr="00566916">
        <w:rPr>
          <w:rFonts w:asciiTheme="minorHAnsi" w:hAnsiTheme="minorHAnsi"/>
          <w:szCs w:val="24"/>
        </w:rPr>
        <w:t>n.</w:t>
      </w:r>
    </w:p>
    <w:p w14:paraId="0D863848" w14:textId="4A5C7714" w:rsidR="0014734E" w:rsidRPr="00566916" w:rsidRDefault="0014734E" w:rsidP="0014734E">
      <w:pPr>
        <w:rPr>
          <w:rFonts w:asciiTheme="minorHAnsi" w:hAnsiTheme="minorHAnsi"/>
          <w:szCs w:val="24"/>
        </w:rPr>
      </w:pPr>
      <w:r w:rsidRPr="00566916">
        <w:rPr>
          <w:rFonts w:asciiTheme="minorHAnsi" w:hAnsiTheme="minorHAnsi"/>
          <w:szCs w:val="24"/>
        </w:rPr>
        <w:t>2</w:t>
      </w:r>
      <w:r w:rsidRPr="00566916">
        <w:rPr>
          <w:rFonts w:asciiTheme="minorHAnsi" w:hAnsiTheme="minorHAnsi"/>
          <w:szCs w:val="24"/>
        </w:rPr>
        <w:tab/>
      </w:r>
      <w:r w:rsidR="002A243A" w:rsidRPr="002A243A">
        <w:rPr>
          <w:rFonts w:asciiTheme="minorHAnsi" w:hAnsiTheme="minorHAnsi"/>
          <w:szCs w:val="24"/>
        </w:rPr>
        <w:t>The Focus Group will identify the standardization gaps related to the environmental performance of AI and other emerging technologies including automation, augmented reality, virtual reality, extended reality, smart manufacturing, industry 5.0, cloud/edge computing, nanotechnology</w:t>
      </w:r>
      <w:r w:rsidR="00773DDE">
        <w:rPr>
          <w:rFonts w:asciiTheme="minorHAnsi" w:hAnsiTheme="minorHAnsi"/>
          <w:szCs w:val="24"/>
        </w:rPr>
        <w:t xml:space="preserve"> and</w:t>
      </w:r>
      <w:r w:rsidR="002A243A" w:rsidRPr="002A243A">
        <w:rPr>
          <w:rFonts w:asciiTheme="minorHAnsi" w:hAnsiTheme="minorHAnsi"/>
          <w:szCs w:val="24"/>
        </w:rPr>
        <w:t xml:space="preserve"> 5G, among others. The </w:t>
      </w:r>
      <w:r w:rsidR="00773DDE">
        <w:rPr>
          <w:rFonts w:asciiTheme="minorHAnsi" w:hAnsiTheme="minorHAnsi"/>
          <w:szCs w:val="24"/>
        </w:rPr>
        <w:t>F</w:t>
      </w:r>
      <w:r w:rsidR="002A243A" w:rsidRPr="002A243A">
        <w:rPr>
          <w:rFonts w:asciiTheme="minorHAnsi" w:hAnsiTheme="minorHAnsi"/>
          <w:szCs w:val="24"/>
        </w:rPr>
        <w:t xml:space="preserve">ocus </w:t>
      </w:r>
      <w:r w:rsidR="00773DDE">
        <w:rPr>
          <w:rFonts w:asciiTheme="minorHAnsi" w:hAnsiTheme="minorHAnsi"/>
          <w:szCs w:val="24"/>
        </w:rPr>
        <w:t>G</w:t>
      </w:r>
      <w:r w:rsidR="002A243A" w:rsidRPr="002A243A">
        <w:rPr>
          <w:rFonts w:asciiTheme="minorHAnsi" w:hAnsiTheme="minorHAnsi"/>
          <w:szCs w:val="24"/>
        </w:rPr>
        <w:t xml:space="preserve">roup will develop technical reports and technical specifications to address the environmental efficiency, as well as water and energy </w:t>
      </w:r>
      <w:proofErr w:type="gramStart"/>
      <w:r w:rsidR="002A243A" w:rsidRPr="002A243A">
        <w:rPr>
          <w:rFonts w:asciiTheme="minorHAnsi" w:hAnsiTheme="minorHAnsi"/>
          <w:szCs w:val="24"/>
        </w:rPr>
        <w:t>consumption</w:t>
      </w:r>
      <w:proofErr w:type="gramEnd"/>
      <w:r w:rsidR="002A243A" w:rsidRPr="002A243A">
        <w:rPr>
          <w:rFonts w:asciiTheme="minorHAnsi" w:hAnsiTheme="minorHAnsi"/>
          <w:szCs w:val="24"/>
        </w:rPr>
        <w:t xml:space="preserve"> of emerging technologies.</w:t>
      </w:r>
    </w:p>
    <w:p w14:paraId="7129CDFD" w14:textId="2CAD0473" w:rsidR="0014734E" w:rsidRPr="00566916" w:rsidRDefault="0014734E" w:rsidP="004E302B">
      <w:pPr>
        <w:rPr>
          <w:rFonts w:asciiTheme="minorHAnsi" w:hAnsiTheme="minorHAnsi"/>
          <w:szCs w:val="24"/>
        </w:rPr>
      </w:pPr>
      <w:r w:rsidRPr="00566916">
        <w:rPr>
          <w:rFonts w:asciiTheme="minorHAnsi" w:hAnsiTheme="minorHAnsi"/>
          <w:szCs w:val="24"/>
        </w:rPr>
        <w:t>3</w:t>
      </w:r>
      <w:r w:rsidRPr="00566916">
        <w:rPr>
          <w:rFonts w:asciiTheme="minorHAnsi" w:hAnsiTheme="minorHAnsi"/>
          <w:szCs w:val="24"/>
        </w:rPr>
        <w:tab/>
        <w:t>Participation in FG-</w:t>
      </w:r>
      <w:r w:rsidR="002A243A">
        <w:rPr>
          <w:rFonts w:asciiTheme="minorHAnsi" w:hAnsiTheme="minorHAnsi"/>
          <w:szCs w:val="24"/>
        </w:rPr>
        <w:t>AI4EE</w:t>
      </w:r>
      <w:r w:rsidR="00EB5168" w:rsidRPr="00566916">
        <w:rPr>
          <w:rFonts w:asciiTheme="minorHAnsi" w:hAnsiTheme="minorHAnsi"/>
          <w:szCs w:val="24"/>
        </w:rPr>
        <w:t xml:space="preserve"> </w:t>
      </w:r>
      <w:r w:rsidRPr="00566916">
        <w:rPr>
          <w:rFonts w:asciiTheme="minorHAnsi" w:hAnsiTheme="minorHAnsi"/>
          <w:szCs w:val="24"/>
        </w:rPr>
        <w:t>is free of charge and open to all</w:t>
      </w:r>
      <w:r w:rsidR="0068425E">
        <w:rPr>
          <w:rFonts w:asciiTheme="minorHAnsi" w:hAnsiTheme="minorHAnsi"/>
          <w:szCs w:val="24"/>
        </w:rPr>
        <w:t xml:space="preserve"> individuals from a Member State</w:t>
      </w:r>
      <w:r w:rsidRPr="00566916">
        <w:rPr>
          <w:rFonts w:asciiTheme="minorHAnsi" w:hAnsiTheme="minorHAnsi"/>
          <w:szCs w:val="24"/>
        </w:rPr>
        <w:t>,</w:t>
      </w:r>
      <w:r w:rsidR="00536565" w:rsidRPr="00566916">
        <w:rPr>
          <w:rFonts w:asciiTheme="minorHAnsi" w:hAnsiTheme="minorHAnsi"/>
          <w:szCs w:val="24"/>
        </w:rPr>
        <w:t xml:space="preserve"> </w:t>
      </w:r>
      <w:r w:rsidR="002A284F">
        <w:rPr>
          <w:rFonts w:asciiTheme="minorHAnsi" w:hAnsiTheme="minorHAnsi"/>
          <w:szCs w:val="24"/>
        </w:rPr>
        <w:t>including</w:t>
      </w:r>
      <w:r w:rsidRPr="00566916">
        <w:rPr>
          <w:rFonts w:asciiTheme="minorHAnsi" w:hAnsiTheme="minorHAnsi"/>
          <w:szCs w:val="24"/>
        </w:rPr>
        <w:t xml:space="preserve"> </w:t>
      </w:r>
      <w:r w:rsidR="002A243A" w:rsidRPr="002A243A">
        <w:rPr>
          <w:rFonts w:asciiTheme="minorHAnsi" w:hAnsiTheme="minorHAnsi"/>
          <w:szCs w:val="24"/>
        </w:rPr>
        <w:t>representatives of vertical industries, regulators, policy makers, researchers, engineers, practitioners, entrepreneurs, services providers, platfo</w:t>
      </w:r>
      <w:r w:rsidR="006358B5">
        <w:rPr>
          <w:rFonts w:asciiTheme="minorHAnsi" w:hAnsiTheme="minorHAnsi"/>
          <w:szCs w:val="24"/>
        </w:rPr>
        <w:t>rm providers, network operators,</w:t>
      </w:r>
      <w:r w:rsidR="002A243A" w:rsidRPr="002A243A">
        <w:rPr>
          <w:rFonts w:asciiTheme="minorHAnsi" w:hAnsiTheme="minorHAnsi"/>
          <w:szCs w:val="24"/>
        </w:rPr>
        <w:t xml:space="preserve"> international organizations,</w:t>
      </w:r>
      <w:r w:rsidR="002A243A">
        <w:rPr>
          <w:rFonts w:asciiTheme="minorHAnsi" w:hAnsiTheme="minorHAnsi"/>
          <w:szCs w:val="24"/>
        </w:rPr>
        <w:t xml:space="preserve"> industry forums and consortia </w:t>
      </w:r>
      <w:r w:rsidR="006358B5">
        <w:rPr>
          <w:rFonts w:asciiTheme="minorHAnsi" w:hAnsiTheme="minorHAnsi"/>
          <w:szCs w:val="24"/>
        </w:rPr>
        <w:t xml:space="preserve">– </w:t>
      </w:r>
      <w:r w:rsidR="002A243A" w:rsidRPr="002A243A">
        <w:rPr>
          <w:rFonts w:asciiTheme="minorHAnsi" w:hAnsiTheme="minorHAnsi"/>
          <w:szCs w:val="24"/>
        </w:rPr>
        <w:t>to share knowledge, best practices and lessons learned i</w:t>
      </w:r>
      <w:r w:rsidR="002A243A">
        <w:rPr>
          <w:rFonts w:asciiTheme="minorHAnsi" w:hAnsiTheme="minorHAnsi"/>
          <w:szCs w:val="24"/>
        </w:rPr>
        <w:t>n the field</w:t>
      </w:r>
      <w:r w:rsidR="00F87FF5" w:rsidRPr="00566916">
        <w:rPr>
          <w:rFonts w:asciiTheme="minorHAnsi" w:hAnsiTheme="minorHAnsi"/>
          <w:szCs w:val="24"/>
        </w:rPr>
        <w:t>.</w:t>
      </w:r>
      <w:r w:rsidRPr="00566916">
        <w:rPr>
          <w:rFonts w:asciiTheme="minorHAnsi" w:hAnsiTheme="minorHAnsi"/>
          <w:szCs w:val="24"/>
        </w:rPr>
        <w:t xml:space="preserve"> Anyone interested in updates and announcements related to this group is invited to subscribe to the FG</w:t>
      </w:r>
      <w:r w:rsidR="002A243A">
        <w:rPr>
          <w:rFonts w:asciiTheme="minorHAnsi" w:hAnsiTheme="minorHAnsi"/>
          <w:szCs w:val="24"/>
        </w:rPr>
        <w:noBreakHyphen/>
        <w:t>AI4EE</w:t>
      </w:r>
      <w:r w:rsidR="00EB5168" w:rsidRPr="00566916">
        <w:rPr>
          <w:rFonts w:asciiTheme="minorHAnsi" w:hAnsiTheme="minorHAnsi"/>
          <w:szCs w:val="24"/>
        </w:rPr>
        <w:t xml:space="preserve"> </w:t>
      </w:r>
      <w:r w:rsidRPr="00566916">
        <w:rPr>
          <w:rFonts w:asciiTheme="minorHAnsi" w:hAnsiTheme="minorHAnsi"/>
          <w:szCs w:val="24"/>
        </w:rPr>
        <w:t xml:space="preserve">mailing list. Details on how to subscribe can be found </w:t>
      </w:r>
      <w:r w:rsidR="008605AB">
        <w:rPr>
          <w:rFonts w:asciiTheme="minorHAnsi" w:hAnsiTheme="minorHAnsi"/>
          <w:szCs w:val="24"/>
        </w:rPr>
        <w:t>o</w:t>
      </w:r>
      <w:r w:rsidR="00883C1E" w:rsidRPr="00566916">
        <w:rPr>
          <w:rFonts w:asciiTheme="minorHAnsi" w:hAnsiTheme="minorHAnsi"/>
          <w:szCs w:val="24"/>
        </w:rPr>
        <w:t>n the FG-</w:t>
      </w:r>
      <w:r w:rsidR="000A52EA">
        <w:rPr>
          <w:rFonts w:asciiTheme="minorHAnsi" w:hAnsiTheme="minorHAnsi"/>
          <w:szCs w:val="24"/>
        </w:rPr>
        <w:t>AI4EE</w:t>
      </w:r>
      <w:r w:rsidR="00EB5168" w:rsidRPr="00566916">
        <w:rPr>
          <w:rFonts w:asciiTheme="minorHAnsi" w:hAnsiTheme="minorHAnsi"/>
          <w:szCs w:val="24"/>
        </w:rPr>
        <w:t xml:space="preserve"> </w:t>
      </w:r>
      <w:r w:rsidR="00883C1E" w:rsidRPr="00566916">
        <w:rPr>
          <w:rFonts w:asciiTheme="minorHAnsi" w:hAnsiTheme="minorHAnsi"/>
          <w:szCs w:val="24"/>
        </w:rPr>
        <w:t>home</w:t>
      </w:r>
      <w:r w:rsidRPr="00566916">
        <w:rPr>
          <w:rFonts w:asciiTheme="minorHAnsi" w:hAnsiTheme="minorHAnsi"/>
          <w:szCs w:val="24"/>
        </w:rPr>
        <w:t>page</w:t>
      </w:r>
      <w:r w:rsidR="00B17479">
        <w:rPr>
          <w:rFonts w:asciiTheme="minorHAnsi" w:hAnsiTheme="minorHAnsi"/>
          <w:szCs w:val="24"/>
        </w:rPr>
        <w:t xml:space="preserve">: </w:t>
      </w:r>
      <w:hyperlink r:id="rId13" w:history="1">
        <w:r w:rsidR="002A243A" w:rsidRPr="002A243A">
          <w:rPr>
            <w:rStyle w:val="Hyperlink"/>
            <w:rFonts w:asciiTheme="minorHAnsi" w:hAnsiTheme="minorHAnsi"/>
            <w:szCs w:val="24"/>
            <w:lang w:val="en-US"/>
          </w:rPr>
          <w:t>https://itu.int/go/fgai4ee</w:t>
        </w:r>
      </w:hyperlink>
      <w:r w:rsidR="00B17479">
        <w:rPr>
          <w:rFonts w:asciiTheme="minorHAnsi" w:hAnsiTheme="minorHAnsi"/>
          <w:szCs w:val="24"/>
          <w:lang w:val="en-US"/>
        </w:rPr>
        <w:t>.</w:t>
      </w:r>
    </w:p>
    <w:p w14:paraId="6BD046B6" w14:textId="31DD2AA6" w:rsidR="0014734E" w:rsidRPr="00566916" w:rsidRDefault="0014734E" w:rsidP="0014734E">
      <w:pPr>
        <w:rPr>
          <w:rFonts w:asciiTheme="minorHAnsi" w:hAnsiTheme="minorHAnsi"/>
          <w:szCs w:val="24"/>
        </w:rPr>
      </w:pPr>
      <w:r w:rsidRPr="00566916">
        <w:rPr>
          <w:rFonts w:asciiTheme="minorHAnsi" w:hAnsiTheme="minorHAnsi"/>
          <w:szCs w:val="24"/>
        </w:rPr>
        <w:lastRenderedPageBreak/>
        <w:t>4</w:t>
      </w:r>
      <w:r w:rsidRPr="00566916">
        <w:rPr>
          <w:rFonts w:asciiTheme="minorHAnsi" w:hAnsiTheme="minorHAnsi"/>
          <w:szCs w:val="24"/>
        </w:rPr>
        <w:tab/>
      </w:r>
      <w:r w:rsidR="00801D99" w:rsidRPr="00801D99">
        <w:rPr>
          <w:rFonts w:asciiTheme="minorHAnsi" w:hAnsiTheme="minorHAnsi"/>
          <w:szCs w:val="24"/>
        </w:rPr>
        <w:t xml:space="preserve">The </w:t>
      </w:r>
      <w:r w:rsidR="00773DDE">
        <w:rPr>
          <w:rFonts w:asciiTheme="minorHAnsi" w:hAnsiTheme="minorHAnsi"/>
          <w:szCs w:val="24"/>
        </w:rPr>
        <w:t>F</w:t>
      </w:r>
      <w:r w:rsidR="00B17479">
        <w:rPr>
          <w:rFonts w:asciiTheme="minorHAnsi" w:hAnsiTheme="minorHAnsi"/>
          <w:szCs w:val="24"/>
        </w:rPr>
        <w:t xml:space="preserve">ocus </w:t>
      </w:r>
      <w:r w:rsidR="00773DDE">
        <w:rPr>
          <w:rFonts w:asciiTheme="minorHAnsi" w:hAnsiTheme="minorHAnsi"/>
          <w:szCs w:val="24"/>
        </w:rPr>
        <w:t>G</w:t>
      </w:r>
      <w:r w:rsidR="00B17479">
        <w:rPr>
          <w:rFonts w:asciiTheme="minorHAnsi" w:hAnsiTheme="minorHAnsi"/>
          <w:szCs w:val="24"/>
        </w:rPr>
        <w:t>roup’s</w:t>
      </w:r>
      <w:r w:rsidR="00801D99" w:rsidRPr="00801D99">
        <w:rPr>
          <w:rFonts w:asciiTheme="minorHAnsi" w:hAnsiTheme="minorHAnsi"/>
          <w:szCs w:val="24"/>
        </w:rPr>
        <w:t xml:space="preserve"> lifetime is set for two years from the first meeting but </w:t>
      </w:r>
      <w:r w:rsidR="00B17479">
        <w:rPr>
          <w:rFonts w:asciiTheme="minorHAnsi" w:hAnsiTheme="minorHAnsi"/>
          <w:szCs w:val="24"/>
        </w:rPr>
        <w:t xml:space="preserve">is </w:t>
      </w:r>
      <w:r w:rsidR="00801D99" w:rsidRPr="00801D99">
        <w:rPr>
          <w:rFonts w:asciiTheme="minorHAnsi" w:hAnsiTheme="minorHAnsi"/>
          <w:szCs w:val="24"/>
        </w:rPr>
        <w:t>exten</w:t>
      </w:r>
      <w:r w:rsidR="00773DDE">
        <w:rPr>
          <w:rFonts w:asciiTheme="minorHAnsi" w:hAnsiTheme="minorHAnsi"/>
          <w:szCs w:val="24"/>
        </w:rPr>
        <w:t>da</w:t>
      </w:r>
      <w:r w:rsidR="00801D99" w:rsidRPr="00801D99">
        <w:rPr>
          <w:rFonts w:asciiTheme="minorHAnsi" w:hAnsiTheme="minorHAnsi"/>
          <w:szCs w:val="24"/>
        </w:rPr>
        <w:t xml:space="preserve">ble if necessary by decision of the parent group. It will operate under the procedures set out in </w:t>
      </w:r>
      <w:hyperlink r:id="rId14" w:history="1">
        <w:r w:rsidR="00801D99" w:rsidRPr="00801D99">
          <w:rPr>
            <w:rStyle w:val="Hyperlink"/>
            <w:rFonts w:asciiTheme="minorHAnsi" w:hAnsiTheme="minorHAnsi"/>
            <w:szCs w:val="24"/>
          </w:rPr>
          <w:t>Recommendation ITU</w:t>
        </w:r>
        <w:r w:rsidR="00B17479">
          <w:rPr>
            <w:rStyle w:val="Hyperlink"/>
            <w:rFonts w:asciiTheme="minorHAnsi" w:hAnsiTheme="minorHAnsi"/>
            <w:szCs w:val="24"/>
          </w:rPr>
          <w:noBreakHyphen/>
        </w:r>
        <w:r w:rsidR="00801D99" w:rsidRPr="00801D99">
          <w:rPr>
            <w:rStyle w:val="Hyperlink"/>
            <w:rFonts w:asciiTheme="minorHAnsi" w:hAnsiTheme="minorHAnsi"/>
            <w:szCs w:val="24"/>
          </w:rPr>
          <w:t>T A.7</w:t>
        </w:r>
      </w:hyperlink>
      <w:r w:rsidR="00801D99" w:rsidRPr="00801D99">
        <w:rPr>
          <w:rFonts w:asciiTheme="minorHAnsi" w:hAnsiTheme="minorHAnsi"/>
          <w:szCs w:val="24"/>
        </w:rPr>
        <w:t xml:space="preserve"> and within the agreed Terms of Reference reproduced in </w:t>
      </w:r>
      <w:r w:rsidR="00801D99" w:rsidRPr="00F94904">
        <w:rPr>
          <w:rFonts w:asciiTheme="minorHAnsi" w:hAnsiTheme="minorHAnsi"/>
          <w:b/>
          <w:szCs w:val="24"/>
        </w:rPr>
        <w:t>Annex 1</w:t>
      </w:r>
      <w:r w:rsidRPr="00566916">
        <w:rPr>
          <w:rFonts w:asciiTheme="minorHAnsi" w:hAnsiTheme="minorHAnsi"/>
          <w:szCs w:val="24"/>
        </w:rPr>
        <w:t>.</w:t>
      </w:r>
    </w:p>
    <w:p w14:paraId="3035B239" w14:textId="77777777" w:rsidR="004E302B" w:rsidRPr="00566916" w:rsidRDefault="0014734E" w:rsidP="00B433E9">
      <w:pPr>
        <w:rPr>
          <w:rFonts w:asciiTheme="minorHAnsi" w:hAnsiTheme="minorHAnsi"/>
          <w:szCs w:val="24"/>
        </w:rPr>
      </w:pPr>
      <w:r w:rsidRPr="00566916">
        <w:rPr>
          <w:rFonts w:asciiTheme="minorHAnsi" w:hAnsiTheme="minorHAnsi"/>
          <w:szCs w:val="24"/>
        </w:rPr>
        <w:t>5</w:t>
      </w:r>
      <w:r w:rsidRPr="00566916">
        <w:rPr>
          <w:rFonts w:asciiTheme="minorHAnsi" w:hAnsiTheme="minorHAnsi"/>
          <w:szCs w:val="24"/>
        </w:rPr>
        <w:tab/>
        <w:t>The</w:t>
      </w:r>
      <w:r w:rsidRPr="00566916">
        <w:rPr>
          <w:rFonts w:asciiTheme="minorHAnsi" w:hAnsiTheme="minorHAnsi"/>
          <w:b/>
          <w:szCs w:val="24"/>
        </w:rPr>
        <w:t xml:space="preserve"> </w:t>
      </w:r>
      <w:r w:rsidRPr="00566916">
        <w:rPr>
          <w:rFonts w:asciiTheme="minorHAnsi" w:hAnsiTheme="minorHAnsi"/>
          <w:b/>
          <w:bCs/>
          <w:szCs w:val="24"/>
        </w:rPr>
        <w:t>first meeting of FG-</w:t>
      </w:r>
      <w:r w:rsidR="003E7AC8">
        <w:rPr>
          <w:rFonts w:asciiTheme="minorHAnsi" w:hAnsiTheme="minorHAnsi"/>
          <w:b/>
          <w:bCs/>
          <w:szCs w:val="24"/>
        </w:rPr>
        <w:t>AI4EE</w:t>
      </w:r>
      <w:r w:rsidR="00EB5168" w:rsidRPr="00566916">
        <w:rPr>
          <w:rFonts w:asciiTheme="minorHAnsi" w:hAnsiTheme="minorHAnsi"/>
          <w:szCs w:val="24"/>
        </w:rPr>
        <w:t xml:space="preserve"> </w:t>
      </w:r>
      <w:r w:rsidRPr="00566916">
        <w:rPr>
          <w:rFonts w:asciiTheme="minorHAnsi" w:hAnsiTheme="minorHAnsi"/>
          <w:szCs w:val="24"/>
        </w:rPr>
        <w:t xml:space="preserve">will be held </w:t>
      </w:r>
      <w:r w:rsidR="00B01394">
        <w:rPr>
          <w:rFonts w:asciiTheme="minorHAnsi" w:hAnsiTheme="minorHAnsi"/>
          <w:szCs w:val="24"/>
        </w:rPr>
        <w:t>in Vienna</w:t>
      </w:r>
      <w:r w:rsidRPr="00566916">
        <w:rPr>
          <w:rFonts w:asciiTheme="minorHAnsi" w:hAnsiTheme="minorHAnsi"/>
          <w:szCs w:val="24"/>
        </w:rPr>
        <w:t xml:space="preserve">, </w:t>
      </w:r>
      <w:r w:rsidR="00B01394">
        <w:rPr>
          <w:rFonts w:asciiTheme="minorHAnsi" w:hAnsiTheme="minorHAnsi"/>
          <w:szCs w:val="24"/>
        </w:rPr>
        <w:t>Austria</w:t>
      </w:r>
      <w:r w:rsidR="00D22446" w:rsidRPr="00566916">
        <w:rPr>
          <w:rFonts w:asciiTheme="minorHAnsi" w:hAnsiTheme="minorHAnsi"/>
          <w:szCs w:val="24"/>
        </w:rPr>
        <w:t>,</w:t>
      </w:r>
      <w:r w:rsidR="001720AD" w:rsidRPr="00566916">
        <w:rPr>
          <w:rFonts w:asciiTheme="minorHAnsi" w:hAnsiTheme="minorHAnsi"/>
          <w:szCs w:val="24"/>
        </w:rPr>
        <w:t xml:space="preserve"> </w:t>
      </w:r>
      <w:r w:rsidR="00F94904">
        <w:rPr>
          <w:rFonts w:asciiTheme="minorHAnsi" w:hAnsiTheme="minorHAnsi"/>
          <w:szCs w:val="24"/>
        </w:rPr>
        <w:t>on</w:t>
      </w:r>
      <w:r w:rsidR="00B01394">
        <w:rPr>
          <w:rFonts w:asciiTheme="minorHAnsi" w:hAnsiTheme="minorHAnsi"/>
          <w:szCs w:val="24"/>
        </w:rPr>
        <w:t xml:space="preserve"> </w:t>
      </w:r>
      <w:r w:rsidR="00B01394" w:rsidRPr="00F94904">
        <w:rPr>
          <w:rFonts w:asciiTheme="minorHAnsi" w:hAnsiTheme="minorHAnsi"/>
          <w:b/>
          <w:szCs w:val="24"/>
        </w:rPr>
        <w:t>15 October 2019</w:t>
      </w:r>
      <w:r w:rsidR="00B433E9">
        <w:rPr>
          <w:rFonts w:asciiTheme="minorHAnsi" w:hAnsiTheme="minorHAnsi"/>
          <w:szCs w:val="24"/>
        </w:rPr>
        <w:t xml:space="preserve">, </w:t>
      </w:r>
      <w:r w:rsidR="00254620">
        <w:rPr>
          <w:rFonts w:asciiTheme="minorHAnsi" w:hAnsiTheme="minorHAnsi"/>
          <w:szCs w:val="24"/>
        </w:rPr>
        <w:t>kindly</w:t>
      </w:r>
      <w:r w:rsidR="00B01394">
        <w:rPr>
          <w:rFonts w:asciiTheme="minorHAnsi" w:hAnsiTheme="minorHAnsi"/>
          <w:szCs w:val="24"/>
        </w:rPr>
        <w:t xml:space="preserve"> hosted by the Federal Ministry of Transport, Innovation and Technology</w:t>
      </w:r>
      <w:r w:rsidR="00E82219">
        <w:rPr>
          <w:rFonts w:asciiTheme="minorHAnsi" w:hAnsiTheme="minorHAnsi"/>
          <w:szCs w:val="24"/>
        </w:rPr>
        <w:t>, Republic of Austria</w:t>
      </w:r>
      <w:r w:rsidR="00B01394">
        <w:rPr>
          <w:rFonts w:asciiTheme="minorHAnsi" w:hAnsiTheme="minorHAnsi"/>
          <w:szCs w:val="24"/>
        </w:rPr>
        <w:t xml:space="preserve">. </w:t>
      </w:r>
      <w:r w:rsidR="000A52EA">
        <w:t>Information relating to this meeting</w:t>
      </w:r>
      <w:r w:rsidR="000A52EA" w:rsidRPr="000C24B5">
        <w:t>, including the</w:t>
      </w:r>
      <w:r w:rsidR="000A52EA">
        <w:t xml:space="preserve"> exact venue,</w:t>
      </w:r>
      <w:r w:rsidR="000A52EA" w:rsidRPr="000C24B5">
        <w:t xml:space="preserve"> draft programme</w:t>
      </w:r>
      <w:r w:rsidR="000A52EA">
        <w:t xml:space="preserve"> and practical information</w:t>
      </w:r>
      <w:r w:rsidR="000A52EA" w:rsidRPr="000C24B5">
        <w:t>, will be available on the</w:t>
      </w:r>
      <w:r w:rsidR="000A52EA">
        <w:t xml:space="preserve"> </w:t>
      </w:r>
      <w:r w:rsidR="000A52EA" w:rsidRPr="00566916">
        <w:rPr>
          <w:rFonts w:asciiTheme="minorHAnsi" w:hAnsiTheme="minorHAnsi"/>
          <w:szCs w:val="24"/>
        </w:rPr>
        <w:t>FG-</w:t>
      </w:r>
      <w:r w:rsidR="000A52EA">
        <w:rPr>
          <w:rFonts w:asciiTheme="minorHAnsi" w:hAnsiTheme="minorHAnsi"/>
          <w:szCs w:val="24"/>
        </w:rPr>
        <w:t>AI4EE</w:t>
      </w:r>
      <w:r w:rsidR="000A52EA" w:rsidRPr="00566916">
        <w:rPr>
          <w:rFonts w:asciiTheme="minorHAnsi" w:hAnsiTheme="minorHAnsi"/>
          <w:szCs w:val="24"/>
        </w:rPr>
        <w:t xml:space="preserve"> homepage</w:t>
      </w:r>
      <w:r w:rsidR="000A52EA">
        <w:rPr>
          <w:rFonts w:asciiTheme="minorHAnsi" w:hAnsiTheme="minorHAnsi"/>
          <w:szCs w:val="24"/>
        </w:rPr>
        <w:t xml:space="preserve">: </w:t>
      </w:r>
      <w:hyperlink r:id="rId15" w:history="1">
        <w:r w:rsidR="000A52EA" w:rsidRPr="002A243A">
          <w:rPr>
            <w:rStyle w:val="Hyperlink"/>
            <w:rFonts w:asciiTheme="minorHAnsi" w:hAnsiTheme="minorHAnsi"/>
            <w:szCs w:val="24"/>
            <w:lang w:val="en-US"/>
          </w:rPr>
          <w:t>https://itu.int/go/fgai4ee</w:t>
        </w:r>
      </w:hyperlink>
      <w:r w:rsidR="000A52EA">
        <w:t xml:space="preserve">. </w:t>
      </w:r>
      <w:r w:rsidR="000A52EA" w:rsidRPr="000C24B5">
        <w:t>This website will be updated regularly as new or modified information becomes available. Participants are requested to check periodically for new updates.</w:t>
      </w:r>
    </w:p>
    <w:p w14:paraId="17030329" w14:textId="77777777" w:rsidR="0014734E" w:rsidRPr="00566916" w:rsidRDefault="0014734E" w:rsidP="00883C1E">
      <w:pPr>
        <w:rPr>
          <w:rFonts w:asciiTheme="minorHAnsi" w:hAnsiTheme="minorHAnsi"/>
          <w:szCs w:val="24"/>
        </w:rPr>
      </w:pPr>
      <w:r w:rsidRPr="00566916">
        <w:rPr>
          <w:rFonts w:asciiTheme="minorHAnsi" w:hAnsiTheme="minorHAnsi"/>
          <w:szCs w:val="24"/>
        </w:rPr>
        <w:t xml:space="preserve">The </w:t>
      </w:r>
      <w:r w:rsidRPr="00566916">
        <w:rPr>
          <w:rFonts w:asciiTheme="minorHAnsi" w:hAnsiTheme="minorHAnsi"/>
          <w:b/>
          <w:bCs/>
          <w:szCs w:val="24"/>
        </w:rPr>
        <w:t>objectives</w:t>
      </w:r>
      <w:r w:rsidRPr="00566916">
        <w:rPr>
          <w:rFonts w:asciiTheme="minorHAnsi" w:hAnsiTheme="minorHAnsi"/>
          <w:szCs w:val="24"/>
        </w:rPr>
        <w:t xml:space="preserve"> of the first meeting include:</w:t>
      </w:r>
    </w:p>
    <w:p w14:paraId="699CF630" w14:textId="50AB58D6" w:rsidR="0014734E" w:rsidRPr="00566916" w:rsidRDefault="0014734E" w:rsidP="009B5208">
      <w:pPr>
        <w:pStyle w:val="enumlev1"/>
      </w:pPr>
      <w:r w:rsidRPr="00566916">
        <w:t>–</w:t>
      </w:r>
      <w:r w:rsidRPr="00566916">
        <w:tab/>
        <w:t>Discussion on</w:t>
      </w:r>
      <w:r w:rsidR="007645AA">
        <w:t xml:space="preserve"> </w:t>
      </w:r>
      <w:r w:rsidR="00773DDE">
        <w:t>environmental e</w:t>
      </w:r>
      <w:r w:rsidR="007645AA" w:rsidRPr="007645AA">
        <w:t xml:space="preserve">fficiency for Artificial Intelligence and other </w:t>
      </w:r>
      <w:r w:rsidR="00773DDE">
        <w:t>e</w:t>
      </w:r>
      <w:r w:rsidR="007645AA" w:rsidRPr="007645AA">
        <w:t xml:space="preserve">merging </w:t>
      </w:r>
      <w:r w:rsidR="00773DDE">
        <w:t>t</w:t>
      </w:r>
      <w:r w:rsidR="007645AA" w:rsidRPr="007645AA">
        <w:t>echnologies</w:t>
      </w:r>
      <w:r w:rsidRPr="00566916">
        <w:t xml:space="preserve">: </w:t>
      </w:r>
      <w:r w:rsidR="00457EC1" w:rsidRPr="00566916">
        <w:t>use cases, requirements, applications, interfaces, protocols, architectures, security, etc</w:t>
      </w:r>
      <w:proofErr w:type="gramStart"/>
      <w:r w:rsidR="00457EC1" w:rsidRPr="00566916">
        <w:t>.</w:t>
      </w:r>
      <w:r w:rsidRPr="00566916">
        <w:t>;</w:t>
      </w:r>
      <w:proofErr w:type="gramEnd"/>
    </w:p>
    <w:p w14:paraId="459D756A" w14:textId="3D370F9C" w:rsidR="0014734E" w:rsidRPr="00566916" w:rsidRDefault="0014734E" w:rsidP="009B5208">
      <w:pPr>
        <w:pStyle w:val="enumlev1"/>
      </w:pPr>
      <w:r w:rsidRPr="00566916">
        <w:t>–</w:t>
      </w:r>
      <w:r w:rsidRPr="00566916">
        <w:tab/>
      </w:r>
      <w:r w:rsidR="003A1F1F" w:rsidRPr="00566916">
        <w:t>Appointment of FG-</w:t>
      </w:r>
      <w:r w:rsidR="007645AA">
        <w:t>AI4EE</w:t>
      </w:r>
      <w:r w:rsidR="003A1F1F" w:rsidRPr="00566916">
        <w:t xml:space="preserve"> </w:t>
      </w:r>
      <w:r w:rsidR="00B17479" w:rsidRPr="00566916">
        <w:t>management</w:t>
      </w:r>
      <w:r w:rsidR="003A1F1F" w:rsidRPr="00566916">
        <w:t xml:space="preserve">, including additional </w:t>
      </w:r>
      <w:r w:rsidR="00773DDE">
        <w:t>V</w:t>
      </w:r>
      <w:r w:rsidR="003A1F1F" w:rsidRPr="00566916">
        <w:t>ice-chairs</w:t>
      </w:r>
      <w:r w:rsidRPr="00566916">
        <w:t>;</w:t>
      </w:r>
    </w:p>
    <w:p w14:paraId="44AE4584" w14:textId="77777777" w:rsidR="003A1F1F" w:rsidRPr="00566916" w:rsidRDefault="0014734E" w:rsidP="009B5208">
      <w:pPr>
        <w:pStyle w:val="enumlev1"/>
      </w:pPr>
      <w:r w:rsidRPr="00566916">
        <w:t>–</w:t>
      </w:r>
      <w:r w:rsidRPr="00566916">
        <w:tab/>
        <w:t xml:space="preserve">Agreement on the </w:t>
      </w:r>
      <w:r w:rsidR="003A1F1F" w:rsidRPr="00566916">
        <w:t>FG-</w:t>
      </w:r>
      <w:r w:rsidR="007645AA">
        <w:t>AI4EE</w:t>
      </w:r>
      <w:r w:rsidR="003A1F1F" w:rsidRPr="00566916">
        <w:t xml:space="preserve"> working </w:t>
      </w:r>
      <w:r w:rsidRPr="00566916">
        <w:t>structure,</w:t>
      </w:r>
      <w:r w:rsidR="003A1F1F" w:rsidRPr="00566916">
        <w:t xml:space="preserve"> including establishment of </w:t>
      </w:r>
      <w:r w:rsidR="002A284F" w:rsidRPr="00566916">
        <w:t xml:space="preserve">working groups </w:t>
      </w:r>
      <w:r w:rsidR="003A1F1F" w:rsidRPr="00566916">
        <w:t>(WGs) on specific topics and appointment of relevant WG Chairs;</w:t>
      </w:r>
    </w:p>
    <w:p w14:paraId="6CADA2E8" w14:textId="07F65DF4" w:rsidR="0014734E" w:rsidRPr="00566916" w:rsidRDefault="003A1F1F" w:rsidP="009B5208">
      <w:pPr>
        <w:pStyle w:val="enumlev1"/>
      </w:pPr>
      <w:r w:rsidRPr="00566916">
        <w:t>–</w:t>
      </w:r>
      <w:r w:rsidRPr="00566916">
        <w:tab/>
        <w:t>Agreement on a FG-</w:t>
      </w:r>
      <w:r w:rsidR="007645AA">
        <w:t>AI4EE</w:t>
      </w:r>
      <w:r w:rsidRPr="00566916">
        <w:t xml:space="preserve"> roadmap of </w:t>
      </w:r>
      <w:r w:rsidR="0014734E" w:rsidRPr="00566916">
        <w:t>expected deliverables</w:t>
      </w:r>
      <w:r w:rsidRPr="00566916">
        <w:t>, identifying timeline</w:t>
      </w:r>
      <w:r w:rsidR="00773DDE">
        <w:t>s</w:t>
      </w:r>
      <w:r w:rsidR="004E302B" w:rsidRPr="00566916">
        <w:t>,</w:t>
      </w:r>
      <w:r w:rsidRPr="00566916">
        <w:t xml:space="preserve"> scopes</w:t>
      </w:r>
      <w:r w:rsidR="004E302B" w:rsidRPr="00566916">
        <w:t xml:space="preserve"> and </w:t>
      </w:r>
      <w:r w:rsidRPr="00566916">
        <w:t>editors and</w:t>
      </w:r>
      <w:r w:rsidR="0014734E" w:rsidRPr="00566916">
        <w:t xml:space="preserve"> </w:t>
      </w:r>
      <w:r w:rsidRPr="00566916">
        <w:t xml:space="preserve">assigning </w:t>
      </w:r>
      <w:r w:rsidR="0014734E" w:rsidRPr="00566916">
        <w:t>responsibilities</w:t>
      </w:r>
      <w:r w:rsidRPr="00566916">
        <w:t xml:space="preserve"> to the various WGs;</w:t>
      </w:r>
      <w:r w:rsidR="0014734E" w:rsidRPr="00566916">
        <w:t xml:space="preserve"> </w:t>
      </w:r>
    </w:p>
    <w:p w14:paraId="5C4F82D5" w14:textId="77777777" w:rsidR="000F4D04" w:rsidRPr="00566916" w:rsidRDefault="000F4D04" w:rsidP="009B5208">
      <w:pPr>
        <w:pStyle w:val="enumlev1"/>
      </w:pPr>
      <w:r w:rsidRPr="00566916">
        <w:t>–</w:t>
      </w:r>
      <w:r w:rsidRPr="00566916">
        <w:tab/>
        <w:t>Agreement on FG-</w:t>
      </w:r>
      <w:r w:rsidR="007645AA">
        <w:t>AI4EE</w:t>
      </w:r>
      <w:r w:rsidRPr="00566916">
        <w:t xml:space="preserve"> working methods, using as </w:t>
      </w:r>
      <w:r w:rsidR="00B17479">
        <w:t xml:space="preserve">a </w:t>
      </w:r>
      <w:r w:rsidRPr="00566916">
        <w:t>base ITU-T A.7;</w:t>
      </w:r>
    </w:p>
    <w:p w14:paraId="715B1C96" w14:textId="77777777" w:rsidR="004E302B" w:rsidRPr="00566916" w:rsidRDefault="004E302B" w:rsidP="009B5208">
      <w:pPr>
        <w:pStyle w:val="enumlev1"/>
      </w:pPr>
      <w:r w:rsidRPr="00566916">
        <w:t>–</w:t>
      </w:r>
      <w:r w:rsidRPr="00566916">
        <w:tab/>
      </w:r>
      <w:r w:rsidR="000F4D04" w:rsidRPr="00566916">
        <w:t>Agreement on FG-</w:t>
      </w:r>
      <w:r w:rsidR="007645AA">
        <w:t>AI4EE</w:t>
      </w:r>
      <w:r w:rsidR="000F4D04" w:rsidRPr="00566916">
        <w:t xml:space="preserve"> future meeting plans, including frequency of meetings</w:t>
      </w:r>
      <w:r w:rsidRPr="00566916">
        <w:t>.</w:t>
      </w:r>
    </w:p>
    <w:p w14:paraId="4F64A652" w14:textId="77777777" w:rsidR="0014734E" w:rsidRPr="00566916" w:rsidRDefault="004E302B" w:rsidP="00AA2BF5">
      <w:pPr>
        <w:rPr>
          <w:rFonts w:asciiTheme="minorHAnsi" w:hAnsiTheme="minorHAnsi"/>
          <w:szCs w:val="24"/>
        </w:rPr>
      </w:pPr>
      <w:r w:rsidRPr="00566916">
        <w:rPr>
          <w:rFonts w:asciiTheme="minorHAnsi" w:hAnsiTheme="minorHAnsi"/>
          <w:szCs w:val="24"/>
        </w:rPr>
        <w:t>6</w:t>
      </w:r>
      <w:r w:rsidR="0014734E" w:rsidRPr="00566916">
        <w:rPr>
          <w:rFonts w:asciiTheme="minorHAnsi" w:hAnsiTheme="minorHAnsi"/>
          <w:szCs w:val="24"/>
        </w:rPr>
        <w:tab/>
      </w:r>
      <w:r w:rsidR="00047550">
        <w:rPr>
          <w:rFonts w:asciiTheme="minorHAnsi" w:hAnsiTheme="minorHAnsi"/>
          <w:szCs w:val="24"/>
        </w:rPr>
        <w:t>I</w:t>
      </w:r>
      <w:r w:rsidR="00B433E9">
        <w:rPr>
          <w:rFonts w:asciiTheme="minorHAnsi" w:hAnsiTheme="minorHAnsi"/>
          <w:szCs w:val="24"/>
        </w:rPr>
        <w:t>n line with the</w:t>
      </w:r>
      <w:r w:rsidR="00B433E9" w:rsidRPr="00566916">
        <w:rPr>
          <w:rFonts w:asciiTheme="minorHAnsi" w:hAnsiTheme="minorHAnsi"/>
          <w:szCs w:val="24"/>
        </w:rPr>
        <w:t xml:space="preserve"> terms of reference set </w:t>
      </w:r>
      <w:r w:rsidR="00B433E9">
        <w:rPr>
          <w:rFonts w:asciiTheme="minorHAnsi" w:hAnsiTheme="minorHAnsi"/>
          <w:szCs w:val="24"/>
        </w:rPr>
        <w:t>out</w:t>
      </w:r>
      <w:r w:rsidR="00B433E9" w:rsidRPr="00566916">
        <w:rPr>
          <w:rFonts w:asciiTheme="minorHAnsi" w:hAnsiTheme="minorHAnsi"/>
          <w:szCs w:val="24"/>
        </w:rPr>
        <w:t xml:space="preserve"> in </w:t>
      </w:r>
      <w:r w:rsidR="00E27FE5">
        <w:rPr>
          <w:rFonts w:asciiTheme="minorHAnsi" w:hAnsiTheme="minorHAnsi"/>
          <w:b/>
          <w:bCs/>
          <w:szCs w:val="24"/>
        </w:rPr>
        <w:t>Annex 1</w:t>
      </w:r>
      <w:r w:rsidR="00B433E9">
        <w:rPr>
          <w:rFonts w:asciiTheme="minorHAnsi" w:hAnsiTheme="minorHAnsi"/>
          <w:b/>
          <w:bCs/>
          <w:szCs w:val="24"/>
        </w:rPr>
        <w:t>, w</w:t>
      </w:r>
      <w:r w:rsidR="00B433E9" w:rsidRPr="00566916">
        <w:rPr>
          <w:rFonts w:asciiTheme="minorHAnsi" w:hAnsiTheme="minorHAnsi"/>
          <w:b/>
          <w:bCs/>
          <w:szCs w:val="24"/>
        </w:rPr>
        <w:t xml:space="preserve">ritten </w:t>
      </w:r>
      <w:r w:rsidR="0014734E" w:rsidRPr="00566916">
        <w:rPr>
          <w:rFonts w:asciiTheme="minorHAnsi" w:hAnsiTheme="minorHAnsi"/>
          <w:b/>
          <w:bCs/>
          <w:szCs w:val="24"/>
        </w:rPr>
        <w:t>contributions are invited</w:t>
      </w:r>
      <w:r w:rsidR="0014734E" w:rsidRPr="00566916">
        <w:rPr>
          <w:rFonts w:asciiTheme="minorHAnsi" w:hAnsiTheme="minorHAnsi"/>
          <w:szCs w:val="24"/>
        </w:rPr>
        <w:t xml:space="preserve"> for the </w:t>
      </w:r>
      <w:r w:rsidR="000F4D04" w:rsidRPr="00566916">
        <w:rPr>
          <w:rFonts w:asciiTheme="minorHAnsi" w:hAnsiTheme="minorHAnsi"/>
          <w:szCs w:val="24"/>
        </w:rPr>
        <w:t xml:space="preserve">first </w:t>
      </w:r>
      <w:r w:rsidR="00536565" w:rsidRPr="00566916">
        <w:rPr>
          <w:rFonts w:asciiTheme="minorHAnsi" w:hAnsiTheme="minorHAnsi"/>
          <w:szCs w:val="24"/>
        </w:rPr>
        <w:t xml:space="preserve">meeting of the </w:t>
      </w:r>
      <w:r w:rsidR="00AA2BF5" w:rsidRPr="00AA2BF5">
        <w:rPr>
          <w:rFonts w:asciiTheme="minorHAnsi" w:hAnsiTheme="minorHAnsi"/>
          <w:szCs w:val="24"/>
        </w:rPr>
        <w:t xml:space="preserve">Focus Group on </w:t>
      </w:r>
      <w:r w:rsidR="0064593A" w:rsidRPr="0064593A">
        <w:rPr>
          <w:rFonts w:asciiTheme="minorHAnsi" w:hAnsiTheme="minorHAnsi"/>
          <w:szCs w:val="24"/>
        </w:rPr>
        <w:t>Environmental Efficiency for Artificial Intelligence and other Emerging Technologies</w:t>
      </w:r>
      <w:r w:rsidR="0064593A">
        <w:rPr>
          <w:rFonts w:asciiTheme="minorHAnsi" w:hAnsiTheme="minorHAnsi"/>
          <w:szCs w:val="24"/>
        </w:rPr>
        <w:t xml:space="preserve"> </w:t>
      </w:r>
      <w:r w:rsidR="00536565" w:rsidRPr="00566916">
        <w:rPr>
          <w:rFonts w:asciiTheme="minorHAnsi" w:hAnsiTheme="minorHAnsi"/>
          <w:szCs w:val="24"/>
        </w:rPr>
        <w:t xml:space="preserve">to address </w:t>
      </w:r>
      <w:r w:rsidR="000F4D04" w:rsidRPr="00566916">
        <w:rPr>
          <w:rFonts w:asciiTheme="minorHAnsi" w:hAnsiTheme="minorHAnsi"/>
          <w:szCs w:val="24"/>
        </w:rPr>
        <w:t xml:space="preserve">the objectives </w:t>
      </w:r>
      <w:r w:rsidRPr="00566916">
        <w:rPr>
          <w:rFonts w:asciiTheme="minorHAnsi" w:hAnsiTheme="minorHAnsi"/>
          <w:szCs w:val="24"/>
        </w:rPr>
        <w:t xml:space="preserve">highlighted </w:t>
      </w:r>
      <w:r w:rsidR="000F4D04" w:rsidRPr="00566916">
        <w:rPr>
          <w:rFonts w:asciiTheme="minorHAnsi" w:hAnsiTheme="minorHAnsi"/>
          <w:szCs w:val="24"/>
        </w:rPr>
        <w:t>above and especially to foster an initial development</w:t>
      </w:r>
      <w:r w:rsidR="002A284F">
        <w:rPr>
          <w:rFonts w:asciiTheme="minorHAnsi" w:hAnsiTheme="minorHAnsi"/>
          <w:szCs w:val="24"/>
        </w:rPr>
        <w:t xml:space="preserve"> plan</w:t>
      </w:r>
      <w:r w:rsidR="000F4D04" w:rsidRPr="00566916">
        <w:rPr>
          <w:rFonts w:asciiTheme="minorHAnsi" w:hAnsiTheme="minorHAnsi"/>
          <w:szCs w:val="24"/>
        </w:rPr>
        <w:t xml:space="preserve"> of deliverables.</w:t>
      </w:r>
    </w:p>
    <w:p w14:paraId="634D6D21" w14:textId="43B4E0DA" w:rsidR="0014734E" w:rsidRPr="00566916" w:rsidRDefault="004E302B" w:rsidP="0014734E">
      <w:pPr>
        <w:rPr>
          <w:rFonts w:asciiTheme="minorHAnsi" w:hAnsiTheme="minorHAnsi"/>
          <w:szCs w:val="24"/>
        </w:rPr>
      </w:pPr>
      <w:r w:rsidRPr="00566916">
        <w:rPr>
          <w:rFonts w:asciiTheme="minorHAnsi" w:hAnsiTheme="minorHAnsi"/>
          <w:szCs w:val="24"/>
        </w:rPr>
        <w:t>7</w:t>
      </w:r>
      <w:r w:rsidR="0014734E" w:rsidRPr="00566916">
        <w:rPr>
          <w:rFonts w:asciiTheme="minorHAnsi" w:hAnsiTheme="minorHAnsi"/>
          <w:szCs w:val="24"/>
        </w:rPr>
        <w:tab/>
        <w:t xml:space="preserve">Written contributions </w:t>
      </w:r>
      <w:r w:rsidR="002A284F">
        <w:rPr>
          <w:rFonts w:asciiTheme="minorHAnsi" w:hAnsiTheme="minorHAnsi"/>
          <w:szCs w:val="24"/>
        </w:rPr>
        <w:t>should</w:t>
      </w:r>
      <w:r w:rsidR="0014734E" w:rsidRPr="00566916">
        <w:rPr>
          <w:rFonts w:asciiTheme="minorHAnsi" w:hAnsiTheme="minorHAnsi"/>
          <w:szCs w:val="24"/>
        </w:rPr>
        <w:t xml:space="preserve"> be submitted to the secretariat (</w:t>
      </w:r>
      <w:hyperlink r:id="rId16" w:history="1">
        <w:r w:rsidR="0064593A" w:rsidRPr="00EE522B">
          <w:rPr>
            <w:rStyle w:val="Hyperlink"/>
            <w:rFonts w:asciiTheme="minorHAnsi" w:hAnsiTheme="minorHAnsi"/>
            <w:szCs w:val="24"/>
          </w:rPr>
          <w:t>tsbfgai4ee@itu.int</w:t>
        </w:r>
      </w:hyperlink>
      <w:r w:rsidR="0014734E" w:rsidRPr="00566916">
        <w:rPr>
          <w:rFonts w:asciiTheme="minorHAnsi" w:hAnsiTheme="minorHAnsi"/>
          <w:szCs w:val="24"/>
        </w:rPr>
        <w:t xml:space="preserve">) in electronic format using the </w:t>
      </w:r>
      <w:hyperlink r:id="rId17" w:history="1">
        <w:r w:rsidR="00EB5168" w:rsidRPr="00F16865">
          <w:rPr>
            <w:rStyle w:val="Hyperlink"/>
            <w:rFonts w:asciiTheme="minorHAnsi" w:hAnsiTheme="minorHAnsi"/>
            <w:szCs w:val="24"/>
          </w:rPr>
          <w:t>template</w:t>
        </w:r>
      </w:hyperlink>
      <w:r w:rsidR="00EB5168" w:rsidRPr="00566916">
        <w:rPr>
          <w:rFonts w:asciiTheme="minorHAnsi" w:hAnsiTheme="minorHAnsi"/>
          <w:szCs w:val="24"/>
        </w:rPr>
        <w:t xml:space="preserve"> </w:t>
      </w:r>
      <w:r w:rsidR="0014734E" w:rsidRPr="00566916">
        <w:rPr>
          <w:rFonts w:asciiTheme="minorHAnsi" w:hAnsiTheme="minorHAnsi"/>
          <w:szCs w:val="24"/>
        </w:rPr>
        <w:t>available from the FG-</w:t>
      </w:r>
      <w:r w:rsidR="0064593A">
        <w:rPr>
          <w:rFonts w:asciiTheme="minorHAnsi" w:hAnsiTheme="minorHAnsi"/>
          <w:szCs w:val="24"/>
        </w:rPr>
        <w:t>AI4EE</w:t>
      </w:r>
      <w:r w:rsidR="00E33932" w:rsidRPr="00566916">
        <w:rPr>
          <w:rFonts w:asciiTheme="minorHAnsi" w:hAnsiTheme="minorHAnsi"/>
          <w:szCs w:val="24"/>
        </w:rPr>
        <w:t xml:space="preserve"> </w:t>
      </w:r>
      <w:r w:rsidR="0014734E" w:rsidRPr="00566916">
        <w:rPr>
          <w:rFonts w:asciiTheme="minorHAnsi" w:hAnsiTheme="minorHAnsi"/>
          <w:szCs w:val="24"/>
        </w:rPr>
        <w:t xml:space="preserve">homepage. </w:t>
      </w:r>
      <w:r w:rsidR="00D22446" w:rsidRPr="00566916">
        <w:rPr>
          <w:rFonts w:asciiTheme="minorHAnsi" w:hAnsiTheme="minorHAnsi"/>
          <w:b/>
          <w:bCs/>
          <w:szCs w:val="24"/>
        </w:rPr>
        <w:t xml:space="preserve">The deadline is </w:t>
      </w:r>
      <w:r w:rsidR="00A503EF">
        <w:rPr>
          <w:rFonts w:asciiTheme="minorHAnsi" w:hAnsiTheme="minorHAnsi"/>
          <w:b/>
          <w:bCs/>
          <w:szCs w:val="24"/>
        </w:rPr>
        <w:br/>
      </w:r>
      <w:r w:rsidR="00DE1FCF">
        <w:rPr>
          <w:rFonts w:asciiTheme="minorHAnsi" w:hAnsiTheme="minorHAnsi"/>
          <w:b/>
          <w:bCs/>
          <w:szCs w:val="24"/>
        </w:rPr>
        <w:t>2 October 2019</w:t>
      </w:r>
      <w:r w:rsidR="0014734E" w:rsidRPr="00566916">
        <w:rPr>
          <w:rFonts w:asciiTheme="minorHAnsi" w:hAnsiTheme="minorHAnsi"/>
          <w:b/>
          <w:bCs/>
          <w:szCs w:val="24"/>
        </w:rPr>
        <w:t>.</w:t>
      </w:r>
    </w:p>
    <w:p w14:paraId="2C6086EC" w14:textId="77777777" w:rsidR="0014734E" w:rsidRDefault="00927386" w:rsidP="004E302B">
      <w:pPr>
        <w:rPr>
          <w:rFonts w:asciiTheme="minorHAnsi" w:hAnsiTheme="minorHAnsi"/>
          <w:szCs w:val="24"/>
        </w:rPr>
      </w:pPr>
      <w:r>
        <w:rPr>
          <w:rFonts w:asciiTheme="minorHAnsi" w:hAnsiTheme="minorHAnsi"/>
          <w:szCs w:val="24"/>
        </w:rPr>
        <w:t>8</w:t>
      </w:r>
      <w:r w:rsidR="0014734E" w:rsidRPr="00566916">
        <w:rPr>
          <w:rFonts w:asciiTheme="minorHAnsi" w:hAnsiTheme="minorHAnsi"/>
          <w:szCs w:val="24"/>
        </w:rPr>
        <w:tab/>
        <w:t xml:space="preserve">The meeting will </w:t>
      </w:r>
      <w:r w:rsidR="0014734E" w:rsidRPr="00566916">
        <w:rPr>
          <w:rFonts w:asciiTheme="minorHAnsi" w:hAnsiTheme="minorHAnsi"/>
          <w:b/>
          <w:szCs w:val="24"/>
        </w:rPr>
        <w:t xml:space="preserve">start </w:t>
      </w:r>
      <w:r w:rsidR="0014734E" w:rsidRPr="00BB77F1">
        <w:rPr>
          <w:rFonts w:asciiTheme="minorHAnsi" w:hAnsiTheme="minorHAnsi"/>
          <w:b/>
          <w:szCs w:val="24"/>
        </w:rPr>
        <w:t>at 0930</w:t>
      </w:r>
      <w:r w:rsidR="0014734E" w:rsidRPr="00566916">
        <w:rPr>
          <w:rFonts w:asciiTheme="minorHAnsi" w:hAnsiTheme="minorHAnsi"/>
          <w:b/>
          <w:szCs w:val="24"/>
        </w:rPr>
        <w:t xml:space="preserve"> hours</w:t>
      </w:r>
      <w:r w:rsidR="0014734E" w:rsidRPr="00566916">
        <w:rPr>
          <w:rFonts w:asciiTheme="minorHAnsi" w:hAnsiTheme="minorHAnsi"/>
          <w:szCs w:val="24"/>
        </w:rPr>
        <w:t xml:space="preserve"> and participant registration will begin </w:t>
      </w:r>
      <w:r w:rsidR="0014734E" w:rsidRPr="00A061BC">
        <w:rPr>
          <w:rFonts w:asciiTheme="minorHAnsi" w:hAnsiTheme="minorHAnsi"/>
          <w:szCs w:val="24"/>
        </w:rPr>
        <w:t>at 0830 hours.</w:t>
      </w:r>
      <w:r w:rsidR="00E27FE5">
        <w:rPr>
          <w:rFonts w:asciiTheme="minorHAnsi" w:hAnsiTheme="minorHAnsi"/>
          <w:szCs w:val="24"/>
        </w:rPr>
        <w:t xml:space="preserve"> </w:t>
      </w:r>
      <w:r w:rsidR="00E27FE5" w:rsidRPr="00E27FE5">
        <w:rPr>
          <w:rFonts w:asciiTheme="minorHAnsi" w:hAnsiTheme="minorHAnsi"/>
          <w:szCs w:val="24"/>
        </w:rPr>
        <w:t xml:space="preserve">Practical meeting information is set out in </w:t>
      </w:r>
      <w:r w:rsidR="00E27FE5" w:rsidRPr="00E27FE5">
        <w:rPr>
          <w:rFonts w:asciiTheme="minorHAnsi" w:hAnsiTheme="minorHAnsi"/>
          <w:b/>
          <w:szCs w:val="24"/>
        </w:rPr>
        <w:t xml:space="preserve">Annex </w:t>
      </w:r>
      <w:r w:rsidR="00E27FE5">
        <w:rPr>
          <w:rFonts w:asciiTheme="minorHAnsi" w:hAnsiTheme="minorHAnsi"/>
          <w:b/>
          <w:szCs w:val="24"/>
        </w:rPr>
        <w:t>2</w:t>
      </w:r>
      <w:r w:rsidR="00F94904">
        <w:rPr>
          <w:rFonts w:asciiTheme="minorHAnsi" w:hAnsiTheme="minorHAnsi"/>
          <w:szCs w:val="24"/>
        </w:rPr>
        <w:t>.</w:t>
      </w:r>
      <w:r w:rsidR="0014734E" w:rsidRPr="00566916">
        <w:rPr>
          <w:rFonts w:asciiTheme="minorHAnsi" w:hAnsiTheme="minorHAnsi"/>
          <w:szCs w:val="24"/>
        </w:rPr>
        <w:t xml:space="preserve"> The meeting agenda will be available from the FG-</w:t>
      </w:r>
      <w:r w:rsidR="008A356A">
        <w:rPr>
          <w:rFonts w:asciiTheme="minorHAnsi" w:hAnsiTheme="minorHAnsi"/>
          <w:szCs w:val="24"/>
        </w:rPr>
        <w:t>AI4EE</w:t>
      </w:r>
      <w:r w:rsidR="001720AD" w:rsidRPr="00566916">
        <w:rPr>
          <w:rFonts w:asciiTheme="minorHAnsi" w:hAnsiTheme="minorHAnsi"/>
          <w:szCs w:val="24"/>
        </w:rPr>
        <w:t xml:space="preserve"> </w:t>
      </w:r>
      <w:r w:rsidR="0014734E" w:rsidRPr="00566916">
        <w:rPr>
          <w:rFonts w:asciiTheme="minorHAnsi" w:hAnsiTheme="minorHAnsi"/>
          <w:szCs w:val="24"/>
        </w:rPr>
        <w:t>homepage in advance of the meeting. The discussions will be held in English only</w:t>
      </w:r>
      <w:r w:rsidR="002A284F">
        <w:rPr>
          <w:rFonts w:asciiTheme="minorHAnsi" w:hAnsiTheme="minorHAnsi"/>
          <w:szCs w:val="24"/>
        </w:rPr>
        <w:t xml:space="preserve">, and </w:t>
      </w:r>
      <w:r w:rsidR="0014734E" w:rsidRPr="00566916">
        <w:rPr>
          <w:rFonts w:asciiTheme="minorHAnsi" w:hAnsiTheme="minorHAnsi"/>
          <w:szCs w:val="24"/>
        </w:rPr>
        <w:t xml:space="preserve">will be supported by </w:t>
      </w:r>
      <w:r w:rsidR="0014734E" w:rsidRPr="00566916">
        <w:rPr>
          <w:rFonts w:asciiTheme="minorHAnsi" w:hAnsiTheme="minorHAnsi"/>
          <w:b/>
          <w:bCs/>
          <w:szCs w:val="24"/>
        </w:rPr>
        <w:t>remote participation</w:t>
      </w:r>
      <w:r w:rsidR="0014734E" w:rsidRPr="00566916">
        <w:rPr>
          <w:rFonts w:asciiTheme="minorHAnsi" w:hAnsiTheme="minorHAnsi"/>
          <w:szCs w:val="24"/>
        </w:rPr>
        <w:t>; details will be made available on the FG-</w:t>
      </w:r>
      <w:r w:rsidR="008A356A">
        <w:rPr>
          <w:rFonts w:asciiTheme="minorHAnsi" w:hAnsiTheme="minorHAnsi"/>
          <w:szCs w:val="24"/>
        </w:rPr>
        <w:t>AI4EE</w:t>
      </w:r>
      <w:r w:rsidR="001720AD" w:rsidRPr="00566916">
        <w:rPr>
          <w:rFonts w:asciiTheme="minorHAnsi" w:hAnsiTheme="minorHAnsi"/>
          <w:szCs w:val="24"/>
        </w:rPr>
        <w:t xml:space="preserve"> </w:t>
      </w:r>
      <w:r w:rsidR="0014734E" w:rsidRPr="00566916">
        <w:rPr>
          <w:rFonts w:asciiTheme="minorHAnsi" w:hAnsiTheme="minorHAnsi"/>
          <w:szCs w:val="24"/>
        </w:rPr>
        <w:t>homepage.</w:t>
      </w:r>
    </w:p>
    <w:p w14:paraId="0E24CFD9" w14:textId="77777777" w:rsidR="00F94904" w:rsidRPr="00F94904" w:rsidRDefault="00F94904" w:rsidP="00F94904">
      <w:pPr>
        <w:rPr>
          <w:rFonts w:asciiTheme="minorHAnsi" w:hAnsiTheme="minorHAnsi"/>
          <w:szCs w:val="24"/>
        </w:rPr>
      </w:pPr>
      <w:r>
        <w:rPr>
          <w:rFonts w:asciiTheme="minorHAnsi" w:hAnsiTheme="minorHAnsi"/>
          <w:szCs w:val="24"/>
        </w:rPr>
        <w:t>9</w:t>
      </w:r>
      <w:r>
        <w:rPr>
          <w:rFonts w:asciiTheme="minorHAnsi" w:hAnsiTheme="minorHAnsi"/>
          <w:szCs w:val="24"/>
        </w:rPr>
        <w:tab/>
      </w:r>
      <w:r w:rsidRPr="00F94904">
        <w:rPr>
          <w:rFonts w:asciiTheme="minorHAnsi" w:hAnsiTheme="minorHAnsi"/>
          <w:szCs w:val="24"/>
        </w:rPr>
        <w:t xml:space="preserve">We would remind you that citizens of some countries are required to obtain a visa in order to enter and spend any time in Austria. If required, visas must be requested before the date of arrival in Austria from the embassy or consulate representing Austria in your country or, if there is no such office in your country, from the one that is closest to the country of departure. Deadlines vary, so it is suggested to check directly with the appropriate </w:t>
      </w:r>
      <w:r>
        <w:rPr>
          <w:rFonts w:asciiTheme="minorHAnsi" w:hAnsiTheme="minorHAnsi"/>
          <w:szCs w:val="24"/>
        </w:rPr>
        <w:t>representation and apply early.</w:t>
      </w:r>
    </w:p>
    <w:p w14:paraId="35466F94" w14:textId="39164C74" w:rsidR="00F94904" w:rsidRPr="00566916" w:rsidRDefault="00A061BC" w:rsidP="00F94904">
      <w:pPr>
        <w:rPr>
          <w:rFonts w:asciiTheme="minorHAnsi" w:hAnsiTheme="minorHAnsi"/>
          <w:szCs w:val="24"/>
        </w:rPr>
      </w:pPr>
      <w:r w:rsidRPr="00A061BC">
        <w:rPr>
          <w:rFonts w:asciiTheme="minorHAnsi" w:hAnsiTheme="minorHAnsi"/>
          <w:szCs w:val="24"/>
        </w:rPr>
        <w:t>Additional details and documentation needed for visa processing, if any, will be provided in the logistics document for the meeting that will be made av</w:t>
      </w:r>
      <w:r>
        <w:rPr>
          <w:rFonts w:asciiTheme="minorHAnsi" w:hAnsiTheme="minorHAnsi"/>
          <w:szCs w:val="24"/>
        </w:rPr>
        <w:t>ailable on the FG-AI4EE website</w:t>
      </w:r>
      <w:r w:rsidR="00F94904" w:rsidRPr="00F94904">
        <w:rPr>
          <w:rFonts w:asciiTheme="minorHAnsi" w:hAnsiTheme="minorHAnsi"/>
          <w:szCs w:val="24"/>
        </w:rPr>
        <w:t>.</w:t>
      </w:r>
    </w:p>
    <w:p w14:paraId="467DE7B3" w14:textId="24A1C5ED" w:rsidR="006A0A7E" w:rsidRPr="00566916" w:rsidRDefault="00F94904" w:rsidP="005D0601">
      <w:pPr>
        <w:rPr>
          <w:rFonts w:asciiTheme="minorHAnsi" w:hAnsiTheme="minorHAnsi"/>
          <w:szCs w:val="24"/>
        </w:rPr>
      </w:pPr>
      <w:r>
        <w:rPr>
          <w:rFonts w:asciiTheme="minorHAnsi" w:hAnsiTheme="minorHAnsi"/>
          <w:szCs w:val="24"/>
        </w:rPr>
        <w:t>10</w:t>
      </w:r>
      <w:r w:rsidR="0014734E" w:rsidRPr="00566916">
        <w:rPr>
          <w:rFonts w:asciiTheme="minorHAnsi" w:hAnsiTheme="minorHAnsi"/>
          <w:szCs w:val="24"/>
        </w:rPr>
        <w:tab/>
        <w:t xml:space="preserve">To enable </w:t>
      </w:r>
      <w:r w:rsidR="000F4D04" w:rsidRPr="00566916">
        <w:rPr>
          <w:rFonts w:asciiTheme="minorHAnsi" w:hAnsiTheme="minorHAnsi"/>
          <w:szCs w:val="24"/>
        </w:rPr>
        <w:t xml:space="preserve">the </w:t>
      </w:r>
      <w:r w:rsidR="00C524FE">
        <w:rPr>
          <w:rFonts w:asciiTheme="minorHAnsi" w:hAnsiTheme="minorHAnsi"/>
          <w:szCs w:val="24"/>
        </w:rPr>
        <w:t>h</w:t>
      </w:r>
      <w:r w:rsidR="002A284F" w:rsidRPr="00566916">
        <w:rPr>
          <w:rFonts w:asciiTheme="minorHAnsi" w:hAnsiTheme="minorHAnsi"/>
          <w:szCs w:val="24"/>
        </w:rPr>
        <w:t xml:space="preserve">ost </w:t>
      </w:r>
      <w:r w:rsidR="0014734E" w:rsidRPr="00566916">
        <w:rPr>
          <w:rFonts w:asciiTheme="minorHAnsi" w:hAnsiTheme="minorHAnsi"/>
          <w:szCs w:val="24"/>
        </w:rPr>
        <w:t xml:space="preserve">to make the necessary logistics arrangements, participants are required to </w:t>
      </w:r>
      <w:r w:rsidR="0014734E" w:rsidRPr="00566916">
        <w:rPr>
          <w:rFonts w:asciiTheme="minorHAnsi" w:hAnsiTheme="minorHAnsi"/>
          <w:b/>
          <w:szCs w:val="24"/>
        </w:rPr>
        <w:t>pre-register online</w:t>
      </w:r>
      <w:r w:rsidR="0014734E" w:rsidRPr="00566916">
        <w:rPr>
          <w:rFonts w:asciiTheme="minorHAnsi" w:hAnsiTheme="minorHAnsi"/>
          <w:szCs w:val="24"/>
        </w:rPr>
        <w:t xml:space="preserve"> via the FG-</w:t>
      </w:r>
      <w:r w:rsidR="008A356A">
        <w:rPr>
          <w:rFonts w:asciiTheme="minorHAnsi" w:hAnsiTheme="minorHAnsi"/>
          <w:szCs w:val="24"/>
        </w:rPr>
        <w:t>AI4EE</w:t>
      </w:r>
      <w:r w:rsidR="001720AD" w:rsidRPr="00566916">
        <w:rPr>
          <w:rFonts w:asciiTheme="minorHAnsi" w:hAnsiTheme="minorHAnsi"/>
          <w:szCs w:val="24"/>
        </w:rPr>
        <w:t xml:space="preserve"> </w:t>
      </w:r>
      <w:r w:rsidR="0014734E" w:rsidRPr="00566916">
        <w:rPr>
          <w:rFonts w:asciiTheme="minorHAnsi" w:hAnsiTheme="minorHAnsi"/>
          <w:szCs w:val="24"/>
        </w:rPr>
        <w:t xml:space="preserve">homepage as soon as possible, and </w:t>
      </w:r>
      <w:r w:rsidR="0014734E" w:rsidRPr="006A0A7E">
        <w:rPr>
          <w:rFonts w:asciiTheme="minorHAnsi" w:hAnsiTheme="minorHAnsi"/>
          <w:bCs/>
          <w:szCs w:val="24"/>
        </w:rPr>
        <w:t>no later than</w:t>
      </w:r>
      <w:r w:rsidR="0014734E" w:rsidRPr="00566916">
        <w:rPr>
          <w:rFonts w:asciiTheme="minorHAnsi" w:hAnsiTheme="minorHAnsi"/>
          <w:b/>
          <w:bCs/>
          <w:szCs w:val="24"/>
        </w:rPr>
        <w:t xml:space="preserve"> </w:t>
      </w:r>
      <w:r w:rsidR="001D608B">
        <w:rPr>
          <w:rFonts w:asciiTheme="minorHAnsi" w:hAnsiTheme="minorHAnsi"/>
          <w:b/>
          <w:bCs/>
          <w:szCs w:val="24"/>
        </w:rPr>
        <w:t>2 October 2019</w:t>
      </w:r>
      <w:r w:rsidR="0014734E" w:rsidRPr="00566916">
        <w:rPr>
          <w:rFonts w:asciiTheme="minorHAnsi" w:hAnsiTheme="minorHAnsi"/>
          <w:szCs w:val="24"/>
        </w:rPr>
        <w:t xml:space="preserve">. Places are limited and registration will be handled on a </w:t>
      </w:r>
      <w:r w:rsidR="0014734E" w:rsidRPr="006A0A7E">
        <w:rPr>
          <w:rFonts w:asciiTheme="minorHAnsi" w:hAnsiTheme="minorHAnsi"/>
          <w:szCs w:val="24"/>
        </w:rPr>
        <w:t>first-come, first-served basis. Registration is required for remote participation as well as on-</w:t>
      </w:r>
      <w:r w:rsidR="0014734E" w:rsidRPr="00566916">
        <w:rPr>
          <w:rFonts w:asciiTheme="minorHAnsi" w:hAnsiTheme="minorHAnsi"/>
          <w:szCs w:val="24"/>
        </w:rPr>
        <w:t xml:space="preserve">site participation. </w:t>
      </w:r>
      <w:r w:rsidR="006A0A7E" w:rsidRPr="006A0A7E">
        <w:rPr>
          <w:rFonts w:asciiTheme="minorHAnsi" w:hAnsiTheme="minorHAnsi"/>
          <w:szCs w:val="24"/>
        </w:rPr>
        <w:t>Please note that pre-registration of participants for the events is carried out exclusively online.</w:t>
      </w:r>
    </w:p>
    <w:p w14:paraId="672EA739" w14:textId="77777777" w:rsidR="0014734E" w:rsidRPr="00566916" w:rsidRDefault="0014734E" w:rsidP="00DE1FCF">
      <w:pPr>
        <w:keepNext/>
        <w:keepLines/>
        <w:spacing w:before="0" w:after="120"/>
        <w:rPr>
          <w:rFonts w:asciiTheme="minorHAnsi" w:hAnsiTheme="minorHAnsi"/>
          <w:szCs w:val="24"/>
        </w:rPr>
      </w:pPr>
      <w:r w:rsidRPr="00566916">
        <w:rPr>
          <w:rFonts w:asciiTheme="minorHAnsi" w:hAnsiTheme="minorHAnsi"/>
          <w:b/>
          <w:bCs/>
          <w:szCs w:val="24"/>
        </w:rPr>
        <w:lastRenderedPageBreak/>
        <w:t>Key deadlines: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474"/>
      </w:tblGrid>
      <w:tr w:rsidR="0014734E" w:rsidRPr="00566916" w14:paraId="78D1DC80" w14:textId="77777777" w:rsidTr="009B5208">
        <w:tc>
          <w:tcPr>
            <w:tcW w:w="1155" w:type="pct"/>
            <w:shd w:val="clear" w:color="auto" w:fill="auto"/>
            <w:vAlign w:val="center"/>
          </w:tcPr>
          <w:p w14:paraId="03D236D0" w14:textId="4F1B8625" w:rsidR="0014734E" w:rsidRPr="00566916" w:rsidRDefault="00A061BC" w:rsidP="00F1686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asciiTheme="minorHAnsi" w:hAnsiTheme="minorHAnsi"/>
                <w:szCs w:val="24"/>
              </w:rPr>
            </w:pPr>
            <w:r>
              <w:rPr>
                <w:rFonts w:asciiTheme="minorHAnsi" w:hAnsiTheme="minorHAnsi"/>
                <w:szCs w:val="24"/>
              </w:rPr>
              <w:t>16 September</w:t>
            </w:r>
            <w:r w:rsidR="001720AD" w:rsidRPr="00B1396B">
              <w:rPr>
                <w:rFonts w:asciiTheme="minorHAnsi" w:hAnsiTheme="minorHAnsi"/>
                <w:szCs w:val="24"/>
              </w:rPr>
              <w:t xml:space="preserve"> </w:t>
            </w:r>
            <w:r w:rsidR="0014734E" w:rsidRPr="00B1396B">
              <w:rPr>
                <w:rFonts w:asciiTheme="minorHAnsi" w:hAnsiTheme="minorHAnsi"/>
                <w:szCs w:val="24"/>
              </w:rPr>
              <w:t>201</w:t>
            </w:r>
            <w:r w:rsidR="00520495">
              <w:rPr>
                <w:rFonts w:asciiTheme="minorHAnsi" w:hAnsiTheme="minorHAnsi"/>
                <w:szCs w:val="24"/>
              </w:rPr>
              <w:t>9</w:t>
            </w:r>
          </w:p>
        </w:tc>
        <w:tc>
          <w:tcPr>
            <w:tcW w:w="3845" w:type="pct"/>
            <w:shd w:val="clear" w:color="auto" w:fill="auto"/>
            <w:vAlign w:val="center"/>
          </w:tcPr>
          <w:p w14:paraId="328D7BC4" w14:textId="7DD01BF2" w:rsidR="0014734E" w:rsidRPr="00566916" w:rsidRDefault="0014734E" w:rsidP="001D608B">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rFonts w:asciiTheme="minorHAnsi" w:hAnsiTheme="minorHAnsi"/>
                <w:szCs w:val="24"/>
              </w:rPr>
            </w:pPr>
            <w:r w:rsidRPr="00566916">
              <w:rPr>
                <w:rFonts w:asciiTheme="minorHAnsi" w:hAnsiTheme="minorHAnsi"/>
                <w:szCs w:val="24"/>
              </w:rPr>
              <w:t xml:space="preserve">- </w:t>
            </w:r>
            <w:r w:rsidRPr="00A061BC">
              <w:rPr>
                <w:rFonts w:asciiTheme="minorHAnsi" w:hAnsiTheme="minorHAnsi"/>
                <w:szCs w:val="24"/>
              </w:rPr>
              <w:t>Submit requests for visa support letters</w:t>
            </w:r>
            <w:r w:rsidR="00A061BC">
              <w:rPr>
                <w:rFonts w:asciiTheme="minorHAnsi" w:hAnsiTheme="minorHAnsi"/>
                <w:szCs w:val="24"/>
              </w:rPr>
              <w:t xml:space="preserve"> (</w:t>
            </w:r>
            <w:r w:rsidR="00A061BC" w:rsidRPr="00A061BC">
              <w:rPr>
                <w:rFonts w:asciiTheme="minorHAnsi" w:hAnsiTheme="minorHAnsi"/>
                <w:szCs w:val="24"/>
              </w:rPr>
              <w:t>Additional details and documentation needed for visa processing, if any, will be provided in the logistics document for the meeting that will be made av</w:t>
            </w:r>
            <w:r w:rsidR="00A061BC">
              <w:rPr>
                <w:rFonts w:asciiTheme="minorHAnsi" w:hAnsiTheme="minorHAnsi"/>
                <w:szCs w:val="24"/>
              </w:rPr>
              <w:t>ailable on the FG-AI4EE website)</w:t>
            </w:r>
          </w:p>
        </w:tc>
      </w:tr>
      <w:tr w:rsidR="0014734E" w:rsidRPr="00566916" w14:paraId="4A2D9DDA" w14:textId="77777777" w:rsidTr="009B5208">
        <w:tc>
          <w:tcPr>
            <w:tcW w:w="1155" w:type="pct"/>
            <w:shd w:val="clear" w:color="auto" w:fill="auto"/>
            <w:vAlign w:val="center"/>
          </w:tcPr>
          <w:p w14:paraId="26051396" w14:textId="483BF2EA" w:rsidR="0014734E" w:rsidRPr="00566916" w:rsidRDefault="00DE1FCF" w:rsidP="00DE1FC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asciiTheme="minorHAnsi" w:hAnsiTheme="minorHAnsi"/>
                <w:szCs w:val="24"/>
              </w:rPr>
            </w:pPr>
            <w:r w:rsidRPr="00DE1FCF">
              <w:rPr>
                <w:rFonts w:asciiTheme="minorHAnsi" w:hAnsiTheme="minorHAnsi"/>
                <w:szCs w:val="24"/>
              </w:rPr>
              <w:t>2 October 2019</w:t>
            </w:r>
          </w:p>
        </w:tc>
        <w:tc>
          <w:tcPr>
            <w:tcW w:w="3845" w:type="pct"/>
            <w:shd w:val="clear" w:color="auto" w:fill="auto"/>
            <w:vAlign w:val="center"/>
          </w:tcPr>
          <w:p w14:paraId="2BCD295A" w14:textId="77777777" w:rsidR="0014734E" w:rsidRPr="00566916" w:rsidRDefault="0014734E" w:rsidP="00DE1FC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rFonts w:asciiTheme="minorHAnsi" w:hAnsiTheme="minorHAnsi"/>
                <w:szCs w:val="24"/>
              </w:rPr>
            </w:pPr>
            <w:r w:rsidRPr="00566916">
              <w:rPr>
                <w:rFonts w:asciiTheme="minorHAnsi" w:hAnsiTheme="minorHAnsi"/>
                <w:szCs w:val="24"/>
              </w:rPr>
              <w:t xml:space="preserve">- Pre-registration (online via the </w:t>
            </w:r>
            <w:hyperlink r:id="rId18" w:history="1">
              <w:r w:rsidRPr="00566916">
                <w:rPr>
                  <w:rStyle w:val="Hyperlink"/>
                  <w:rFonts w:asciiTheme="minorHAnsi" w:hAnsiTheme="minorHAnsi"/>
                  <w:szCs w:val="24"/>
                </w:rPr>
                <w:t>FG-</w:t>
              </w:r>
              <w:r w:rsidR="00520495">
                <w:rPr>
                  <w:rStyle w:val="Hyperlink"/>
                  <w:rFonts w:asciiTheme="minorHAnsi" w:hAnsiTheme="minorHAnsi"/>
                  <w:szCs w:val="24"/>
                </w:rPr>
                <w:t>AI4EE</w:t>
              </w:r>
              <w:r w:rsidR="003D3389" w:rsidRPr="00566916">
                <w:rPr>
                  <w:rStyle w:val="Hyperlink"/>
                  <w:rFonts w:asciiTheme="minorHAnsi" w:hAnsiTheme="minorHAnsi"/>
                  <w:szCs w:val="24"/>
                </w:rPr>
                <w:t xml:space="preserve"> </w:t>
              </w:r>
              <w:r w:rsidRPr="00566916">
                <w:rPr>
                  <w:rStyle w:val="Hyperlink"/>
                  <w:rFonts w:asciiTheme="minorHAnsi" w:hAnsiTheme="minorHAnsi"/>
                  <w:szCs w:val="24"/>
                </w:rPr>
                <w:t>homepage</w:t>
              </w:r>
            </w:hyperlink>
            <w:r w:rsidRPr="00566916">
              <w:rPr>
                <w:rFonts w:asciiTheme="minorHAnsi" w:hAnsiTheme="minorHAnsi"/>
                <w:szCs w:val="24"/>
              </w:rPr>
              <w:t>)</w:t>
            </w:r>
          </w:p>
          <w:p w14:paraId="78B81C96" w14:textId="77777777" w:rsidR="0014734E" w:rsidRPr="00566916" w:rsidRDefault="0014734E" w:rsidP="00DE1FC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rFonts w:asciiTheme="minorHAnsi" w:hAnsiTheme="minorHAnsi"/>
                <w:szCs w:val="24"/>
              </w:rPr>
            </w:pPr>
            <w:r w:rsidRPr="00566916">
              <w:rPr>
                <w:rFonts w:asciiTheme="minorHAnsi" w:hAnsiTheme="minorHAnsi"/>
                <w:szCs w:val="24"/>
              </w:rPr>
              <w:t>- Submit written contributions (by e-mail to</w:t>
            </w:r>
            <w:r w:rsidR="00FC7A0E">
              <w:rPr>
                <w:rFonts w:asciiTheme="minorHAnsi" w:hAnsiTheme="minorHAnsi"/>
                <w:szCs w:val="24"/>
              </w:rPr>
              <w:t xml:space="preserve"> </w:t>
            </w:r>
            <w:hyperlink r:id="rId19" w:history="1">
              <w:r w:rsidR="00520495" w:rsidRPr="00EE522B">
                <w:rPr>
                  <w:rStyle w:val="Hyperlink"/>
                  <w:rFonts w:asciiTheme="minorHAnsi" w:hAnsiTheme="minorHAnsi"/>
                  <w:szCs w:val="24"/>
                </w:rPr>
                <w:t>tsbfgai4ee@itu.int</w:t>
              </w:r>
            </w:hyperlink>
            <w:r w:rsidRPr="00566916">
              <w:rPr>
                <w:rFonts w:asciiTheme="minorHAnsi" w:hAnsiTheme="minorHAnsi"/>
                <w:szCs w:val="24"/>
              </w:rPr>
              <w:t xml:space="preserve">) </w:t>
            </w:r>
          </w:p>
        </w:tc>
      </w:tr>
    </w:tbl>
    <w:p w14:paraId="530D9BAC" w14:textId="77777777" w:rsidR="0014734E" w:rsidRPr="00566916" w:rsidRDefault="0014734E" w:rsidP="0014734E">
      <w:pPr>
        <w:spacing w:before="360"/>
        <w:rPr>
          <w:rFonts w:asciiTheme="minorHAnsi" w:hAnsiTheme="minorHAnsi"/>
          <w:szCs w:val="24"/>
        </w:rPr>
      </w:pPr>
      <w:r w:rsidRPr="00566916">
        <w:rPr>
          <w:rFonts w:asciiTheme="minorHAnsi" w:hAnsiTheme="minorHAnsi"/>
          <w:szCs w:val="24"/>
        </w:rPr>
        <w:t>I wish you a productive and enjoyable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5"/>
        <w:gridCol w:w="3109"/>
      </w:tblGrid>
      <w:tr w:rsidR="00417226" w:rsidRPr="00405C86" w14:paraId="63951AC0" w14:textId="77777777" w:rsidTr="00112C07">
        <w:trPr>
          <w:trHeight w:val="1955"/>
        </w:trPr>
        <w:tc>
          <w:tcPr>
            <w:tcW w:w="6663" w:type="dxa"/>
            <w:tcBorders>
              <w:right w:val="single" w:sz="4" w:space="0" w:color="auto"/>
            </w:tcBorders>
          </w:tcPr>
          <w:p w14:paraId="4C19E967" w14:textId="5966607F" w:rsidR="0014734E" w:rsidRDefault="0014734E" w:rsidP="00112C07">
            <w:pPr>
              <w:spacing w:before="240"/>
              <w:ind w:left="-105"/>
            </w:pPr>
            <w:r w:rsidRPr="00405C86">
              <w:t>Yours faithfully,</w:t>
            </w:r>
          </w:p>
          <w:p w14:paraId="62140EAD" w14:textId="12BA67AB" w:rsidR="001B485C" w:rsidRPr="00523051" w:rsidRDefault="00E075BE" w:rsidP="00145704">
            <w:pPr>
              <w:spacing w:before="0"/>
              <w:rPr>
                <w:i/>
                <w:iCs/>
              </w:rPr>
            </w:pPr>
            <w:r>
              <w:rPr>
                <w:iCs/>
              </w:rPr>
              <w:br/>
            </w:r>
            <w:r w:rsidR="00523051" w:rsidRPr="00523051">
              <w:rPr>
                <w:i/>
                <w:iCs/>
              </w:rPr>
              <w:t>(signed)</w:t>
            </w:r>
          </w:p>
          <w:p w14:paraId="36840034" w14:textId="77777777" w:rsidR="001B485C" w:rsidRPr="00405C86" w:rsidRDefault="001B485C" w:rsidP="00145704">
            <w:pPr>
              <w:spacing w:before="0"/>
            </w:pPr>
          </w:p>
          <w:p w14:paraId="0108A050" w14:textId="77777777" w:rsidR="0014734E" w:rsidRPr="001B485C" w:rsidRDefault="0014734E" w:rsidP="001B485C">
            <w:pPr>
              <w:spacing w:before="0"/>
              <w:ind w:left="-105"/>
            </w:pPr>
            <w:r w:rsidRPr="00405C86">
              <w:rPr>
                <w:szCs w:val="24"/>
              </w:rPr>
              <w:t>Chaesub Lee</w:t>
            </w:r>
            <w:bookmarkStart w:id="0" w:name="_GoBack"/>
            <w:bookmarkEnd w:id="0"/>
            <w:r w:rsidRPr="00405C86">
              <w:br/>
              <w:t>Director of the Telecommunication</w:t>
            </w:r>
            <w:r w:rsidRPr="00405C86">
              <w:br/>
              <w:t>Standardization Bureau</w:t>
            </w:r>
            <w:r w:rsidRPr="00405C86">
              <w:rPr>
                <w:b/>
                <w:bCs/>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2FAD33C" w14:textId="77777777" w:rsidR="0014734E" w:rsidRPr="00417226" w:rsidRDefault="00417226" w:rsidP="00734991">
            <w:pPr>
              <w:spacing w:before="0"/>
              <w:jc w:val="center"/>
              <w:rPr>
                <w:sz w:val="12"/>
              </w:rPr>
            </w:pPr>
            <w:r>
              <w:rPr>
                <w:noProof/>
                <w:lang w:eastAsia="en-GB"/>
              </w:rPr>
              <w:drawing>
                <wp:inline distT="0" distB="0" distL="0" distR="0" wp14:anchorId="7654CBC1" wp14:editId="2E1998FF">
                  <wp:extent cx="1263650" cy="1263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itag_QRCode_156526089161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83688" cy="1283688"/>
                          </a:xfrm>
                          <a:prstGeom prst="rect">
                            <a:avLst/>
                          </a:prstGeom>
                        </pic:spPr>
                      </pic:pic>
                    </a:graphicData>
                  </a:graphic>
                </wp:inline>
              </w:drawing>
            </w:r>
          </w:p>
          <w:p w14:paraId="2B868B27" w14:textId="77777777" w:rsidR="0014734E" w:rsidRPr="00405C86" w:rsidRDefault="0014734E" w:rsidP="00734991">
            <w:pPr>
              <w:spacing w:before="0"/>
              <w:jc w:val="center"/>
            </w:pPr>
            <w:r w:rsidRPr="00925D21">
              <w:rPr>
                <w:sz w:val="20"/>
                <w:szCs w:val="16"/>
              </w:rPr>
              <w:t>Latest meeting information</w:t>
            </w:r>
          </w:p>
        </w:tc>
      </w:tr>
    </w:tbl>
    <w:p w14:paraId="6A3031CE" w14:textId="77777777" w:rsidR="0014734E" w:rsidRPr="0014734E" w:rsidRDefault="0014734E" w:rsidP="001B485C">
      <w:pPr>
        <w:spacing w:before="240"/>
      </w:pPr>
      <w:r w:rsidRPr="00405C86">
        <w:rPr>
          <w:b/>
          <w:bCs/>
        </w:rPr>
        <w:t xml:space="preserve">Annexes: </w:t>
      </w:r>
      <w:r w:rsidR="00204DCA">
        <w:rPr>
          <w:b/>
          <w:bCs/>
        </w:rPr>
        <w:t>2</w:t>
      </w:r>
      <w:r w:rsidRPr="00405C86">
        <w:rPr>
          <w:b/>
          <w:bCs/>
        </w:rPr>
        <w:br w:type="page"/>
      </w:r>
    </w:p>
    <w:p w14:paraId="55F3A7EB" w14:textId="77777777" w:rsidR="008F0D49" w:rsidRPr="008F0D49" w:rsidRDefault="008F0D49" w:rsidP="008F0D49">
      <w:pPr>
        <w:pStyle w:val="AnnexNotitle"/>
        <w:rPr>
          <w:rFonts w:asciiTheme="minorHAnsi" w:hAnsiTheme="minorHAnsi" w:cstheme="minorHAnsi"/>
        </w:rPr>
      </w:pPr>
      <w:r w:rsidRPr="008F0D49">
        <w:rPr>
          <w:rFonts w:asciiTheme="minorHAnsi" w:hAnsiTheme="minorHAnsi" w:cstheme="minorHAnsi"/>
        </w:rPr>
        <w:lastRenderedPageBreak/>
        <w:t>A</w:t>
      </w:r>
      <w:r w:rsidR="0099638E">
        <w:rPr>
          <w:rFonts w:asciiTheme="minorHAnsi" w:hAnsiTheme="minorHAnsi" w:cstheme="minorHAnsi"/>
        </w:rPr>
        <w:t>NNEX</w:t>
      </w:r>
      <w:r w:rsidRPr="008F0D49">
        <w:rPr>
          <w:rFonts w:asciiTheme="minorHAnsi" w:hAnsiTheme="minorHAnsi" w:cstheme="minorHAnsi"/>
        </w:rPr>
        <w:t xml:space="preserve"> </w:t>
      </w:r>
      <w:r w:rsidR="0099638E">
        <w:rPr>
          <w:rFonts w:asciiTheme="minorHAnsi" w:hAnsiTheme="minorHAnsi" w:cstheme="minorHAnsi"/>
        </w:rPr>
        <w:t>1</w:t>
      </w:r>
      <w:proofErr w:type="gramStart"/>
      <w:r w:rsidRPr="008F0D49">
        <w:rPr>
          <w:rFonts w:asciiTheme="minorHAnsi" w:hAnsiTheme="minorHAnsi" w:cstheme="minorHAnsi"/>
        </w:rPr>
        <w:t>:</w:t>
      </w:r>
      <w:proofErr w:type="gramEnd"/>
      <w:r w:rsidRPr="008F0D49">
        <w:rPr>
          <w:rFonts w:asciiTheme="minorHAnsi" w:hAnsiTheme="minorHAnsi" w:cstheme="minorHAnsi"/>
        </w:rPr>
        <w:br/>
      </w:r>
      <w:r w:rsidRPr="008F0D49">
        <w:rPr>
          <w:rFonts w:asciiTheme="minorHAnsi" w:hAnsiTheme="minorHAnsi" w:cstheme="minorHAnsi"/>
        </w:rPr>
        <w:br/>
        <w:t>Terms of Reference:</w:t>
      </w:r>
      <w:r w:rsidRPr="008F0D49">
        <w:rPr>
          <w:rFonts w:asciiTheme="minorHAnsi" w:hAnsiTheme="minorHAnsi" w:cstheme="minorHAnsi"/>
        </w:rPr>
        <w:br/>
        <w:t>ITU-T Focus Group on "Environmental Efficiency for Artificial Intelligence and other Emerging Technologies" (FG-AI4EE)</w:t>
      </w:r>
    </w:p>
    <w:p w14:paraId="7F7DB46A" w14:textId="77777777" w:rsidR="008F0D49" w:rsidRPr="008F0D49" w:rsidRDefault="008F0D49" w:rsidP="008F0D49">
      <w:pPr>
        <w:jc w:val="center"/>
        <w:rPr>
          <w:rFonts w:asciiTheme="minorHAnsi" w:hAnsiTheme="minorHAnsi" w:cstheme="minorHAnsi"/>
        </w:rPr>
      </w:pPr>
      <w:r w:rsidRPr="008F0D49">
        <w:rPr>
          <w:rFonts w:asciiTheme="minorHAnsi" w:hAnsiTheme="minorHAnsi" w:cstheme="minorHAnsi"/>
        </w:rPr>
        <w:t>(Approved by ITU-T SG5 on 2019-05-22)</w:t>
      </w:r>
    </w:p>
    <w:p w14:paraId="147F42BE" w14:textId="77777777" w:rsidR="008F0D49" w:rsidRPr="008F0D49" w:rsidRDefault="008F0D49" w:rsidP="008F0D49">
      <w:pPr>
        <w:pStyle w:val="Heading2"/>
        <w:rPr>
          <w:rFonts w:asciiTheme="minorHAnsi" w:hAnsiTheme="minorHAnsi" w:cstheme="minorHAnsi"/>
          <w:szCs w:val="24"/>
        </w:rPr>
      </w:pPr>
      <w:r w:rsidRPr="008F0D49">
        <w:rPr>
          <w:rFonts w:asciiTheme="minorHAnsi" w:hAnsiTheme="minorHAnsi" w:cstheme="minorHAnsi"/>
          <w:szCs w:val="24"/>
        </w:rPr>
        <w:t>1.</w:t>
      </w:r>
      <w:r w:rsidRPr="008F0D49">
        <w:rPr>
          <w:rFonts w:asciiTheme="minorHAnsi" w:hAnsiTheme="minorHAnsi" w:cstheme="minorHAnsi"/>
          <w:szCs w:val="24"/>
        </w:rPr>
        <w:tab/>
        <w:t>Rationale and scope</w:t>
      </w:r>
    </w:p>
    <w:p w14:paraId="71302CCA" w14:textId="77777777" w:rsidR="008F0D49" w:rsidRPr="008F0D49" w:rsidRDefault="008F0D49" w:rsidP="008F0D49">
      <w:pPr>
        <w:pStyle w:val="NormalWeb"/>
        <w:rPr>
          <w:rFonts w:asciiTheme="minorHAnsi" w:hAnsiTheme="minorHAnsi" w:cstheme="minorHAnsi"/>
          <w:sz w:val="24"/>
          <w:szCs w:val="24"/>
        </w:rPr>
      </w:pPr>
      <w:r w:rsidRPr="008F0D49">
        <w:rPr>
          <w:rFonts w:asciiTheme="minorHAnsi" w:hAnsiTheme="minorHAnsi" w:cstheme="minorHAnsi"/>
          <w:sz w:val="24"/>
          <w:szCs w:val="24"/>
        </w:rPr>
        <w:t>The fourth industrial revolution fundamentally changes the way we live, work and interact with each other</w:t>
      </w:r>
      <w:r w:rsidRPr="008F0D49">
        <w:rPr>
          <w:rStyle w:val="FootnoteReference"/>
          <w:rFonts w:asciiTheme="minorHAnsi" w:eastAsiaTheme="minorHAnsi" w:hAnsiTheme="minorHAnsi" w:cstheme="minorHAnsi"/>
          <w:sz w:val="24"/>
          <w:szCs w:val="24"/>
        </w:rPr>
        <w:footnoteReference w:id="2"/>
      </w:r>
      <w:r w:rsidRPr="008F0D49">
        <w:rPr>
          <w:rFonts w:asciiTheme="minorHAnsi" w:hAnsiTheme="minorHAnsi" w:cstheme="minorHAnsi"/>
          <w:sz w:val="24"/>
          <w:szCs w:val="24"/>
        </w:rPr>
        <w:t>. It introduces a whole new range of opportunities for societal transformation, with breakthroughs in fields such as artificial intelligence, Internet of things (</w:t>
      </w:r>
      <w:proofErr w:type="spellStart"/>
      <w:r w:rsidRPr="008F0D49">
        <w:rPr>
          <w:rFonts w:asciiTheme="minorHAnsi" w:hAnsiTheme="minorHAnsi" w:cstheme="minorHAnsi"/>
          <w:sz w:val="24"/>
          <w:szCs w:val="24"/>
        </w:rPr>
        <w:t>IoT</w:t>
      </w:r>
      <w:proofErr w:type="spellEnd"/>
      <w:r w:rsidRPr="008F0D49">
        <w:rPr>
          <w:rFonts w:asciiTheme="minorHAnsi" w:hAnsiTheme="minorHAnsi" w:cstheme="minorHAnsi"/>
          <w:sz w:val="24"/>
          <w:szCs w:val="24"/>
        </w:rPr>
        <w:t xml:space="preserve">), autonomous vehicles, and </w:t>
      </w:r>
      <w:proofErr w:type="spellStart"/>
      <w:r w:rsidRPr="008F0D49">
        <w:rPr>
          <w:rFonts w:asciiTheme="minorHAnsi" w:hAnsiTheme="minorHAnsi" w:cstheme="minorHAnsi"/>
          <w:sz w:val="24"/>
          <w:szCs w:val="24"/>
        </w:rPr>
        <w:t>blockchain</w:t>
      </w:r>
      <w:proofErr w:type="spellEnd"/>
      <w:r w:rsidRPr="008F0D49">
        <w:rPr>
          <w:rFonts w:asciiTheme="minorHAnsi" w:hAnsiTheme="minorHAnsi" w:cstheme="minorHAnsi"/>
          <w:sz w:val="24"/>
          <w:szCs w:val="24"/>
        </w:rPr>
        <w:t xml:space="preserve"> that are further embedding technology into our daily lives to improve how we function as a society.</w:t>
      </w:r>
    </w:p>
    <w:p w14:paraId="6033434F" w14:textId="77777777" w:rsidR="008F0D49" w:rsidRPr="008F0D49" w:rsidRDefault="008F0D49" w:rsidP="008F0D49">
      <w:pPr>
        <w:pStyle w:val="NormalWeb"/>
        <w:rPr>
          <w:rFonts w:asciiTheme="minorHAnsi" w:hAnsiTheme="minorHAnsi" w:cstheme="minorHAnsi"/>
          <w:sz w:val="24"/>
          <w:szCs w:val="24"/>
        </w:rPr>
      </w:pPr>
      <w:r w:rsidRPr="008F0D49">
        <w:rPr>
          <w:rFonts w:asciiTheme="minorHAnsi" w:hAnsiTheme="minorHAnsi" w:cstheme="minorHAnsi"/>
          <w:sz w:val="24"/>
          <w:szCs w:val="24"/>
        </w:rPr>
        <w:t>Incorporating digital technology is essential for our society to accelerate the systemic shifts needed to create a circular economy. Utilizing technology may allow for greater knowledge sharing and collaboration, better use of assets and resources, and improved well-being for all, so we can achieve our economic, environmental and social development goals.</w:t>
      </w:r>
    </w:p>
    <w:p w14:paraId="29AA0657" w14:textId="77777777" w:rsidR="008F0D49" w:rsidRPr="008F0D49" w:rsidRDefault="008F0D49" w:rsidP="008F0D49">
      <w:pPr>
        <w:pStyle w:val="NormalWeb"/>
        <w:rPr>
          <w:rFonts w:asciiTheme="minorHAnsi" w:hAnsiTheme="minorHAnsi" w:cstheme="minorHAnsi"/>
          <w:sz w:val="24"/>
          <w:szCs w:val="24"/>
        </w:rPr>
      </w:pPr>
      <w:r w:rsidRPr="008F0D49">
        <w:rPr>
          <w:rFonts w:asciiTheme="minorHAnsi" w:hAnsiTheme="minorHAnsi" w:cstheme="minorHAnsi"/>
          <w:sz w:val="24"/>
          <w:szCs w:val="24"/>
        </w:rPr>
        <w:t xml:space="preserve">Artificial Intelligence (AI) and other emerging technologies have the ability to positively impact our society and everyday life. For example, AI is the underlying fabric that powers data-driven solutions and applications. Similarly, the immutable nature of </w:t>
      </w:r>
      <w:proofErr w:type="spellStart"/>
      <w:r w:rsidRPr="008F0D49">
        <w:rPr>
          <w:rFonts w:asciiTheme="minorHAnsi" w:hAnsiTheme="minorHAnsi" w:cstheme="minorHAnsi"/>
          <w:sz w:val="24"/>
          <w:szCs w:val="24"/>
        </w:rPr>
        <w:t>blockchain</w:t>
      </w:r>
      <w:proofErr w:type="spellEnd"/>
      <w:r w:rsidRPr="008F0D49">
        <w:rPr>
          <w:rFonts w:asciiTheme="minorHAnsi" w:hAnsiTheme="minorHAnsi" w:cstheme="minorHAnsi"/>
          <w:sz w:val="24"/>
          <w:szCs w:val="24"/>
        </w:rPr>
        <w:t xml:space="preserve"> is underpinning the development of cryptocurrency and has great potential in securing high volume of sensory devices. Other emerging technologies may include inter alia: automation, augmented reality, virtual reality, extended reality, 5G, smart manufacturing, industry 5.0</w:t>
      </w:r>
      <w:r w:rsidRPr="008F0D49">
        <w:rPr>
          <w:rStyle w:val="FootnoteReference"/>
          <w:rFonts w:asciiTheme="minorHAnsi" w:hAnsiTheme="minorHAnsi" w:cstheme="minorHAnsi"/>
          <w:sz w:val="24"/>
          <w:szCs w:val="24"/>
        </w:rPr>
        <w:footnoteReference w:id="3"/>
      </w:r>
      <w:r w:rsidRPr="008F0D49">
        <w:rPr>
          <w:rFonts w:asciiTheme="minorHAnsi" w:hAnsiTheme="minorHAnsi" w:cstheme="minorHAnsi"/>
          <w:sz w:val="24"/>
          <w:szCs w:val="24"/>
        </w:rPr>
        <w:t xml:space="preserve">, cloud/edge computing, nanotechnology, among others. </w:t>
      </w:r>
    </w:p>
    <w:p w14:paraId="7AC20CDF" w14:textId="77777777" w:rsidR="008F0D49" w:rsidRPr="008F0D49" w:rsidRDefault="008F0D49" w:rsidP="008F0D49">
      <w:pPr>
        <w:pStyle w:val="NormalWeb"/>
        <w:rPr>
          <w:rFonts w:asciiTheme="minorHAnsi" w:hAnsiTheme="minorHAnsi" w:cstheme="minorHAnsi"/>
          <w:sz w:val="24"/>
          <w:szCs w:val="24"/>
        </w:rPr>
      </w:pPr>
      <w:r w:rsidRPr="008F0D49">
        <w:rPr>
          <w:rFonts w:asciiTheme="minorHAnsi" w:hAnsiTheme="minorHAnsi" w:cstheme="minorHAnsi"/>
          <w:sz w:val="24"/>
          <w:szCs w:val="24"/>
        </w:rPr>
        <w:t>However, some emerging technologies including AI may not take sustainability into consideration during their development. These technologies often consume a huge amount of energy when operating, leaving behind significant environmental footprints. For example, the current annual electricity consumption of Bitcoin mining can be comparable to the electricity consumption of Switzerland in one year</w:t>
      </w:r>
      <w:r w:rsidRPr="008F0D49">
        <w:rPr>
          <w:rStyle w:val="FootnoteReference"/>
          <w:rFonts w:asciiTheme="minorHAnsi" w:eastAsiaTheme="minorHAnsi" w:hAnsiTheme="minorHAnsi" w:cstheme="minorHAnsi"/>
          <w:sz w:val="24"/>
          <w:szCs w:val="24"/>
        </w:rPr>
        <w:footnoteReference w:id="4"/>
      </w:r>
      <w:r w:rsidRPr="008F0D49">
        <w:rPr>
          <w:rFonts w:asciiTheme="minorHAnsi" w:hAnsiTheme="minorHAnsi" w:cstheme="minorHAnsi"/>
          <w:sz w:val="24"/>
          <w:szCs w:val="24"/>
        </w:rPr>
        <w:t>. It is important to understand how to reduce the environmental footprint of these technologies because it will contribute to the well-being of the market economy as well as improving the quality of life of citizens and the users of these technologies alike.</w:t>
      </w:r>
    </w:p>
    <w:p w14:paraId="0174BBFB" w14:textId="77777777" w:rsidR="008F0D49" w:rsidRPr="008F0D49" w:rsidRDefault="008F0D49" w:rsidP="008F0D49">
      <w:pPr>
        <w:pStyle w:val="NormalWeb"/>
        <w:rPr>
          <w:rFonts w:asciiTheme="minorHAnsi" w:hAnsiTheme="minorHAnsi" w:cstheme="minorHAnsi"/>
          <w:sz w:val="24"/>
          <w:szCs w:val="24"/>
        </w:rPr>
      </w:pPr>
      <w:r w:rsidRPr="008F0D49">
        <w:rPr>
          <w:rFonts w:asciiTheme="minorHAnsi" w:hAnsiTheme="minorHAnsi" w:cstheme="minorHAnsi"/>
          <w:sz w:val="24"/>
          <w:szCs w:val="24"/>
        </w:rPr>
        <w:t xml:space="preserve">International standards and guidance on measuring the environmental efficiency and performance of these emerging technologies remain lacking. As more and more emerging technologies are being integrated into different aspects of our society and everyday life, it is vital to develop international standards and metrics that would support the implementation of AI and other emerging technologies in a sustainable manner. </w:t>
      </w:r>
    </w:p>
    <w:p w14:paraId="765C2E20" w14:textId="77777777" w:rsidR="008F0D49" w:rsidRPr="008F0D49" w:rsidRDefault="008F0D49" w:rsidP="008F0D49">
      <w:pPr>
        <w:pStyle w:val="NormalWeb"/>
        <w:rPr>
          <w:rFonts w:asciiTheme="minorHAnsi" w:hAnsiTheme="minorHAnsi" w:cstheme="minorHAnsi"/>
          <w:sz w:val="24"/>
          <w:szCs w:val="24"/>
        </w:rPr>
      </w:pPr>
      <w:r w:rsidRPr="008F0D49">
        <w:rPr>
          <w:rFonts w:asciiTheme="minorHAnsi" w:hAnsiTheme="minorHAnsi" w:cstheme="minorHAnsi"/>
          <w:sz w:val="24"/>
          <w:szCs w:val="24"/>
        </w:rPr>
        <w:t xml:space="preserve">Therefore, the ITU-T Focus Group on “Environmental Efficiency for AI and other Emerging Technologies” (FG-AI4EE) will identify the standardization gaps related to the environmental </w:t>
      </w:r>
      <w:r w:rsidRPr="008F0D49">
        <w:rPr>
          <w:rFonts w:asciiTheme="minorHAnsi" w:hAnsiTheme="minorHAnsi" w:cstheme="minorHAnsi"/>
          <w:sz w:val="24"/>
          <w:szCs w:val="24"/>
        </w:rPr>
        <w:lastRenderedPageBreak/>
        <w:t>performance of AI and other emerging technologies including automation, augmented reality, virtual reality, extended reality, 5G, smart manufacturing, industry 5.0, cloud/edge computing, nanotechnology, among others. The focus group will develop technical reports and technical specifications to address the environmental efficiency, as well as water and energy consumption of emerging technologies. The focus group will also identify the standardization needs to develop a sustainable approach to AI and other emerging technologies. This focus group will provide guidance to stakeholders on how to operate these technologies in a more environmentally efficient manner to meet the 2030 Agenda for Sustainable Development and its 17 Sustainable Development Goals</w:t>
      </w:r>
      <w:r w:rsidRPr="008F0D49">
        <w:rPr>
          <w:rStyle w:val="FootnoteReference"/>
          <w:rFonts w:asciiTheme="minorHAnsi" w:hAnsiTheme="minorHAnsi" w:cstheme="minorHAnsi"/>
          <w:sz w:val="24"/>
          <w:szCs w:val="24"/>
        </w:rPr>
        <w:footnoteReference w:id="5"/>
      </w:r>
      <w:r w:rsidRPr="008F0D49">
        <w:rPr>
          <w:rFonts w:asciiTheme="minorHAnsi" w:hAnsiTheme="minorHAnsi" w:cstheme="minorHAnsi"/>
          <w:sz w:val="24"/>
          <w:szCs w:val="24"/>
        </w:rPr>
        <w:t xml:space="preserve">. </w:t>
      </w:r>
    </w:p>
    <w:p w14:paraId="49626654" w14:textId="77777777" w:rsidR="008F0D49" w:rsidRPr="008F0D49" w:rsidRDefault="008F0D49" w:rsidP="008F0D49">
      <w:pPr>
        <w:rPr>
          <w:rFonts w:asciiTheme="minorHAnsi" w:hAnsiTheme="minorHAnsi" w:cstheme="minorHAnsi"/>
          <w:szCs w:val="24"/>
        </w:rPr>
      </w:pPr>
      <w:r w:rsidRPr="008F0D49">
        <w:rPr>
          <w:rFonts w:asciiTheme="minorHAnsi" w:hAnsiTheme="minorHAnsi" w:cstheme="minorHAnsi"/>
          <w:szCs w:val="24"/>
        </w:rPr>
        <w:t>The ITU-T Focus Group on “Environmental Efficiency for Artificial Intelligence and other Emerging Technologies (FG-AI4EE)” will be an open platform for relevant stakeholders – such as representatives of vertical industries, regulators, policy makers, researchers, engineers, practitioners, entrepreneurs, services providers, platform providers, network operators; international organizations, industry forums and consortia – to share knowledge, best practices and lessons learned in the field.</w:t>
      </w:r>
    </w:p>
    <w:p w14:paraId="5EFC8EB0" w14:textId="77777777" w:rsidR="008F0D49" w:rsidRPr="008F0D49" w:rsidRDefault="008F0D49" w:rsidP="008F0D49">
      <w:pPr>
        <w:pStyle w:val="Heading2"/>
        <w:rPr>
          <w:rFonts w:asciiTheme="minorHAnsi" w:hAnsiTheme="minorHAnsi" w:cstheme="minorHAnsi"/>
          <w:szCs w:val="24"/>
        </w:rPr>
      </w:pPr>
      <w:r w:rsidRPr="008F0D49">
        <w:rPr>
          <w:rFonts w:asciiTheme="minorHAnsi" w:hAnsiTheme="minorHAnsi" w:cstheme="minorHAnsi"/>
          <w:szCs w:val="24"/>
        </w:rPr>
        <w:t>2.</w:t>
      </w:r>
      <w:r w:rsidRPr="008F0D49">
        <w:rPr>
          <w:rFonts w:asciiTheme="minorHAnsi" w:hAnsiTheme="minorHAnsi" w:cstheme="minorHAnsi"/>
          <w:szCs w:val="24"/>
        </w:rPr>
        <w:tab/>
      </w:r>
      <w:r w:rsidRPr="008F0D49">
        <w:rPr>
          <w:rFonts w:asciiTheme="minorHAnsi" w:hAnsiTheme="minorHAnsi" w:cstheme="minorHAnsi"/>
          <w:bCs/>
          <w:szCs w:val="24"/>
        </w:rPr>
        <w:t>Goals</w:t>
      </w:r>
      <w:r w:rsidRPr="008F0D49">
        <w:rPr>
          <w:rFonts w:asciiTheme="minorHAnsi" w:hAnsiTheme="minorHAnsi" w:cstheme="minorHAnsi"/>
          <w:szCs w:val="24"/>
        </w:rPr>
        <w:t xml:space="preserve"> and objectives of the FG-AI4EE</w:t>
      </w:r>
    </w:p>
    <w:p w14:paraId="19FADE8A" w14:textId="77777777" w:rsidR="008F0D49" w:rsidRPr="008F0D49" w:rsidRDefault="008F0D49" w:rsidP="008F0D49">
      <w:pPr>
        <w:pStyle w:val="NormalWeb"/>
        <w:rPr>
          <w:rFonts w:asciiTheme="minorHAnsi" w:hAnsiTheme="minorHAnsi" w:cstheme="minorHAnsi"/>
          <w:sz w:val="24"/>
          <w:szCs w:val="24"/>
        </w:rPr>
      </w:pPr>
      <w:r w:rsidRPr="008F0D49">
        <w:rPr>
          <w:rFonts w:asciiTheme="minorHAnsi" w:hAnsiTheme="minorHAnsi" w:cstheme="minorHAnsi"/>
          <w:bCs/>
          <w:sz w:val="24"/>
          <w:szCs w:val="24"/>
        </w:rPr>
        <w:t xml:space="preserve">The key objectives of the FG-AI4EE may include the following: </w:t>
      </w:r>
    </w:p>
    <w:p w14:paraId="48381D7D" w14:textId="77777777" w:rsidR="008F0D49" w:rsidRPr="008F0D49" w:rsidRDefault="008F0D49" w:rsidP="008F0D49">
      <w:pPr>
        <w:pStyle w:val="NormalWeb"/>
        <w:numPr>
          <w:ilvl w:val="0"/>
          <w:numId w:val="38"/>
        </w:numPr>
        <w:spacing w:beforeAutospacing="1" w:afterAutospacing="1" w:line="240" w:lineRule="auto"/>
        <w:rPr>
          <w:rFonts w:asciiTheme="minorHAnsi" w:hAnsiTheme="minorHAnsi" w:cstheme="minorHAnsi"/>
          <w:sz w:val="24"/>
          <w:szCs w:val="24"/>
        </w:rPr>
      </w:pPr>
      <w:r w:rsidRPr="008F0D49">
        <w:rPr>
          <w:rFonts w:asciiTheme="minorHAnsi" w:hAnsiTheme="minorHAnsi" w:cstheme="minorHAnsi"/>
          <w:sz w:val="24"/>
          <w:szCs w:val="24"/>
        </w:rPr>
        <w:t xml:space="preserve">To identify and </w:t>
      </w:r>
      <w:proofErr w:type="spellStart"/>
      <w:r w:rsidRPr="008F0D49">
        <w:rPr>
          <w:rFonts w:asciiTheme="minorHAnsi" w:hAnsiTheme="minorHAnsi" w:cstheme="minorHAnsi"/>
          <w:sz w:val="24"/>
          <w:szCs w:val="24"/>
        </w:rPr>
        <w:t>analyse</w:t>
      </w:r>
      <w:proofErr w:type="spellEnd"/>
      <w:r w:rsidRPr="008F0D49">
        <w:rPr>
          <w:rFonts w:asciiTheme="minorHAnsi" w:hAnsiTheme="minorHAnsi" w:cstheme="minorHAnsi"/>
          <w:sz w:val="24"/>
          <w:szCs w:val="24"/>
        </w:rPr>
        <w:t xml:space="preserve"> the environmental impacts (negative and positive impacts) of deploying and implementing AI and other emerging technologies, such as </w:t>
      </w:r>
      <w:proofErr w:type="spellStart"/>
      <w:r w:rsidRPr="008F0D49">
        <w:rPr>
          <w:rFonts w:asciiTheme="minorHAnsi" w:hAnsiTheme="minorHAnsi" w:cstheme="minorHAnsi"/>
          <w:sz w:val="24"/>
          <w:szCs w:val="24"/>
        </w:rPr>
        <w:t>blockchain</w:t>
      </w:r>
      <w:proofErr w:type="spellEnd"/>
      <w:r w:rsidRPr="008F0D49">
        <w:rPr>
          <w:rFonts w:asciiTheme="minorHAnsi" w:hAnsiTheme="minorHAnsi" w:cstheme="minorHAnsi"/>
          <w:sz w:val="24"/>
          <w:szCs w:val="24"/>
        </w:rPr>
        <w:t>.</w:t>
      </w:r>
    </w:p>
    <w:p w14:paraId="2BD01795" w14:textId="77777777" w:rsidR="008F0D49" w:rsidRPr="008F0D49" w:rsidRDefault="008F0D49" w:rsidP="008F0D49">
      <w:pPr>
        <w:pStyle w:val="NormalWeb"/>
        <w:numPr>
          <w:ilvl w:val="0"/>
          <w:numId w:val="38"/>
        </w:numPr>
        <w:spacing w:beforeAutospacing="1" w:afterAutospacing="1" w:line="240" w:lineRule="auto"/>
        <w:rPr>
          <w:rFonts w:asciiTheme="minorHAnsi" w:hAnsiTheme="minorHAnsi" w:cstheme="minorHAnsi"/>
          <w:sz w:val="24"/>
          <w:szCs w:val="24"/>
        </w:rPr>
      </w:pPr>
      <w:r w:rsidRPr="008F0D49">
        <w:rPr>
          <w:rFonts w:asciiTheme="minorHAnsi" w:hAnsiTheme="minorHAnsi" w:cstheme="minorHAnsi"/>
          <w:sz w:val="24"/>
          <w:szCs w:val="24"/>
        </w:rPr>
        <w:t>To be a platform for facilitating global dialogue and raising awareness on the environmental impacts of AI and other emerging technologies.</w:t>
      </w:r>
    </w:p>
    <w:p w14:paraId="69257A6E" w14:textId="77777777" w:rsidR="008F0D49" w:rsidRPr="008F0D49" w:rsidRDefault="008F0D49" w:rsidP="008F0D49">
      <w:pPr>
        <w:pStyle w:val="NormalWeb"/>
        <w:numPr>
          <w:ilvl w:val="0"/>
          <w:numId w:val="38"/>
        </w:numPr>
        <w:spacing w:beforeAutospacing="1" w:afterAutospacing="1" w:line="240" w:lineRule="auto"/>
        <w:rPr>
          <w:rFonts w:asciiTheme="minorHAnsi" w:hAnsiTheme="minorHAnsi" w:cstheme="minorHAnsi"/>
          <w:sz w:val="24"/>
          <w:szCs w:val="24"/>
        </w:rPr>
      </w:pPr>
      <w:r w:rsidRPr="008F0D49">
        <w:rPr>
          <w:rFonts w:asciiTheme="minorHAnsi" w:hAnsiTheme="minorHAnsi" w:cstheme="minorHAnsi"/>
          <w:sz w:val="24"/>
          <w:szCs w:val="24"/>
        </w:rPr>
        <w:t xml:space="preserve">To assist relevant stakeholders in minimizing the global environmental impacts of operating AI and other emerging technologies by developing technical reports and technical specifications as needed. </w:t>
      </w:r>
    </w:p>
    <w:p w14:paraId="5DD6BCDA" w14:textId="77777777" w:rsidR="008F0D49" w:rsidRPr="008F0D49" w:rsidRDefault="008F0D49" w:rsidP="008F0D49">
      <w:pPr>
        <w:pStyle w:val="NormalWeb"/>
        <w:numPr>
          <w:ilvl w:val="0"/>
          <w:numId w:val="38"/>
        </w:numPr>
        <w:spacing w:beforeAutospacing="1" w:afterAutospacing="1" w:line="240" w:lineRule="auto"/>
        <w:rPr>
          <w:rFonts w:asciiTheme="minorHAnsi" w:hAnsiTheme="minorHAnsi" w:cstheme="minorHAnsi"/>
          <w:sz w:val="24"/>
          <w:szCs w:val="24"/>
        </w:rPr>
      </w:pPr>
      <w:r w:rsidRPr="008F0D49">
        <w:rPr>
          <w:rFonts w:asciiTheme="minorHAnsi" w:hAnsiTheme="minorHAnsi" w:cstheme="minorHAnsi"/>
          <w:sz w:val="24"/>
          <w:szCs w:val="24"/>
        </w:rPr>
        <w:t>To develop a framework and a standardization approach to adopting AI and other emerging technologies in an environmentally sound manner.</w:t>
      </w:r>
    </w:p>
    <w:p w14:paraId="1217F0CF" w14:textId="77777777" w:rsidR="008F0D49" w:rsidRPr="008F0D49" w:rsidRDefault="008F0D49" w:rsidP="008F0D49">
      <w:pPr>
        <w:pStyle w:val="NormalWeb"/>
        <w:numPr>
          <w:ilvl w:val="0"/>
          <w:numId w:val="38"/>
        </w:numPr>
        <w:spacing w:beforeAutospacing="1" w:afterAutospacing="1" w:line="240" w:lineRule="auto"/>
        <w:rPr>
          <w:rFonts w:asciiTheme="minorHAnsi" w:hAnsiTheme="minorHAnsi" w:cstheme="minorHAnsi"/>
          <w:sz w:val="24"/>
          <w:szCs w:val="24"/>
        </w:rPr>
      </w:pPr>
      <w:r w:rsidRPr="008F0D49">
        <w:rPr>
          <w:rFonts w:asciiTheme="minorHAnsi" w:hAnsiTheme="minorHAnsi" w:cstheme="minorHAnsi"/>
          <w:sz w:val="24"/>
          <w:szCs w:val="24"/>
        </w:rPr>
        <w:t>To benchmark best practices and describe pathways that could lead to international standards, and serve as guidance for operating AI and other emerging technologies in the future.</w:t>
      </w:r>
    </w:p>
    <w:p w14:paraId="3B7DE11C" w14:textId="77777777" w:rsidR="008F0D49" w:rsidRPr="008F0D49" w:rsidRDefault="008F0D49" w:rsidP="008F0D49">
      <w:pPr>
        <w:pStyle w:val="NormalWeb"/>
        <w:numPr>
          <w:ilvl w:val="0"/>
          <w:numId w:val="38"/>
        </w:numPr>
        <w:spacing w:beforeAutospacing="1" w:afterAutospacing="1" w:line="240" w:lineRule="auto"/>
        <w:rPr>
          <w:rFonts w:asciiTheme="minorHAnsi" w:hAnsiTheme="minorHAnsi" w:cstheme="minorHAnsi"/>
          <w:sz w:val="24"/>
          <w:szCs w:val="24"/>
        </w:rPr>
      </w:pPr>
      <w:r w:rsidRPr="008F0D49">
        <w:rPr>
          <w:rFonts w:asciiTheme="minorHAnsi" w:hAnsiTheme="minorHAnsi" w:cstheme="minorHAnsi"/>
          <w:sz w:val="24"/>
          <w:szCs w:val="24"/>
        </w:rPr>
        <w:t>To collaborate with stakeholders, including policymakers, researchers, engineers, economists, developers, international and regional organizations, academia, in evaluating the sustainability of different emerging technologies. The results will describe strategic directions for future standardization efforts in tackling the environmental impacts of these technologies.</w:t>
      </w:r>
    </w:p>
    <w:p w14:paraId="6731B394" w14:textId="77777777" w:rsidR="008F0D49" w:rsidRPr="008F0D49" w:rsidRDefault="008F0D49" w:rsidP="008F0D49">
      <w:pPr>
        <w:pStyle w:val="NormalWeb"/>
        <w:numPr>
          <w:ilvl w:val="0"/>
          <w:numId w:val="38"/>
        </w:numPr>
        <w:spacing w:beforeAutospacing="1" w:afterAutospacing="1" w:line="240" w:lineRule="auto"/>
        <w:rPr>
          <w:rFonts w:asciiTheme="minorHAnsi" w:hAnsiTheme="minorHAnsi" w:cstheme="minorHAnsi"/>
          <w:sz w:val="24"/>
          <w:szCs w:val="24"/>
        </w:rPr>
      </w:pPr>
      <w:r w:rsidRPr="008F0D49">
        <w:rPr>
          <w:rFonts w:asciiTheme="minorHAnsi" w:hAnsiTheme="minorHAnsi" w:cstheme="minorHAnsi"/>
          <w:sz w:val="24"/>
          <w:szCs w:val="24"/>
        </w:rPr>
        <w:t>To write a report(s) of the FG activities on how to support the implementation of AI and other emerging technologies in a sustainable manner after the FG finished its work.</w:t>
      </w:r>
    </w:p>
    <w:p w14:paraId="78C32EBF" w14:textId="77777777" w:rsidR="008F0D49" w:rsidRPr="008F0D49" w:rsidRDefault="008F0D49" w:rsidP="008F0D49">
      <w:pPr>
        <w:pStyle w:val="Heading2"/>
        <w:rPr>
          <w:rFonts w:asciiTheme="minorHAnsi" w:hAnsiTheme="minorHAnsi" w:cstheme="minorHAnsi"/>
          <w:szCs w:val="24"/>
        </w:rPr>
      </w:pPr>
      <w:r w:rsidRPr="008F0D49">
        <w:rPr>
          <w:rFonts w:asciiTheme="minorHAnsi" w:hAnsiTheme="minorHAnsi" w:cstheme="minorHAnsi"/>
          <w:szCs w:val="24"/>
        </w:rPr>
        <w:t>3.</w:t>
      </w:r>
      <w:r w:rsidRPr="008F0D49">
        <w:rPr>
          <w:rFonts w:asciiTheme="minorHAnsi" w:hAnsiTheme="minorHAnsi" w:cstheme="minorHAnsi"/>
          <w:szCs w:val="24"/>
        </w:rPr>
        <w:tab/>
        <w:t>Structure</w:t>
      </w:r>
    </w:p>
    <w:p w14:paraId="72E54A7F" w14:textId="77777777" w:rsidR="008F0D49" w:rsidRPr="008F0D49" w:rsidRDefault="008F0D49" w:rsidP="008F0D49">
      <w:pPr>
        <w:rPr>
          <w:rFonts w:asciiTheme="minorHAnsi" w:hAnsiTheme="minorHAnsi" w:cstheme="minorHAnsi"/>
          <w:szCs w:val="24"/>
        </w:rPr>
      </w:pPr>
      <w:r w:rsidRPr="008F0D49">
        <w:rPr>
          <w:rFonts w:asciiTheme="minorHAnsi" w:hAnsiTheme="minorHAnsi" w:cstheme="minorHAnsi"/>
          <w:szCs w:val="24"/>
        </w:rPr>
        <w:t>The FG-AI4EE may establish sub-groups if needed.</w:t>
      </w:r>
    </w:p>
    <w:p w14:paraId="6167E6BE" w14:textId="77777777" w:rsidR="008F0D49" w:rsidRPr="008F0D49" w:rsidRDefault="008F0D49" w:rsidP="008F0D49">
      <w:pPr>
        <w:pStyle w:val="Heading2"/>
        <w:rPr>
          <w:rFonts w:asciiTheme="minorHAnsi" w:hAnsiTheme="minorHAnsi" w:cstheme="minorHAnsi"/>
          <w:szCs w:val="24"/>
        </w:rPr>
      </w:pPr>
      <w:r w:rsidRPr="008F0D49">
        <w:rPr>
          <w:rFonts w:asciiTheme="minorHAnsi" w:hAnsiTheme="minorHAnsi" w:cstheme="minorHAnsi"/>
          <w:szCs w:val="24"/>
        </w:rPr>
        <w:t>4.</w:t>
      </w:r>
      <w:r w:rsidRPr="008F0D49">
        <w:rPr>
          <w:rFonts w:asciiTheme="minorHAnsi" w:hAnsiTheme="minorHAnsi" w:cstheme="minorHAnsi"/>
          <w:szCs w:val="24"/>
        </w:rPr>
        <w:tab/>
        <w:t>Specific tasks and deliverables</w:t>
      </w:r>
    </w:p>
    <w:p w14:paraId="6A0BE38F" w14:textId="77777777" w:rsidR="008F0D49" w:rsidRPr="008F0D49" w:rsidRDefault="008F0D49" w:rsidP="008F0D49">
      <w:pPr>
        <w:rPr>
          <w:rFonts w:asciiTheme="minorHAnsi" w:hAnsiTheme="minorHAnsi" w:cstheme="minorHAnsi"/>
          <w:szCs w:val="24"/>
        </w:rPr>
      </w:pPr>
      <w:r w:rsidRPr="008F0D49">
        <w:rPr>
          <w:rFonts w:asciiTheme="minorHAnsi" w:hAnsiTheme="minorHAnsi" w:cstheme="minorHAnsi"/>
          <w:szCs w:val="24"/>
        </w:rPr>
        <w:t>Tasks and deliverables developed by the FG-AI4EE may include the following:</w:t>
      </w:r>
    </w:p>
    <w:p w14:paraId="6525CB4D" w14:textId="77777777" w:rsidR="008F0D49" w:rsidRPr="008F0D49" w:rsidRDefault="008F0D49" w:rsidP="008F0D49">
      <w:pPr>
        <w:pStyle w:val="NormalWeb"/>
        <w:numPr>
          <w:ilvl w:val="0"/>
          <w:numId w:val="38"/>
        </w:numPr>
        <w:spacing w:beforeAutospacing="1" w:afterAutospacing="1" w:line="240" w:lineRule="auto"/>
        <w:rPr>
          <w:rFonts w:asciiTheme="minorHAnsi" w:hAnsiTheme="minorHAnsi" w:cstheme="minorHAnsi"/>
          <w:sz w:val="24"/>
          <w:szCs w:val="24"/>
        </w:rPr>
      </w:pPr>
      <w:r w:rsidRPr="008F0D49">
        <w:rPr>
          <w:rFonts w:asciiTheme="minorHAnsi" w:hAnsiTheme="minorHAnsi" w:cstheme="minorHAnsi"/>
          <w:sz w:val="24"/>
          <w:szCs w:val="24"/>
        </w:rPr>
        <w:t>To gather information on existing initiatives and standards regarding the environmental performance of AI and other emerging technologies.</w:t>
      </w:r>
    </w:p>
    <w:p w14:paraId="75F52774" w14:textId="77777777" w:rsidR="008F0D49" w:rsidRPr="008F0D49" w:rsidRDefault="008F0D49" w:rsidP="008F0D49">
      <w:pPr>
        <w:pStyle w:val="NormalWeb"/>
        <w:numPr>
          <w:ilvl w:val="0"/>
          <w:numId w:val="38"/>
        </w:numPr>
        <w:spacing w:beforeAutospacing="1" w:afterAutospacing="1" w:line="240" w:lineRule="auto"/>
        <w:rPr>
          <w:rFonts w:asciiTheme="minorHAnsi" w:hAnsiTheme="minorHAnsi" w:cstheme="minorHAnsi"/>
          <w:sz w:val="24"/>
          <w:szCs w:val="24"/>
        </w:rPr>
      </w:pPr>
      <w:r w:rsidRPr="008F0D49">
        <w:rPr>
          <w:rFonts w:asciiTheme="minorHAnsi" w:hAnsiTheme="minorHAnsi" w:cstheme="minorHAnsi"/>
          <w:sz w:val="24"/>
          <w:szCs w:val="24"/>
        </w:rPr>
        <w:lastRenderedPageBreak/>
        <w:t>To draft technical reports and technical specifications that highlight the environmental performance of AI and other emerging technologies.</w:t>
      </w:r>
    </w:p>
    <w:p w14:paraId="58F78F37" w14:textId="77777777" w:rsidR="008F0D49" w:rsidRPr="008F0D49" w:rsidRDefault="008F0D49" w:rsidP="008F0D49">
      <w:pPr>
        <w:pStyle w:val="NormalWeb"/>
        <w:numPr>
          <w:ilvl w:val="0"/>
          <w:numId w:val="38"/>
        </w:numPr>
        <w:spacing w:beforeAutospacing="1" w:afterAutospacing="1" w:line="240" w:lineRule="auto"/>
        <w:rPr>
          <w:rFonts w:asciiTheme="minorHAnsi" w:hAnsiTheme="minorHAnsi" w:cstheme="minorHAnsi"/>
          <w:sz w:val="24"/>
          <w:szCs w:val="24"/>
        </w:rPr>
      </w:pPr>
      <w:r w:rsidRPr="008F0D49">
        <w:rPr>
          <w:rFonts w:asciiTheme="minorHAnsi" w:hAnsiTheme="minorHAnsi" w:cstheme="minorHAnsi"/>
          <w:sz w:val="24"/>
          <w:szCs w:val="24"/>
        </w:rPr>
        <w:t>To identify uses cases and best practices on implementing AI and other emerging technologies in an environmentally sound manner.</w:t>
      </w:r>
    </w:p>
    <w:p w14:paraId="2C3E1769" w14:textId="77777777" w:rsidR="008F0D49" w:rsidRPr="008F0D49" w:rsidRDefault="008F0D49" w:rsidP="008F0D49">
      <w:pPr>
        <w:pStyle w:val="NormalWeb"/>
        <w:numPr>
          <w:ilvl w:val="0"/>
          <w:numId w:val="38"/>
        </w:numPr>
        <w:spacing w:beforeAutospacing="1" w:afterAutospacing="1" w:line="240" w:lineRule="auto"/>
        <w:rPr>
          <w:rFonts w:asciiTheme="minorHAnsi" w:hAnsiTheme="minorHAnsi" w:cstheme="minorHAnsi"/>
          <w:sz w:val="24"/>
          <w:szCs w:val="24"/>
        </w:rPr>
      </w:pPr>
      <w:r w:rsidRPr="008F0D49">
        <w:rPr>
          <w:rFonts w:asciiTheme="minorHAnsi" w:hAnsiTheme="minorHAnsi" w:cstheme="minorHAnsi"/>
          <w:sz w:val="24"/>
          <w:szCs w:val="24"/>
        </w:rPr>
        <w:t>To develop strategies/toolkits that will minimize the environmental footprint of emerging technologies while maximizing energy efficiency and unlock the potential of a circular economy for stakeholders.</w:t>
      </w:r>
    </w:p>
    <w:p w14:paraId="6514D63B" w14:textId="77777777" w:rsidR="008F0D49" w:rsidRPr="008F0D49" w:rsidRDefault="008F0D49" w:rsidP="008F0D49">
      <w:pPr>
        <w:pStyle w:val="NormalWeb"/>
        <w:numPr>
          <w:ilvl w:val="0"/>
          <w:numId w:val="38"/>
        </w:numPr>
        <w:spacing w:beforeAutospacing="1" w:afterAutospacing="1" w:line="240" w:lineRule="auto"/>
        <w:rPr>
          <w:rFonts w:asciiTheme="minorHAnsi" w:hAnsiTheme="minorHAnsi" w:cstheme="minorHAnsi"/>
          <w:sz w:val="24"/>
          <w:szCs w:val="24"/>
        </w:rPr>
      </w:pPr>
      <w:r w:rsidRPr="008F0D49">
        <w:rPr>
          <w:rFonts w:asciiTheme="minorHAnsi" w:hAnsiTheme="minorHAnsi" w:cstheme="minorHAnsi"/>
          <w:sz w:val="24"/>
          <w:szCs w:val="24"/>
        </w:rPr>
        <w:t>To draft technical reports and specifications for establishing a standardized framework for assessing the environmental aspects of deploying AI and other emerging technologies (e.g. a set of key performance indicators).</w:t>
      </w:r>
    </w:p>
    <w:p w14:paraId="6B6B9363" w14:textId="77777777" w:rsidR="008F0D49" w:rsidRPr="008F0D49" w:rsidRDefault="008F0D49" w:rsidP="008F0D49">
      <w:pPr>
        <w:pStyle w:val="NormalWeb"/>
        <w:numPr>
          <w:ilvl w:val="0"/>
          <w:numId w:val="38"/>
        </w:numPr>
        <w:spacing w:beforeAutospacing="1" w:afterAutospacing="1" w:line="240" w:lineRule="auto"/>
        <w:rPr>
          <w:rFonts w:asciiTheme="minorHAnsi" w:hAnsiTheme="minorHAnsi" w:cstheme="minorHAnsi"/>
          <w:sz w:val="24"/>
          <w:szCs w:val="24"/>
        </w:rPr>
      </w:pPr>
      <w:r w:rsidRPr="008F0D49">
        <w:rPr>
          <w:rFonts w:asciiTheme="minorHAnsi" w:hAnsiTheme="minorHAnsi" w:cstheme="minorHAnsi"/>
          <w:sz w:val="24"/>
          <w:szCs w:val="24"/>
        </w:rPr>
        <w:t>To study the benefits brought by AI and other emerging technologies to achieve, inter alia, the 2030 Agenda for Sustainable Development and its 17 Sustainable Development Goals objectives, the UNFCCC Paris Agreement and the protection of biodiversity.</w:t>
      </w:r>
    </w:p>
    <w:p w14:paraId="190223C5" w14:textId="77777777" w:rsidR="008F0D49" w:rsidRPr="008F0D49" w:rsidRDefault="008F0D49" w:rsidP="008F0D49">
      <w:pPr>
        <w:pStyle w:val="NormalWeb"/>
        <w:numPr>
          <w:ilvl w:val="0"/>
          <w:numId w:val="38"/>
        </w:numPr>
        <w:spacing w:beforeAutospacing="1" w:afterAutospacing="1" w:line="240" w:lineRule="auto"/>
        <w:rPr>
          <w:rFonts w:asciiTheme="minorHAnsi" w:hAnsiTheme="minorHAnsi" w:cstheme="minorHAnsi"/>
          <w:sz w:val="24"/>
          <w:szCs w:val="24"/>
        </w:rPr>
      </w:pPr>
      <w:r w:rsidRPr="008F0D49">
        <w:rPr>
          <w:rFonts w:asciiTheme="minorHAnsi" w:hAnsiTheme="minorHAnsi" w:cstheme="minorHAnsi"/>
          <w:sz w:val="24"/>
          <w:szCs w:val="24"/>
        </w:rPr>
        <w:t xml:space="preserve">To liaise with relevant stakeholders such as the WEF and UNFCCC among others on how to improve environmental performance of AI and other emerging technologies as well as with UNECE-UN/CEFACT for semantic harmonization of data requirements. </w:t>
      </w:r>
    </w:p>
    <w:p w14:paraId="0222F823" w14:textId="77777777" w:rsidR="008F0D49" w:rsidRPr="008F0D49" w:rsidRDefault="008F0D49" w:rsidP="008F0D49">
      <w:pPr>
        <w:pStyle w:val="NormalWeb"/>
        <w:numPr>
          <w:ilvl w:val="0"/>
          <w:numId w:val="38"/>
        </w:numPr>
        <w:spacing w:beforeAutospacing="1" w:afterAutospacing="1" w:line="240" w:lineRule="auto"/>
        <w:rPr>
          <w:rFonts w:asciiTheme="minorHAnsi" w:hAnsiTheme="minorHAnsi" w:cstheme="minorHAnsi"/>
          <w:sz w:val="24"/>
          <w:szCs w:val="24"/>
        </w:rPr>
      </w:pPr>
      <w:r w:rsidRPr="008F0D49">
        <w:rPr>
          <w:rFonts w:asciiTheme="minorHAnsi" w:hAnsiTheme="minorHAnsi" w:cstheme="minorHAnsi"/>
          <w:sz w:val="24"/>
          <w:szCs w:val="24"/>
        </w:rPr>
        <w:t xml:space="preserve">To </w:t>
      </w:r>
      <w:proofErr w:type="spellStart"/>
      <w:r w:rsidRPr="008F0D49">
        <w:rPr>
          <w:rFonts w:asciiTheme="minorHAnsi" w:hAnsiTheme="minorHAnsi" w:cstheme="minorHAnsi"/>
          <w:sz w:val="24"/>
          <w:szCs w:val="24"/>
        </w:rPr>
        <w:t>organise</w:t>
      </w:r>
      <w:proofErr w:type="spellEnd"/>
      <w:r w:rsidRPr="008F0D49">
        <w:rPr>
          <w:rFonts w:asciiTheme="minorHAnsi" w:hAnsiTheme="minorHAnsi" w:cstheme="minorHAnsi"/>
          <w:sz w:val="24"/>
          <w:szCs w:val="24"/>
        </w:rPr>
        <w:t xml:space="preserve"> thematic workshops and forums on environmental efficiency for AI and other emerging technologies, in order to bring together relevant stakeholders, promote the FG activities, and encourage both ITU members and non-ITU members to participate in its work.</w:t>
      </w:r>
    </w:p>
    <w:p w14:paraId="129619B4" w14:textId="77777777" w:rsidR="008F0D49" w:rsidRPr="008F0D49" w:rsidRDefault="008F0D49" w:rsidP="008F0D49">
      <w:pPr>
        <w:pStyle w:val="NormalWeb"/>
        <w:numPr>
          <w:ilvl w:val="0"/>
          <w:numId w:val="38"/>
        </w:numPr>
        <w:spacing w:beforeAutospacing="1" w:afterAutospacing="1" w:line="240" w:lineRule="auto"/>
        <w:rPr>
          <w:rFonts w:asciiTheme="minorHAnsi" w:hAnsiTheme="minorHAnsi" w:cstheme="minorHAnsi"/>
          <w:sz w:val="24"/>
          <w:szCs w:val="24"/>
        </w:rPr>
      </w:pPr>
      <w:r w:rsidRPr="008F0D49">
        <w:rPr>
          <w:rFonts w:asciiTheme="minorHAnsi" w:hAnsiTheme="minorHAnsi" w:cstheme="minorHAnsi"/>
          <w:sz w:val="24"/>
          <w:szCs w:val="24"/>
        </w:rPr>
        <w:t>Send the final deliverables to the parent group, at least four calendar weeks before the parent group meeting.</w:t>
      </w:r>
    </w:p>
    <w:p w14:paraId="2364D0B5" w14:textId="77777777" w:rsidR="008F0D49" w:rsidRPr="008F0D49" w:rsidRDefault="008F0D49" w:rsidP="008F0D49">
      <w:pPr>
        <w:pStyle w:val="Heading2"/>
        <w:rPr>
          <w:rFonts w:asciiTheme="minorHAnsi" w:hAnsiTheme="minorHAnsi" w:cstheme="minorHAnsi"/>
          <w:szCs w:val="24"/>
        </w:rPr>
      </w:pPr>
      <w:r w:rsidRPr="008F0D49">
        <w:rPr>
          <w:rFonts w:asciiTheme="minorHAnsi" w:hAnsiTheme="minorHAnsi" w:cstheme="minorHAnsi"/>
          <w:szCs w:val="24"/>
        </w:rPr>
        <w:t>5.</w:t>
      </w:r>
      <w:r w:rsidRPr="008F0D49">
        <w:rPr>
          <w:rFonts w:asciiTheme="minorHAnsi" w:hAnsiTheme="minorHAnsi" w:cstheme="minorHAnsi"/>
          <w:szCs w:val="24"/>
        </w:rPr>
        <w:tab/>
        <w:t>Relationships</w:t>
      </w:r>
    </w:p>
    <w:p w14:paraId="6DA770B7" w14:textId="77777777" w:rsidR="008F0D49" w:rsidRPr="008F0D49" w:rsidRDefault="008F0D49" w:rsidP="008F0D49">
      <w:pPr>
        <w:rPr>
          <w:rFonts w:asciiTheme="minorHAnsi" w:hAnsiTheme="minorHAnsi" w:cstheme="minorHAnsi"/>
          <w:szCs w:val="24"/>
        </w:rPr>
      </w:pPr>
      <w:r w:rsidRPr="008F0D49">
        <w:rPr>
          <w:rFonts w:asciiTheme="minorHAnsi" w:hAnsiTheme="minorHAnsi" w:cstheme="minorHAnsi"/>
          <w:szCs w:val="24"/>
        </w:rPr>
        <w:t>This Focus Group will work closely with relevant Study Groups in ITU (-R, -T and –D) including co-located meetings when possible. It will also establish and maintain task-appropriated collaboration arrangements with other groups in ITU.</w:t>
      </w:r>
    </w:p>
    <w:p w14:paraId="4B9C08D4" w14:textId="77777777" w:rsidR="008F0D49" w:rsidRPr="008F0D49" w:rsidRDefault="008F0D49" w:rsidP="008F0D49">
      <w:pPr>
        <w:rPr>
          <w:rFonts w:asciiTheme="minorHAnsi" w:hAnsiTheme="minorHAnsi" w:cstheme="minorHAnsi"/>
          <w:szCs w:val="24"/>
        </w:rPr>
      </w:pPr>
      <w:r w:rsidRPr="008F0D49">
        <w:rPr>
          <w:rFonts w:asciiTheme="minorHAnsi" w:hAnsiTheme="minorHAnsi" w:cstheme="minorHAnsi"/>
          <w:szCs w:val="24"/>
        </w:rPr>
        <w:t>Furthermore, the FG-AI4EE will collaborate (as required) with other relevant groups and entities, in accordance with Recommendation ITU-T A.7. These include governments, non-governmental organizations (NGOs), policy makers, SDOs, industry forums and consortia, companies, academic institutions, research institutions and other relevant organizations.</w:t>
      </w:r>
    </w:p>
    <w:p w14:paraId="3C0B79AB" w14:textId="77777777" w:rsidR="008F0D49" w:rsidRPr="008F0D49" w:rsidRDefault="008F0D49" w:rsidP="008F0D49">
      <w:pPr>
        <w:pStyle w:val="Heading2"/>
        <w:rPr>
          <w:rFonts w:asciiTheme="minorHAnsi" w:hAnsiTheme="minorHAnsi" w:cstheme="minorHAnsi"/>
          <w:szCs w:val="24"/>
        </w:rPr>
      </w:pPr>
      <w:r w:rsidRPr="008F0D49">
        <w:rPr>
          <w:rFonts w:asciiTheme="minorHAnsi" w:hAnsiTheme="minorHAnsi" w:cstheme="minorHAnsi"/>
          <w:szCs w:val="24"/>
        </w:rPr>
        <w:t>6.</w:t>
      </w:r>
      <w:r w:rsidRPr="008F0D49">
        <w:rPr>
          <w:rFonts w:asciiTheme="minorHAnsi" w:hAnsiTheme="minorHAnsi" w:cstheme="minorHAnsi"/>
          <w:szCs w:val="24"/>
        </w:rPr>
        <w:tab/>
        <w:t>Parent group</w:t>
      </w:r>
    </w:p>
    <w:p w14:paraId="1F4767FE" w14:textId="77777777" w:rsidR="008F0D49" w:rsidRPr="008F0D49" w:rsidRDefault="008F0D49" w:rsidP="008F0D49">
      <w:pPr>
        <w:rPr>
          <w:rFonts w:asciiTheme="minorHAnsi" w:hAnsiTheme="minorHAnsi" w:cstheme="minorHAnsi"/>
          <w:szCs w:val="24"/>
        </w:rPr>
      </w:pPr>
      <w:r w:rsidRPr="008F0D49">
        <w:rPr>
          <w:rFonts w:asciiTheme="minorHAnsi" w:hAnsiTheme="minorHAnsi" w:cstheme="minorHAnsi"/>
          <w:szCs w:val="24"/>
        </w:rPr>
        <w:t xml:space="preserve">The parent group of the FG-AI4EE is </w:t>
      </w:r>
      <w:r w:rsidRPr="008F0D49">
        <w:rPr>
          <w:rFonts w:asciiTheme="minorHAnsi" w:hAnsiTheme="minorHAnsi" w:cstheme="minorHAnsi"/>
          <w:b/>
          <w:szCs w:val="24"/>
        </w:rPr>
        <w:t>ITU-T Study Group 5</w:t>
      </w:r>
      <w:r w:rsidRPr="008F0D49">
        <w:rPr>
          <w:rFonts w:asciiTheme="minorHAnsi" w:hAnsiTheme="minorHAnsi" w:cstheme="minorHAnsi"/>
          <w:szCs w:val="24"/>
        </w:rPr>
        <w:t xml:space="preserve"> "Environment, climate change and circular economy".</w:t>
      </w:r>
    </w:p>
    <w:p w14:paraId="116D5112" w14:textId="77777777" w:rsidR="008F0D49" w:rsidRPr="008F0D49" w:rsidRDefault="008F0D49" w:rsidP="008F0D49">
      <w:pPr>
        <w:pStyle w:val="NormalWeb"/>
        <w:rPr>
          <w:rFonts w:asciiTheme="minorHAnsi" w:hAnsiTheme="minorHAnsi" w:cstheme="minorHAnsi"/>
          <w:sz w:val="24"/>
          <w:szCs w:val="24"/>
        </w:rPr>
      </w:pPr>
      <w:r w:rsidRPr="008F0D49">
        <w:rPr>
          <w:rFonts w:asciiTheme="minorHAnsi" w:hAnsiTheme="minorHAnsi" w:cstheme="minorHAnsi"/>
          <w:sz w:val="24"/>
          <w:szCs w:val="24"/>
        </w:rPr>
        <w:t>ITU-T Study Group 5 leads ITU’s standardization work and study on topics related to environment, climate change and circular economy, including the coordination of related studies across the various ITU-T SGs.</w:t>
      </w:r>
    </w:p>
    <w:p w14:paraId="29CBD231" w14:textId="77777777" w:rsidR="008F0D49" w:rsidRPr="008F0D49" w:rsidRDefault="008F0D49" w:rsidP="008F0D49">
      <w:pPr>
        <w:pStyle w:val="Heading2"/>
        <w:rPr>
          <w:rFonts w:asciiTheme="minorHAnsi" w:hAnsiTheme="minorHAnsi" w:cstheme="minorHAnsi"/>
          <w:szCs w:val="24"/>
        </w:rPr>
      </w:pPr>
      <w:r w:rsidRPr="008F0D49">
        <w:rPr>
          <w:rFonts w:asciiTheme="minorHAnsi" w:hAnsiTheme="minorHAnsi" w:cstheme="minorHAnsi"/>
          <w:szCs w:val="24"/>
        </w:rPr>
        <w:t>7.</w:t>
      </w:r>
      <w:r w:rsidRPr="008F0D49">
        <w:rPr>
          <w:rFonts w:asciiTheme="minorHAnsi" w:hAnsiTheme="minorHAnsi" w:cstheme="minorHAnsi"/>
          <w:szCs w:val="24"/>
        </w:rPr>
        <w:tab/>
        <w:t>Leadership</w:t>
      </w:r>
    </w:p>
    <w:p w14:paraId="0B4B738D" w14:textId="77777777" w:rsidR="008F0D49" w:rsidRPr="008F0D49" w:rsidRDefault="008F0D49" w:rsidP="008F0D49">
      <w:pPr>
        <w:rPr>
          <w:rFonts w:asciiTheme="minorHAnsi" w:hAnsiTheme="minorHAnsi" w:cstheme="minorHAnsi"/>
          <w:szCs w:val="24"/>
        </w:rPr>
      </w:pPr>
      <w:r w:rsidRPr="008F0D49">
        <w:rPr>
          <w:rFonts w:asciiTheme="minorHAnsi" w:hAnsiTheme="minorHAnsi" w:cstheme="minorHAnsi"/>
          <w:szCs w:val="24"/>
        </w:rPr>
        <w:t>See clause 2.3 of Recommendation ITU-T A.7.</w:t>
      </w:r>
    </w:p>
    <w:p w14:paraId="689CA237" w14:textId="77777777" w:rsidR="008F0D49" w:rsidRPr="008F0D49" w:rsidRDefault="008F0D49" w:rsidP="008F0D49">
      <w:pPr>
        <w:pStyle w:val="Heading2"/>
        <w:rPr>
          <w:rFonts w:asciiTheme="minorHAnsi" w:hAnsiTheme="minorHAnsi" w:cstheme="minorHAnsi"/>
          <w:szCs w:val="24"/>
        </w:rPr>
      </w:pPr>
      <w:r w:rsidRPr="008F0D49">
        <w:rPr>
          <w:rFonts w:asciiTheme="minorHAnsi" w:hAnsiTheme="minorHAnsi" w:cstheme="minorHAnsi"/>
          <w:szCs w:val="24"/>
        </w:rPr>
        <w:t>8.</w:t>
      </w:r>
      <w:r w:rsidRPr="008F0D49">
        <w:rPr>
          <w:rFonts w:asciiTheme="minorHAnsi" w:hAnsiTheme="minorHAnsi" w:cstheme="minorHAnsi"/>
          <w:szCs w:val="24"/>
        </w:rPr>
        <w:tab/>
        <w:t>Participation</w:t>
      </w:r>
    </w:p>
    <w:p w14:paraId="5C080872" w14:textId="77777777" w:rsidR="008F0D49" w:rsidRPr="008F0D49" w:rsidRDefault="008F0D49" w:rsidP="008F0D49">
      <w:pPr>
        <w:rPr>
          <w:rFonts w:asciiTheme="minorHAnsi" w:hAnsiTheme="minorHAnsi" w:cstheme="minorHAnsi"/>
          <w:szCs w:val="24"/>
        </w:rPr>
      </w:pPr>
      <w:r w:rsidRPr="008F0D49">
        <w:rPr>
          <w:rFonts w:asciiTheme="minorHAnsi" w:hAnsiTheme="minorHAnsi" w:cstheme="minorHAnsi"/>
          <w:szCs w:val="24"/>
        </w:rPr>
        <w:t>See clause 3 of Recommendation ITU-T A.7. A list of participants will be maintained for reference purposes and reported to the parent group.</w:t>
      </w:r>
    </w:p>
    <w:p w14:paraId="3B38EFE8" w14:textId="37654AE1" w:rsidR="008F0D49" w:rsidRPr="008F0D49" w:rsidRDefault="008F0D49" w:rsidP="008F0D49">
      <w:pPr>
        <w:rPr>
          <w:rFonts w:asciiTheme="minorHAnsi" w:hAnsiTheme="minorHAnsi" w:cstheme="minorHAnsi"/>
          <w:szCs w:val="24"/>
        </w:rPr>
      </w:pPr>
      <w:r w:rsidRPr="008F0D49">
        <w:rPr>
          <w:rFonts w:asciiTheme="minorHAnsi" w:hAnsiTheme="minorHAnsi" w:cstheme="minorHAnsi"/>
          <w:szCs w:val="24"/>
        </w:rPr>
        <w:t>It is important to mention that the participation in this Focus Group has to be based on contrib</w:t>
      </w:r>
      <w:r w:rsidR="002104DA">
        <w:rPr>
          <w:rFonts w:asciiTheme="minorHAnsi" w:hAnsiTheme="minorHAnsi" w:cstheme="minorHAnsi"/>
          <w:szCs w:val="24"/>
        </w:rPr>
        <w:t>utions and active participation</w:t>
      </w:r>
      <w:r w:rsidRPr="008F0D49">
        <w:rPr>
          <w:rFonts w:asciiTheme="minorHAnsi" w:hAnsiTheme="minorHAnsi" w:cstheme="minorHAnsi"/>
          <w:szCs w:val="24"/>
        </w:rPr>
        <w:t>.</w:t>
      </w:r>
    </w:p>
    <w:p w14:paraId="12585FBD" w14:textId="77777777" w:rsidR="008F0D49" w:rsidRPr="008F0D49" w:rsidRDefault="008F0D49" w:rsidP="008F0D49">
      <w:pPr>
        <w:pStyle w:val="Heading2"/>
        <w:rPr>
          <w:rFonts w:asciiTheme="minorHAnsi" w:hAnsiTheme="minorHAnsi" w:cstheme="minorHAnsi"/>
          <w:szCs w:val="24"/>
        </w:rPr>
      </w:pPr>
      <w:r w:rsidRPr="008F0D49">
        <w:rPr>
          <w:rFonts w:asciiTheme="minorHAnsi" w:hAnsiTheme="minorHAnsi" w:cstheme="minorHAnsi"/>
          <w:szCs w:val="24"/>
        </w:rPr>
        <w:lastRenderedPageBreak/>
        <w:t>9.</w:t>
      </w:r>
      <w:r w:rsidRPr="008F0D49">
        <w:rPr>
          <w:rFonts w:asciiTheme="minorHAnsi" w:hAnsiTheme="minorHAnsi" w:cstheme="minorHAnsi"/>
          <w:szCs w:val="24"/>
        </w:rPr>
        <w:tab/>
        <w:t>Administrative support</w:t>
      </w:r>
    </w:p>
    <w:p w14:paraId="635DA1EF" w14:textId="77777777" w:rsidR="008F0D49" w:rsidRPr="008F0D49" w:rsidRDefault="008F0D49" w:rsidP="008F0D49">
      <w:pPr>
        <w:rPr>
          <w:rFonts w:asciiTheme="minorHAnsi" w:hAnsiTheme="minorHAnsi" w:cstheme="minorHAnsi"/>
          <w:szCs w:val="24"/>
        </w:rPr>
      </w:pPr>
      <w:r w:rsidRPr="008F0D49">
        <w:rPr>
          <w:rFonts w:asciiTheme="minorHAnsi" w:hAnsiTheme="minorHAnsi" w:cstheme="minorHAnsi"/>
          <w:szCs w:val="24"/>
        </w:rPr>
        <w:t>See clause 5 of Recommendation ITU-T A.7.</w:t>
      </w:r>
    </w:p>
    <w:p w14:paraId="1A1A4A95" w14:textId="77777777" w:rsidR="008F0D49" w:rsidRPr="008F0D49" w:rsidRDefault="008F0D49" w:rsidP="008F0D49">
      <w:pPr>
        <w:pStyle w:val="Heading2"/>
        <w:rPr>
          <w:rFonts w:asciiTheme="minorHAnsi" w:hAnsiTheme="minorHAnsi" w:cstheme="minorHAnsi"/>
          <w:szCs w:val="24"/>
        </w:rPr>
      </w:pPr>
      <w:r w:rsidRPr="008F0D49">
        <w:rPr>
          <w:rFonts w:asciiTheme="minorHAnsi" w:hAnsiTheme="minorHAnsi" w:cstheme="minorHAnsi"/>
          <w:szCs w:val="24"/>
        </w:rPr>
        <w:t>10.</w:t>
      </w:r>
      <w:r w:rsidRPr="008F0D49">
        <w:rPr>
          <w:rFonts w:asciiTheme="minorHAnsi" w:hAnsiTheme="minorHAnsi" w:cstheme="minorHAnsi"/>
          <w:szCs w:val="24"/>
        </w:rPr>
        <w:tab/>
        <w:t>General financing</w:t>
      </w:r>
    </w:p>
    <w:p w14:paraId="7DABFA29" w14:textId="77777777" w:rsidR="008F0D49" w:rsidRPr="008F0D49" w:rsidRDefault="008F0D49" w:rsidP="008F0D49">
      <w:pPr>
        <w:rPr>
          <w:rFonts w:asciiTheme="minorHAnsi" w:hAnsiTheme="minorHAnsi" w:cstheme="minorHAnsi"/>
          <w:szCs w:val="24"/>
        </w:rPr>
      </w:pPr>
      <w:r w:rsidRPr="008F0D49">
        <w:rPr>
          <w:rFonts w:asciiTheme="minorHAnsi" w:hAnsiTheme="minorHAnsi" w:cstheme="minorHAnsi"/>
          <w:szCs w:val="24"/>
        </w:rPr>
        <w:t>See clauses 4 and 10.2 of Recommendation ITU-T A.7.</w:t>
      </w:r>
    </w:p>
    <w:p w14:paraId="49A8F466" w14:textId="77777777" w:rsidR="008F0D49" w:rsidRPr="008F0D49" w:rsidRDefault="008F0D49" w:rsidP="008F0D49">
      <w:pPr>
        <w:pStyle w:val="Heading2"/>
        <w:rPr>
          <w:rFonts w:asciiTheme="minorHAnsi" w:hAnsiTheme="minorHAnsi" w:cstheme="minorHAnsi"/>
          <w:szCs w:val="24"/>
        </w:rPr>
      </w:pPr>
      <w:r w:rsidRPr="008F0D49">
        <w:rPr>
          <w:rFonts w:asciiTheme="minorHAnsi" w:hAnsiTheme="minorHAnsi" w:cstheme="minorHAnsi"/>
          <w:szCs w:val="24"/>
        </w:rPr>
        <w:t>11.</w:t>
      </w:r>
      <w:r w:rsidRPr="008F0D49">
        <w:rPr>
          <w:rFonts w:asciiTheme="minorHAnsi" w:hAnsiTheme="minorHAnsi" w:cstheme="minorHAnsi"/>
          <w:szCs w:val="24"/>
        </w:rPr>
        <w:tab/>
        <w:t>Meetings</w:t>
      </w:r>
    </w:p>
    <w:p w14:paraId="71B4D07B" w14:textId="77777777" w:rsidR="008F0D49" w:rsidRPr="008F0D49" w:rsidRDefault="008F0D49" w:rsidP="008F0D49">
      <w:pPr>
        <w:rPr>
          <w:rFonts w:asciiTheme="minorHAnsi" w:hAnsiTheme="minorHAnsi" w:cstheme="minorHAnsi"/>
          <w:szCs w:val="24"/>
        </w:rPr>
      </w:pPr>
      <w:r w:rsidRPr="008F0D49">
        <w:rPr>
          <w:rFonts w:asciiTheme="minorHAnsi" w:hAnsiTheme="minorHAnsi" w:cstheme="minorHAnsi"/>
          <w:szCs w:val="24"/>
        </w:rPr>
        <w:t>The Focus Group will conduct regular meetings. The frequency and locations of meetings will be determined by the Focus Group management. The overall meetings plan will be announced after the approval of the terms of reference.</w:t>
      </w:r>
    </w:p>
    <w:p w14:paraId="40AF004F" w14:textId="77777777" w:rsidR="008F0D49" w:rsidRPr="008F0D49" w:rsidRDefault="008F0D49" w:rsidP="008F0D49">
      <w:pPr>
        <w:rPr>
          <w:rFonts w:asciiTheme="minorHAnsi" w:hAnsiTheme="minorHAnsi" w:cstheme="minorHAnsi"/>
          <w:szCs w:val="24"/>
        </w:rPr>
      </w:pPr>
      <w:r w:rsidRPr="008F0D49">
        <w:rPr>
          <w:rFonts w:asciiTheme="minorHAnsi" w:hAnsiTheme="minorHAnsi" w:cstheme="minorHAnsi"/>
          <w:szCs w:val="24"/>
        </w:rPr>
        <w:t>The Focus Group will use remote collaboration tools to the maximum extent, and collocation with existing ITU Study Group(s) meetings is encouraged.</w:t>
      </w:r>
    </w:p>
    <w:p w14:paraId="14ABB9D5" w14:textId="77777777" w:rsidR="008F0D49" w:rsidRPr="008F0D49" w:rsidRDefault="008F0D49" w:rsidP="008F0D49">
      <w:pPr>
        <w:rPr>
          <w:rFonts w:asciiTheme="minorHAnsi" w:hAnsiTheme="minorHAnsi" w:cstheme="minorHAnsi"/>
          <w:szCs w:val="24"/>
        </w:rPr>
      </w:pPr>
      <w:r w:rsidRPr="008F0D49">
        <w:rPr>
          <w:rFonts w:asciiTheme="minorHAnsi" w:hAnsiTheme="minorHAnsi" w:cstheme="minorHAnsi"/>
          <w:szCs w:val="24"/>
        </w:rPr>
        <w:t>The meeting dates will be announced by electronic means (e.g., e-mail and website, etc.) at least four weeks in advance.</w:t>
      </w:r>
    </w:p>
    <w:p w14:paraId="1B04DFC5" w14:textId="77777777" w:rsidR="008F0D49" w:rsidRPr="008F0D49" w:rsidRDefault="008F0D49" w:rsidP="008F0D49">
      <w:pPr>
        <w:pStyle w:val="Heading2"/>
        <w:rPr>
          <w:rFonts w:asciiTheme="minorHAnsi" w:hAnsiTheme="minorHAnsi" w:cstheme="minorHAnsi"/>
          <w:szCs w:val="24"/>
        </w:rPr>
      </w:pPr>
      <w:r w:rsidRPr="008F0D49">
        <w:rPr>
          <w:rFonts w:asciiTheme="minorHAnsi" w:hAnsiTheme="minorHAnsi" w:cstheme="minorHAnsi"/>
          <w:szCs w:val="24"/>
        </w:rPr>
        <w:t>12.</w:t>
      </w:r>
      <w:r w:rsidRPr="008F0D49">
        <w:rPr>
          <w:rFonts w:asciiTheme="minorHAnsi" w:hAnsiTheme="minorHAnsi" w:cstheme="minorHAnsi"/>
          <w:szCs w:val="24"/>
        </w:rPr>
        <w:tab/>
        <w:t>Technical contributions</w:t>
      </w:r>
    </w:p>
    <w:p w14:paraId="250955AB" w14:textId="77777777" w:rsidR="008F0D49" w:rsidRPr="008F0D49" w:rsidRDefault="008F0D49" w:rsidP="008F0D49">
      <w:pPr>
        <w:rPr>
          <w:rFonts w:asciiTheme="minorHAnsi" w:hAnsiTheme="minorHAnsi" w:cstheme="minorHAnsi"/>
          <w:szCs w:val="24"/>
        </w:rPr>
      </w:pPr>
      <w:r w:rsidRPr="008F0D49">
        <w:rPr>
          <w:rFonts w:asciiTheme="minorHAnsi" w:hAnsiTheme="minorHAnsi" w:cstheme="minorHAnsi"/>
          <w:szCs w:val="24"/>
        </w:rPr>
        <w:t>See clause 8 of Recommendation ITU-T A.7.</w:t>
      </w:r>
    </w:p>
    <w:p w14:paraId="72285770" w14:textId="77777777" w:rsidR="008F0D49" w:rsidRPr="008F0D49" w:rsidRDefault="008F0D49" w:rsidP="008F0D49">
      <w:pPr>
        <w:pStyle w:val="Heading2"/>
        <w:rPr>
          <w:rFonts w:asciiTheme="minorHAnsi" w:hAnsiTheme="minorHAnsi" w:cstheme="minorHAnsi"/>
          <w:szCs w:val="24"/>
        </w:rPr>
      </w:pPr>
      <w:r w:rsidRPr="008F0D49">
        <w:rPr>
          <w:rFonts w:asciiTheme="minorHAnsi" w:hAnsiTheme="minorHAnsi" w:cstheme="minorHAnsi"/>
          <w:szCs w:val="24"/>
        </w:rPr>
        <w:t>13.</w:t>
      </w:r>
      <w:r w:rsidRPr="008F0D49">
        <w:rPr>
          <w:rFonts w:asciiTheme="minorHAnsi" w:hAnsiTheme="minorHAnsi" w:cstheme="minorHAnsi"/>
          <w:szCs w:val="24"/>
        </w:rPr>
        <w:tab/>
        <w:t>Working language</w:t>
      </w:r>
    </w:p>
    <w:p w14:paraId="10AF471F" w14:textId="77777777" w:rsidR="008F0D49" w:rsidRPr="008F0D49" w:rsidRDefault="008F0D49" w:rsidP="008F0D49">
      <w:pPr>
        <w:rPr>
          <w:rFonts w:asciiTheme="minorHAnsi" w:hAnsiTheme="minorHAnsi" w:cstheme="minorHAnsi"/>
          <w:szCs w:val="24"/>
        </w:rPr>
      </w:pPr>
      <w:r w:rsidRPr="008F0D49">
        <w:rPr>
          <w:rFonts w:asciiTheme="minorHAnsi" w:hAnsiTheme="minorHAnsi" w:cstheme="minorHAnsi"/>
          <w:szCs w:val="24"/>
        </w:rPr>
        <w:t>The working language is English.</w:t>
      </w:r>
    </w:p>
    <w:p w14:paraId="2F48253D" w14:textId="77777777" w:rsidR="008F0D49" w:rsidRPr="008F0D49" w:rsidRDefault="008F0D49" w:rsidP="008F0D49">
      <w:pPr>
        <w:pStyle w:val="Heading2"/>
        <w:rPr>
          <w:rFonts w:asciiTheme="minorHAnsi" w:hAnsiTheme="minorHAnsi" w:cstheme="minorHAnsi"/>
          <w:szCs w:val="24"/>
        </w:rPr>
      </w:pPr>
      <w:r w:rsidRPr="008F0D49">
        <w:rPr>
          <w:rFonts w:asciiTheme="minorHAnsi" w:hAnsiTheme="minorHAnsi" w:cstheme="minorHAnsi"/>
          <w:szCs w:val="24"/>
        </w:rPr>
        <w:t>14.</w:t>
      </w:r>
      <w:r w:rsidRPr="008F0D49">
        <w:rPr>
          <w:rFonts w:asciiTheme="minorHAnsi" w:hAnsiTheme="minorHAnsi" w:cstheme="minorHAnsi"/>
          <w:szCs w:val="24"/>
        </w:rPr>
        <w:tab/>
        <w:t>Approval of deliverables</w:t>
      </w:r>
    </w:p>
    <w:p w14:paraId="7DC958BE" w14:textId="77777777" w:rsidR="008F0D49" w:rsidRPr="008F0D49" w:rsidRDefault="008F0D49" w:rsidP="008F0D49">
      <w:pPr>
        <w:rPr>
          <w:rFonts w:asciiTheme="minorHAnsi" w:hAnsiTheme="minorHAnsi" w:cstheme="minorHAnsi"/>
          <w:szCs w:val="24"/>
        </w:rPr>
      </w:pPr>
      <w:r w:rsidRPr="008F0D49">
        <w:rPr>
          <w:rFonts w:asciiTheme="minorHAnsi" w:hAnsiTheme="minorHAnsi" w:cstheme="minorHAnsi"/>
          <w:szCs w:val="24"/>
        </w:rPr>
        <w:t>Approval of deliverables shall be taken by consensus.</w:t>
      </w:r>
    </w:p>
    <w:p w14:paraId="305E6B15" w14:textId="77777777" w:rsidR="008F0D49" w:rsidRPr="008F0D49" w:rsidRDefault="008F0D49" w:rsidP="008F0D49">
      <w:pPr>
        <w:pStyle w:val="Heading2"/>
        <w:rPr>
          <w:rFonts w:asciiTheme="minorHAnsi" w:hAnsiTheme="minorHAnsi" w:cstheme="minorHAnsi"/>
          <w:szCs w:val="24"/>
        </w:rPr>
      </w:pPr>
      <w:r w:rsidRPr="008F0D49">
        <w:rPr>
          <w:rFonts w:asciiTheme="minorHAnsi" w:hAnsiTheme="minorHAnsi" w:cstheme="minorHAnsi"/>
          <w:szCs w:val="24"/>
        </w:rPr>
        <w:t>15.</w:t>
      </w:r>
      <w:r w:rsidRPr="008F0D49">
        <w:rPr>
          <w:rFonts w:asciiTheme="minorHAnsi" w:hAnsiTheme="minorHAnsi" w:cstheme="minorHAnsi"/>
          <w:szCs w:val="24"/>
        </w:rPr>
        <w:tab/>
        <w:t>Working guidelines</w:t>
      </w:r>
    </w:p>
    <w:p w14:paraId="313EDA6C" w14:textId="77777777" w:rsidR="008F0D49" w:rsidRPr="008F0D49" w:rsidRDefault="008F0D49" w:rsidP="008F0D49">
      <w:pPr>
        <w:rPr>
          <w:rFonts w:asciiTheme="minorHAnsi" w:hAnsiTheme="minorHAnsi" w:cstheme="minorHAnsi"/>
          <w:szCs w:val="24"/>
        </w:rPr>
      </w:pPr>
      <w:r w:rsidRPr="008F0D49">
        <w:rPr>
          <w:rFonts w:asciiTheme="minorHAnsi" w:hAnsiTheme="minorHAnsi" w:cstheme="minorHAnsi"/>
          <w:szCs w:val="24"/>
        </w:rPr>
        <w:t>Working procedures shall follow the procedures of Rapporteur group meetings.</w:t>
      </w:r>
    </w:p>
    <w:p w14:paraId="534E3A40" w14:textId="77777777" w:rsidR="008F0D49" w:rsidRPr="008F0D49" w:rsidRDefault="008F0D49" w:rsidP="008F0D49">
      <w:pPr>
        <w:rPr>
          <w:rFonts w:asciiTheme="minorHAnsi" w:hAnsiTheme="minorHAnsi" w:cstheme="minorHAnsi"/>
          <w:szCs w:val="24"/>
        </w:rPr>
      </w:pPr>
      <w:r w:rsidRPr="008F0D49">
        <w:rPr>
          <w:rFonts w:asciiTheme="minorHAnsi" w:hAnsiTheme="minorHAnsi" w:cstheme="minorHAnsi"/>
          <w:szCs w:val="24"/>
        </w:rPr>
        <w:t>The FG will exchange draft deliverables and other outcomes on a regular basis with its parent group, to ensure efficient transfer of deliverables to streamline future standardization (see ITU-T A.7 Appendix I).</w:t>
      </w:r>
    </w:p>
    <w:p w14:paraId="7B1D7AFE" w14:textId="77777777" w:rsidR="008F0D49" w:rsidRPr="008F0D49" w:rsidRDefault="008F0D49" w:rsidP="008F0D49">
      <w:pPr>
        <w:rPr>
          <w:rFonts w:asciiTheme="minorHAnsi" w:hAnsiTheme="minorHAnsi" w:cstheme="minorHAnsi"/>
          <w:szCs w:val="24"/>
        </w:rPr>
      </w:pPr>
      <w:r w:rsidRPr="008F0D49">
        <w:rPr>
          <w:rFonts w:asciiTheme="minorHAnsi" w:hAnsiTheme="minorHAnsi" w:cstheme="minorHAnsi"/>
          <w:szCs w:val="24"/>
        </w:rPr>
        <w:t>No additional working guidelines are defined.</w:t>
      </w:r>
    </w:p>
    <w:p w14:paraId="350468FF" w14:textId="77777777" w:rsidR="008F0D49" w:rsidRPr="008F0D49" w:rsidRDefault="008F0D49" w:rsidP="008F0D49">
      <w:pPr>
        <w:pStyle w:val="Heading2"/>
        <w:rPr>
          <w:rFonts w:asciiTheme="minorHAnsi" w:hAnsiTheme="minorHAnsi" w:cstheme="minorHAnsi"/>
          <w:szCs w:val="24"/>
        </w:rPr>
      </w:pPr>
      <w:r w:rsidRPr="008F0D49">
        <w:rPr>
          <w:rFonts w:asciiTheme="minorHAnsi" w:hAnsiTheme="minorHAnsi" w:cstheme="minorHAnsi"/>
          <w:szCs w:val="24"/>
        </w:rPr>
        <w:t>16.</w:t>
      </w:r>
      <w:r w:rsidRPr="008F0D49">
        <w:rPr>
          <w:rFonts w:asciiTheme="minorHAnsi" w:hAnsiTheme="minorHAnsi" w:cstheme="minorHAnsi"/>
          <w:szCs w:val="24"/>
        </w:rPr>
        <w:tab/>
        <w:t>Progress reports</w:t>
      </w:r>
    </w:p>
    <w:p w14:paraId="053CC8E5" w14:textId="77777777" w:rsidR="008F0D49" w:rsidRPr="008F0D49" w:rsidRDefault="008F0D49" w:rsidP="008F0D49">
      <w:pPr>
        <w:rPr>
          <w:rFonts w:asciiTheme="minorHAnsi" w:hAnsiTheme="minorHAnsi" w:cstheme="minorHAnsi"/>
          <w:szCs w:val="24"/>
        </w:rPr>
      </w:pPr>
      <w:r w:rsidRPr="008F0D49">
        <w:rPr>
          <w:rFonts w:asciiTheme="minorHAnsi" w:hAnsiTheme="minorHAnsi" w:cstheme="minorHAnsi"/>
          <w:szCs w:val="24"/>
        </w:rPr>
        <w:t>See clause 11 of Recommendation ITU-T A.7.</w:t>
      </w:r>
    </w:p>
    <w:p w14:paraId="07F3ACE5" w14:textId="77777777" w:rsidR="008F0D49" w:rsidRPr="008F0D49" w:rsidRDefault="008F0D49" w:rsidP="008F0D49">
      <w:pPr>
        <w:pStyle w:val="Heading2"/>
        <w:rPr>
          <w:rFonts w:asciiTheme="minorHAnsi" w:hAnsiTheme="minorHAnsi" w:cstheme="minorHAnsi"/>
          <w:szCs w:val="24"/>
        </w:rPr>
      </w:pPr>
      <w:r w:rsidRPr="008F0D49">
        <w:rPr>
          <w:rFonts w:asciiTheme="minorHAnsi" w:hAnsiTheme="minorHAnsi" w:cstheme="minorHAnsi"/>
          <w:szCs w:val="24"/>
        </w:rPr>
        <w:t>17.</w:t>
      </w:r>
      <w:r w:rsidRPr="008F0D49">
        <w:rPr>
          <w:rFonts w:asciiTheme="minorHAnsi" w:hAnsiTheme="minorHAnsi" w:cstheme="minorHAnsi"/>
          <w:szCs w:val="24"/>
        </w:rPr>
        <w:tab/>
        <w:t>Announcement of Focus Group formation</w:t>
      </w:r>
    </w:p>
    <w:p w14:paraId="2A3C8D68" w14:textId="77777777" w:rsidR="008F0D49" w:rsidRPr="008F0D49" w:rsidRDefault="008F0D49" w:rsidP="008F0D49">
      <w:pPr>
        <w:rPr>
          <w:rFonts w:asciiTheme="minorHAnsi" w:hAnsiTheme="minorHAnsi" w:cstheme="minorHAnsi"/>
          <w:szCs w:val="24"/>
        </w:rPr>
      </w:pPr>
      <w:r w:rsidRPr="008F0D49">
        <w:rPr>
          <w:rFonts w:asciiTheme="minorHAnsi" w:hAnsiTheme="minorHAnsi" w:cstheme="minorHAnsi"/>
          <w:szCs w:val="24"/>
        </w:rPr>
        <w:t xml:space="preserve">The formation of the Focus Group will be announced via TSB Circular to all ITU membership, via the ITU-T </w:t>
      </w:r>
      <w:proofErr w:type="spellStart"/>
      <w:r w:rsidRPr="008F0D49">
        <w:rPr>
          <w:rFonts w:asciiTheme="minorHAnsi" w:hAnsiTheme="minorHAnsi" w:cstheme="minorHAnsi"/>
          <w:szCs w:val="24"/>
        </w:rPr>
        <w:t>Newslog</w:t>
      </w:r>
      <w:proofErr w:type="spellEnd"/>
      <w:r w:rsidRPr="008F0D49">
        <w:rPr>
          <w:rFonts w:asciiTheme="minorHAnsi" w:hAnsiTheme="minorHAnsi" w:cstheme="minorHAnsi"/>
          <w:szCs w:val="24"/>
        </w:rPr>
        <w:t>, press releases and other means, including communication with the other involved organizations.</w:t>
      </w:r>
    </w:p>
    <w:p w14:paraId="70099BCE" w14:textId="77777777" w:rsidR="008F0D49" w:rsidRPr="008F0D49" w:rsidRDefault="008F0D49" w:rsidP="008F0D49">
      <w:pPr>
        <w:pStyle w:val="Heading2"/>
        <w:rPr>
          <w:rFonts w:asciiTheme="minorHAnsi" w:hAnsiTheme="minorHAnsi" w:cstheme="minorHAnsi"/>
          <w:szCs w:val="24"/>
        </w:rPr>
      </w:pPr>
      <w:r w:rsidRPr="008F0D49">
        <w:rPr>
          <w:rFonts w:asciiTheme="minorHAnsi" w:hAnsiTheme="minorHAnsi" w:cstheme="minorHAnsi"/>
          <w:szCs w:val="24"/>
        </w:rPr>
        <w:t>18.</w:t>
      </w:r>
      <w:r w:rsidRPr="008F0D49">
        <w:rPr>
          <w:rFonts w:asciiTheme="minorHAnsi" w:hAnsiTheme="minorHAnsi" w:cstheme="minorHAnsi"/>
          <w:szCs w:val="24"/>
        </w:rPr>
        <w:tab/>
        <w:t>Milestones and duration of the Focus Group</w:t>
      </w:r>
    </w:p>
    <w:p w14:paraId="3BAB238D" w14:textId="77777777" w:rsidR="008F0D49" w:rsidRPr="008F0D49" w:rsidRDefault="008F0D49" w:rsidP="008F0D49">
      <w:pPr>
        <w:rPr>
          <w:rFonts w:asciiTheme="minorHAnsi" w:hAnsiTheme="minorHAnsi" w:cstheme="minorHAnsi"/>
          <w:szCs w:val="24"/>
        </w:rPr>
      </w:pPr>
      <w:r w:rsidRPr="008F0D49">
        <w:rPr>
          <w:rFonts w:asciiTheme="minorHAnsi" w:hAnsiTheme="minorHAnsi" w:cstheme="minorHAnsi"/>
          <w:szCs w:val="24"/>
        </w:rPr>
        <w:t>The Focus Group lifetime is set for two years from the first meeting but extensible if necessary by decision of the parent group (see ITU-T A7, clause 2.2).</w:t>
      </w:r>
    </w:p>
    <w:p w14:paraId="2F7F997D" w14:textId="77777777" w:rsidR="008F0D49" w:rsidRPr="008F0D49" w:rsidRDefault="008F0D49" w:rsidP="008F0D49">
      <w:pPr>
        <w:pStyle w:val="Heading2"/>
        <w:rPr>
          <w:rFonts w:asciiTheme="minorHAnsi" w:hAnsiTheme="minorHAnsi" w:cstheme="minorHAnsi"/>
          <w:szCs w:val="24"/>
        </w:rPr>
      </w:pPr>
      <w:r w:rsidRPr="008F0D49">
        <w:rPr>
          <w:rFonts w:asciiTheme="minorHAnsi" w:hAnsiTheme="minorHAnsi" w:cstheme="minorHAnsi"/>
          <w:szCs w:val="24"/>
        </w:rPr>
        <w:t>19.</w:t>
      </w:r>
      <w:r w:rsidRPr="008F0D49">
        <w:rPr>
          <w:rFonts w:asciiTheme="minorHAnsi" w:hAnsiTheme="minorHAnsi" w:cstheme="minorHAnsi"/>
          <w:szCs w:val="24"/>
        </w:rPr>
        <w:tab/>
        <w:t>Patent policy</w:t>
      </w:r>
    </w:p>
    <w:p w14:paraId="4D300BE7" w14:textId="77777777" w:rsidR="008F0D49" w:rsidRPr="008F0D49" w:rsidRDefault="008F0D49" w:rsidP="008F0D49">
      <w:pPr>
        <w:rPr>
          <w:rFonts w:asciiTheme="minorHAnsi" w:hAnsiTheme="minorHAnsi" w:cstheme="minorHAnsi"/>
          <w:szCs w:val="24"/>
        </w:rPr>
      </w:pPr>
      <w:r w:rsidRPr="008F0D49">
        <w:rPr>
          <w:rFonts w:asciiTheme="minorHAnsi" w:hAnsiTheme="minorHAnsi" w:cstheme="minorHAnsi"/>
          <w:szCs w:val="24"/>
        </w:rPr>
        <w:t>See clause 9 of Recommendation ITU-T A.7.</w:t>
      </w:r>
    </w:p>
    <w:p w14:paraId="47457F4C" w14:textId="77777777" w:rsidR="00734991" w:rsidRPr="008F0D49" w:rsidRDefault="00734991" w:rsidP="0099638E">
      <w:pPr>
        <w:pStyle w:val="Reftext"/>
        <w:tabs>
          <w:tab w:val="left" w:pos="851"/>
        </w:tabs>
        <w:ind w:left="0" w:firstLine="0"/>
        <w:rPr>
          <w:rFonts w:asciiTheme="minorHAnsi" w:hAnsiTheme="minorHAnsi" w:cstheme="minorHAnsi"/>
          <w:szCs w:val="24"/>
        </w:rPr>
      </w:pPr>
    </w:p>
    <w:p w14:paraId="50317368" w14:textId="77777777" w:rsidR="0014734E" w:rsidRPr="00405C86" w:rsidRDefault="008855A1" w:rsidP="00536565">
      <w:pPr>
        <w:pStyle w:val="AnnexNo"/>
        <w:pageBreakBefore/>
        <w:rPr>
          <w:rFonts w:ascii="Times New Roman" w:eastAsiaTheme="minorEastAsia" w:hAnsi="Times New Roman"/>
          <w:szCs w:val="24"/>
          <w:lang w:eastAsia="ja-JP"/>
        </w:rPr>
      </w:pPr>
      <w:r>
        <w:rPr>
          <w:bCs/>
          <w:szCs w:val="28"/>
        </w:rPr>
        <w:lastRenderedPageBreak/>
        <w:t>ANNEX 2</w:t>
      </w:r>
      <w:r w:rsidR="0014734E" w:rsidRPr="00405C86">
        <w:rPr>
          <w:bCs/>
          <w:szCs w:val="28"/>
        </w:rPr>
        <w:br/>
      </w:r>
      <w:r w:rsidR="0014734E" w:rsidRPr="00405C86">
        <w:br/>
        <w:t>Practical meeting information for participants</w:t>
      </w:r>
    </w:p>
    <w:p w14:paraId="14252CBC" w14:textId="77777777" w:rsidR="0014734E" w:rsidRPr="0014734E" w:rsidRDefault="0014734E" w:rsidP="0014734E">
      <w:pPr>
        <w:tabs>
          <w:tab w:val="left" w:pos="1418"/>
          <w:tab w:val="left" w:pos="1702"/>
          <w:tab w:val="left" w:pos="2160"/>
        </w:tabs>
        <w:spacing w:before="360" w:after="120"/>
        <w:ind w:right="91"/>
        <w:jc w:val="center"/>
        <w:rPr>
          <w:b/>
          <w:bCs/>
          <w:szCs w:val="24"/>
        </w:rPr>
      </w:pPr>
      <w:r w:rsidRPr="0014734E">
        <w:rPr>
          <w:b/>
          <w:bCs/>
          <w:szCs w:val="24"/>
        </w:rPr>
        <w:t>WORKING METHODS AND FACILITIES</w:t>
      </w:r>
    </w:p>
    <w:p w14:paraId="7131D480" w14:textId="19F7DDFF" w:rsidR="0014734E" w:rsidRPr="0014734E" w:rsidRDefault="0014734E" w:rsidP="0014734E">
      <w:pPr>
        <w:spacing w:after="120"/>
        <w:rPr>
          <w:rFonts w:eastAsia="SimSun"/>
          <w:b/>
          <w:bCs/>
          <w:szCs w:val="24"/>
          <w:lang w:eastAsia="zh-CN"/>
        </w:rPr>
      </w:pPr>
      <w:r w:rsidRPr="0014734E">
        <w:rPr>
          <w:rFonts w:eastAsia="SimSun"/>
          <w:b/>
          <w:bCs/>
          <w:szCs w:val="24"/>
          <w:lang w:eastAsia="zh-CN"/>
        </w:rPr>
        <w:t xml:space="preserve">DOCUMENT SUBMISSION AND ACCESS: </w:t>
      </w:r>
      <w:r w:rsidRPr="0014734E">
        <w:rPr>
          <w:rFonts w:eastAsia="SimSun"/>
          <w:szCs w:val="24"/>
          <w:lang w:eastAsia="zh-CN"/>
        </w:rPr>
        <w:t xml:space="preserve">The meeting will be run paperless. Written contributions to the </w:t>
      </w:r>
      <w:r w:rsidR="002A284F" w:rsidRPr="0014734E">
        <w:rPr>
          <w:rFonts w:eastAsia="SimSun"/>
          <w:szCs w:val="24"/>
          <w:lang w:eastAsia="zh-CN"/>
        </w:rPr>
        <w:t xml:space="preserve">focus group </w:t>
      </w:r>
      <w:r w:rsidRPr="0014734E">
        <w:rPr>
          <w:rFonts w:eastAsia="SimSun"/>
          <w:szCs w:val="24"/>
          <w:lang w:eastAsia="zh-CN"/>
        </w:rPr>
        <w:t xml:space="preserve">meeting are encouraged and should be submitted by e-mail to </w:t>
      </w:r>
      <w:hyperlink r:id="rId21" w:history="1">
        <w:r w:rsidR="0099638E" w:rsidRPr="00EE522B">
          <w:rPr>
            <w:rStyle w:val="Hyperlink"/>
            <w:rFonts w:eastAsia="SimSun"/>
            <w:szCs w:val="24"/>
            <w:lang w:eastAsia="zh-CN"/>
          </w:rPr>
          <w:t>tsbfgai4ee@itu.int</w:t>
        </w:r>
      </w:hyperlink>
      <w:r w:rsidRPr="0014734E">
        <w:rPr>
          <w:rFonts w:eastAsia="SimSun"/>
          <w:szCs w:val="24"/>
          <w:lang w:eastAsia="zh-CN"/>
        </w:rPr>
        <w:t xml:space="preserve"> by </w:t>
      </w:r>
      <w:r w:rsidR="00DE1FCF">
        <w:rPr>
          <w:rFonts w:asciiTheme="minorHAnsi" w:hAnsiTheme="minorHAnsi"/>
          <w:b/>
          <w:bCs/>
          <w:szCs w:val="24"/>
        </w:rPr>
        <w:t>2 October 2019</w:t>
      </w:r>
      <w:r w:rsidRPr="0014734E">
        <w:rPr>
          <w:rFonts w:eastAsia="SimSun"/>
          <w:b/>
          <w:bCs/>
          <w:szCs w:val="24"/>
          <w:lang w:eastAsia="zh-CN"/>
        </w:rPr>
        <w:t xml:space="preserve"> </w:t>
      </w:r>
      <w:r w:rsidRPr="0014734E">
        <w:rPr>
          <w:rFonts w:eastAsia="SimSun"/>
          <w:szCs w:val="24"/>
          <w:lang w:eastAsia="zh-CN"/>
        </w:rPr>
        <w:t xml:space="preserve">at the latest using the document </w:t>
      </w:r>
      <w:hyperlink r:id="rId22" w:history="1">
        <w:r w:rsidRPr="00F16865">
          <w:rPr>
            <w:rStyle w:val="Hyperlink"/>
            <w:rFonts w:eastAsia="SimSun"/>
            <w:szCs w:val="24"/>
            <w:lang w:eastAsia="zh-CN"/>
          </w:rPr>
          <w:t>template</w:t>
        </w:r>
      </w:hyperlink>
      <w:r w:rsidRPr="0014734E">
        <w:rPr>
          <w:rFonts w:eastAsia="SimSun"/>
          <w:szCs w:val="24"/>
          <w:lang w:eastAsia="zh-CN"/>
        </w:rPr>
        <w:t xml:space="preserve"> available on the </w:t>
      </w:r>
      <w:hyperlink r:id="rId23" w:history="1">
        <w:r w:rsidRPr="003D3389">
          <w:rPr>
            <w:rStyle w:val="Hyperlink"/>
            <w:rFonts w:eastAsia="SimSun"/>
            <w:szCs w:val="24"/>
            <w:lang w:eastAsia="zh-CN"/>
          </w:rPr>
          <w:t>FG-</w:t>
        </w:r>
        <w:r w:rsidR="00220BB3">
          <w:rPr>
            <w:rStyle w:val="Hyperlink"/>
            <w:rFonts w:eastAsia="SimSun"/>
            <w:szCs w:val="24"/>
            <w:lang w:eastAsia="zh-CN"/>
          </w:rPr>
          <w:t>AI4EE</w:t>
        </w:r>
        <w:r w:rsidR="0049400C" w:rsidRPr="003D3389">
          <w:rPr>
            <w:rStyle w:val="Hyperlink"/>
            <w:rFonts w:eastAsia="SimSun"/>
            <w:szCs w:val="24"/>
            <w:lang w:eastAsia="zh-CN"/>
          </w:rPr>
          <w:t xml:space="preserve"> </w:t>
        </w:r>
        <w:r w:rsidRPr="003D3389">
          <w:rPr>
            <w:rStyle w:val="Hyperlink"/>
            <w:rFonts w:eastAsia="SimSun"/>
            <w:szCs w:val="24"/>
            <w:lang w:eastAsia="zh-CN"/>
          </w:rPr>
          <w:t>homepage</w:t>
        </w:r>
        <w:r w:rsidRPr="00687A98">
          <w:rPr>
            <w:rStyle w:val="Hyperlink"/>
            <w:rFonts w:eastAsia="SimSun"/>
            <w:color w:val="auto"/>
            <w:szCs w:val="24"/>
            <w:u w:val="none"/>
            <w:lang w:eastAsia="zh-CN"/>
          </w:rPr>
          <w:t>.</w:t>
        </w:r>
      </w:hyperlink>
      <w:r w:rsidRPr="0014734E">
        <w:rPr>
          <w:rFonts w:eastAsia="SimSun"/>
          <w:szCs w:val="24"/>
          <w:lang w:eastAsia="zh-CN"/>
        </w:rPr>
        <w:t xml:space="preserve"> Access to all input and output documents will be provided from the</w:t>
      </w:r>
      <w:r>
        <w:rPr>
          <w:rFonts w:eastAsia="SimSun"/>
          <w:szCs w:val="24"/>
          <w:lang w:eastAsia="zh-CN"/>
        </w:rPr>
        <w:t xml:space="preserve"> </w:t>
      </w:r>
      <w:hyperlink r:id="rId24" w:history="1">
        <w:r w:rsidRPr="003D3389">
          <w:rPr>
            <w:rStyle w:val="Hyperlink"/>
            <w:rFonts w:eastAsia="SimSun"/>
            <w:szCs w:val="24"/>
            <w:lang w:eastAsia="zh-CN"/>
          </w:rPr>
          <w:t xml:space="preserve">collaboration site for </w:t>
        </w:r>
        <w:r w:rsidRPr="003D3389">
          <w:rPr>
            <w:rStyle w:val="Hyperlink"/>
            <w:rFonts w:eastAsia="SimSun"/>
            <w:lang w:eastAsia="zh-CN"/>
          </w:rPr>
          <w:t>FG</w:t>
        </w:r>
        <w:r w:rsidR="00B17479">
          <w:rPr>
            <w:rStyle w:val="Hyperlink"/>
            <w:rFonts w:eastAsia="SimSun"/>
            <w:lang w:eastAsia="zh-CN"/>
          </w:rPr>
          <w:noBreakHyphen/>
        </w:r>
        <w:r w:rsidR="008E5F11">
          <w:rPr>
            <w:rStyle w:val="Hyperlink"/>
            <w:rFonts w:eastAsia="SimSun"/>
            <w:lang w:eastAsia="zh-CN"/>
          </w:rPr>
          <w:t>AI4EE</w:t>
        </w:r>
      </w:hyperlink>
      <w:r w:rsidR="0049400C">
        <w:rPr>
          <w:rFonts w:eastAsia="SimSun"/>
          <w:lang w:eastAsia="zh-CN"/>
        </w:rPr>
        <w:t xml:space="preserve"> </w:t>
      </w:r>
      <w:r w:rsidRPr="0014734E">
        <w:rPr>
          <w:rFonts w:eastAsia="SimSun"/>
          <w:szCs w:val="24"/>
          <w:lang w:eastAsia="zh-CN"/>
        </w:rPr>
        <w:t>(</w:t>
      </w:r>
      <w:r w:rsidR="002A284F">
        <w:rPr>
          <w:rFonts w:eastAsia="SimSun"/>
          <w:szCs w:val="24"/>
          <w:lang w:eastAsia="zh-CN"/>
        </w:rPr>
        <w:t xml:space="preserve">a </w:t>
      </w:r>
      <w:r>
        <w:rPr>
          <w:rFonts w:eastAsia="SimSun"/>
          <w:szCs w:val="24"/>
          <w:lang w:eastAsia="zh-CN"/>
        </w:rPr>
        <w:t xml:space="preserve">free </w:t>
      </w:r>
      <w:hyperlink r:id="rId25" w:history="1">
        <w:r w:rsidRPr="002A284F">
          <w:rPr>
            <w:rStyle w:val="Hyperlink"/>
            <w:rFonts w:eastAsia="SimSun"/>
            <w:szCs w:val="24"/>
            <w:lang w:eastAsia="zh-CN"/>
          </w:rPr>
          <w:t xml:space="preserve">ITU </w:t>
        </w:r>
        <w:r w:rsidR="002A284F" w:rsidRPr="002A284F">
          <w:rPr>
            <w:rStyle w:val="Hyperlink"/>
            <w:rFonts w:eastAsia="SimSun"/>
            <w:szCs w:val="24"/>
            <w:lang w:eastAsia="zh-CN"/>
          </w:rPr>
          <w:t xml:space="preserve">user </w:t>
        </w:r>
        <w:r w:rsidRPr="002A284F">
          <w:rPr>
            <w:rStyle w:val="Hyperlink"/>
            <w:rFonts w:eastAsia="SimSun"/>
            <w:szCs w:val="24"/>
            <w:lang w:eastAsia="zh-CN"/>
          </w:rPr>
          <w:t>account</w:t>
        </w:r>
      </w:hyperlink>
      <w:r w:rsidRPr="0014734E">
        <w:rPr>
          <w:rFonts w:eastAsia="SimSun"/>
          <w:szCs w:val="24"/>
          <w:lang w:eastAsia="zh-CN"/>
        </w:rPr>
        <w:t xml:space="preserve"> </w:t>
      </w:r>
      <w:r w:rsidR="002A284F">
        <w:rPr>
          <w:rFonts w:eastAsia="SimSun"/>
          <w:szCs w:val="24"/>
          <w:lang w:eastAsia="zh-CN"/>
        </w:rPr>
        <w:t xml:space="preserve">is </w:t>
      </w:r>
      <w:r w:rsidRPr="0014734E">
        <w:rPr>
          <w:rFonts w:eastAsia="SimSun"/>
          <w:szCs w:val="24"/>
          <w:lang w:eastAsia="zh-CN"/>
        </w:rPr>
        <w:t>required).</w:t>
      </w:r>
    </w:p>
    <w:p w14:paraId="1FB23926" w14:textId="77777777" w:rsidR="0014734E" w:rsidRPr="0014734E" w:rsidRDefault="0014734E" w:rsidP="0014734E">
      <w:pPr>
        <w:rPr>
          <w:szCs w:val="24"/>
        </w:rPr>
      </w:pPr>
      <w:r w:rsidRPr="0014734E">
        <w:rPr>
          <w:b/>
          <w:bCs/>
          <w:szCs w:val="24"/>
        </w:rPr>
        <w:t>WIRELESS LAN</w:t>
      </w:r>
      <w:r w:rsidRPr="0014734E">
        <w:rPr>
          <w:szCs w:val="24"/>
        </w:rPr>
        <w:t xml:space="preserve"> facilities are </w:t>
      </w:r>
      <w:r w:rsidR="00E4280D">
        <w:rPr>
          <w:szCs w:val="24"/>
        </w:rPr>
        <w:t>available at the meeting venue.</w:t>
      </w:r>
    </w:p>
    <w:p w14:paraId="13472A05" w14:textId="77777777" w:rsidR="0014734E" w:rsidRPr="0014734E" w:rsidRDefault="0014734E" w:rsidP="0014734E">
      <w:pPr>
        <w:tabs>
          <w:tab w:val="clear" w:pos="794"/>
          <w:tab w:val="clear" w:pos="1191"/>
          <w:tab w:val="clear" w:pos="1588"/>
          <w:tab w:val="clear" w:pos="1985"/>
        </w:tabs>
        <w:spacing w:before="240" w:after="120"/>
        <w:ind w:right="91"/>
        <w:jc w:val="center"/>
        <w:rPr>
          <w:b/>
          <w:bCs/>
          <w:szCs w:val="24"/>
        </w:rPr>
      </w:pPr>
      <w:r w:rsidRPr="0014734E">
        <w:rPr>
          <w:b/>
          <w:bCs/>
          <w:szCs w:val="24"/>
        </w:rPr>
        <w:t>PRE-REGISTRATION</w:t>
      </w:r>
    </w:p>
    <w:p w14:paraId="2C23B2AC" w14:textId="7C4C193D" w:rsidR="0013547A" w:rsidRDefault="0014734E" w:rsidP="009B5208">
      <w:pPr>
        <w:rPr>
          <w:b/>
          <w:bCs/>
          <w:szCs w:val="24"/>
        </w:rPr>
      </w:pPr>
      <w:r w:rsidRPr="0014734E">
        <w:rPr>
          <w:b/>
          <w:bCs/>
          <w:szCs w:val="24"/>
        </w:rPr>
        <w:t xml:space="preserve">PRE-REGISTRATION: </w:t>
      </w:r>
      <w:r w:rsidRPr="0014734E">
        <w:rPr>
          <w:szCs w:val="24"/>
        </w:rPr>
        <w:t xml:space="preserve">Pre-registration for on-site or remote participation is to be done via the </w:t>
      </w:r>
      <w:r w:rsidR="002238C0">
        <w:t>FG</w:t>
      </w:r>
      <w:r w:rsidR="002238C0">
        <w:noBreakHyphen/>
      </w:r>
      <w:r w:rsidR="008E5F11">
        <w:t>AI4EE</w:t>
      </w:r>
      <w:r w:rsidR="0049400C">
        <w:t xml:space="preserve"> </w:t>
      </w:r>
      <w:r w:rsidRPr="0014734E">
        <w:t>homepage</w:t>
      </w:r>
      <w:r w:rsidRPr="0014734E">
        <w:rPr>
          <w:szCs w:val="24"/>
        </w:rPr>
        <w:t xml:space="preserve"> </w:t>
      </w:r>
      <w:r w:rsidRPr="0014734E">
        <w:rPr>
          <w:b/>
          <w:bCs/>
          <w:szCs w:val="24"/>
        </w:rPr>
        <w:t xml:space="preserve">no later than </w:t>
      </w:r>
      <w:r w:rsidR="001D608B">
        <w:rPr>
          <w:rFonts w:asciiTheme="minorHAnsi" w:hAnsiTheme="minorHAnsi"/>
          <w:b/>
          <w:bCs/>
          <w:szCs w:val="24"/>
        </w:rPr>
        <w:t>2 October 2019</w:t>
      </w:r>
      <w:r w:rsidR="0049400C">
        <w:rPr>
          <w:b/>
          <w:bCs/>
          <w:szCs w:val="24"/>
        </w:rPr>
        <w:t>.</w:t>
      </w:r>
    </w:p>
    <w:p w14:paraId="708A3471" w14:textId="77777777" w:rsidR="00204DCA" w:rsidRPr="00204DCA" w:rsidRDefault="00204DCA" w:rsidP="00204DCA">
      <w:pPr>
        <w:spacing w:before="240" w:after="120"/>
        <w:jc w:val="center"/>
        <w:rPr>
          <w:szCs w:val="24"/>
        </w:rPr>
      </w:pPr>
      <w:r w:rsidRPr="00204DCA">
        <w:rPr>
          <w:bCs/>
          <w:szCs w:val="24"/>
        </w:rPr>
        <w:t>________________</w:t>
      </w:r>
    </w:p>
    <w:sectPr w:rsidR="00204DCA" w:rsidRPr="00204DCA" w:rsidSect="0014734E">
      <w:headerReference w:type="default" r:id="rId26"/>
      <w:footerReference w:type="first" r:id="rId27"/>
      <w:pgSz w:w="11907" w:h="16834" w:code="9"/>
      <w:pgMar w:top="567" w:right="1089" w:bottom="851" w:left="1089" w:header="567" w:footer="373"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CCBF0" w14:textId="77777777" w:rsidR="003C2677" w:rsidRDefault="003C2677">
      <w:r>
        <w:separator/>
      </w:r>
    </w:p>
  </w:endnote>
  <w:endnote w:type="continuationSeparator" w:id="0">
    <w:p w14:paraId="2279EC01" w14:textId="77777777" w:rsidR="003C2677" w:rsidRDefault="003C2677">
      <w:r>
        <w:continuationSeparator/>
      </w:r>
    </w:p>
  </w:endnote>
  <w:endnote w:type="continuationNotice" w:id="1">
    <w:p w14:paraId="7FF2EB8D" w14:textId="77777777" w:rsidR="003C2677" w:rsidRDefault="003C26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3A5A4" w14:textId="77777777" w:rsidR="008F0D49" w:rsidRPr="00F55F0D" w:rsidRDefault="008F0D49" w:rsidP="00965DD5">
    <w:pPr>
      <w:pStyle w:val="Footer"/>
      <w:jc w:val="center"/>
    </w:pPr>
    <w:r w:rsidRPr="00965DD5">
      <w:rPr>
        <w:caps w:val="0"/>
        <w:sz w:val="18"/>
        <w:szCs w:val="18"/>
        <w:lang w:val="fr-CH"/>
      </w:rPr>
      <w:t>International Telecommunication Union • Place des Nations • CH</w:t>
    </w:r>
    <w:r w:rsidRPr="00965DD5">
      <w:rPr>
        <w:caps w:val="0"/>
        <w:sz w:val="18"/>
        <w:szCs w:val="18"/>
        <w:lang w:val="fr-CH"/>
      </w:rPr>
      <w:noBreakHyphen/>
      <w:t xml:space="preserve">1211 Geneva 20 • Switzerland </w:t>
    </w:r>
    <w:r w:rsidRPr="00965DD5">
      <w:rPr>
        <w:sz w:val="18"/>
        <w:szCs w:val="18"/>
        <w:lang w:val="fr-CH"/>
      </w:rPr>
      <w:br/>
    </w:r>
    <w:r w:rsidRPr="00965DD5">
      <w:rPr>
        <w:caps w:val="0"/>
        <w:sz w:val="18"/>
        <w:szCs w:val="18"/>
        <w:lang w:val="fr-CH"/>
      </w:rPr>
      <w:t xml:space="preserve">Tel: +41 22 730 5111 • Fax: +41 22 733 7256 • E-mail: </w:t>
    </w:r>
    <w:hyperlink r:id="rId1" w:history="1">
      <w:r w:rsidRPr="00965DD5">
        <w:rPr>
          <w:rStyle w:val="Hyperlink"/>
          <w:caps w:val="0"/>
          <w:sz w:val="18"/>
          <w:szCs w:val="18"/>
          <w:lang w:val="fr-CH"/>
        </w:rPr>
        <w:t>itumail@itu.int</w:t>
      </w:r>
    </w:hyperlink>
    <w:r w:rsidRPr="00965DD5">
      <w:rPr>
        <w:sz w:val="18"/>
        <w:szCs w:val="18"/>
        <w:lang w:val="fr-CH"/>
      </w:rPr>
      <w:t xml:space="preserve"> • </w:t>
    </w:r>
    <w:hyperlink r:id="rId2" w:history="1">
      <w:r w:rsidRPr="00965DD5">
        <w:rPr>
          <w:rStyle w:val="Hyperlink"/>
          <w:caps w:val="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820F1" w14:textId="77777777" w:rsidR="003C2677" w:rsidRDefault="003C2677">
      <w:r>
        <w:t>____________________</w:t>
      </w:r>
    </w:p>
  </w:footnote>
  <w:footnote w:type="continuationSeparator" w:id="0">
    <w:p w14:paraId="698849B3" w14:textId="77777777" w:rsidR="003C2677" w:rsidRDefault="003C2677">
      <w:r>
        <w:continuationSeparator/>
      </w:r>
    </w:p>
  </w:footnote>
  <w:footnote w:type="continuationNotice" w:id="1">
    <w:p w14:paraId="52BA219F" w14:textId="77777777" w:rsidR="003C2677" w:rsidRDefault="003C2677">
      <w:pPr>
        <w:spacing w:before="0"/>
      </w:pPr>
    </w:p>
  </w:footnote>
  <w:footnote w:id="2">
    <w:p w14:paraId="0CFD0C4A" w14:textId="77777777" w:rsidR="008F0D49" w:rsidRPr="009A2472" w:rsidRDefault="008F0D49" w:rsidP="008F0D49">
      <w:pPr>
        <w:pStyle w:val="FootnoteText"/>
        <w:spacing w:before="0"/>
        <w:rPr>
          <w:sz w:val="20"/>
        </w:rPr>
      </w:pPr>
      <w:r w:rsidRPr="009A2472">
        <w:rPr>
          <w:rStyle w:val="FootnoteReference"/>
          <w:sz w:val="20"/>
        </w:rPr>
        <w:footnoteRef/>
      </w:r>
      <w:r w:rsidRPr="009A2472">
        <w:rPr>
          <w:sz w:val="20"/>
        </w:rPr>
        <w:t xml:space="preserve"> </w:t>
      </w:r>
      <w:hyperlink r:id="rId1" w:anchor=".W5i4EiQzbIU" w:history="1">
        <w:r w:rsidRPr="009A2472">
          <w:rPr>
            <w:rStyle w:val="Hyperlink"/>
            <w:sz w:val="20"/>
          </w:rPr>
          <w:t>https://www.circle-economy.com/the-fourth-industrial-revolution-and-the-circular-economy/#.W5i4EiQzbIU</w:t>
        </w:r>
      </w:hyperlink>
      <w:r w:rsidRPr="009A2472">
        <w:rPr>
          <w:sz w:val="20"/>
        </w:rPr>
        <w:t xml:space="preserve"> </w:t>
      </w:r>
    </w:p>
  </w:footnote>
  <w:footnote w:id="3">
    <w:p w14:paraId="62CD2442" w14:textId="77777777" w:rsidR="008F0D49" w:rsidRPr="009A2472" w:rsidRDefault="008F0D49" w:rsidP="008F0D49">
      <w:pPr>
        <w:pStyle w:val="FootnoteText"/>
        <w:spacing w:before="0"/>
        <w:rPr>
          <w:sz w:val="20"/>
        </w:rPr>
      </w:pPr>
      <w:r w:rsidRPr="009A2472">
        <w:rPr>
          <w:rStyle w:val="FootnoteReference"/>
          <w:sz w:val="20"/>
        </w:rPr>
        <w:footnoteRef/>
      </w:r>
      <w:r w:rsidRPr="009A2472">
        <w:rPr>
          <w:sz w:val="20"/>
        </w:rPr>
        <w:t xml:space="preserve"> Industry 5.0 is focused on combining human beings' creativity and craftsmanship with the speed, productivity and consistency of robots. Industry 5.0 means to better appreciate the cooperation between robotics and human beings by combining their diverging strengths, in order to create a more inclusive and human-centred future.</w:t>
      </w:r>
    </w:p>
  </w:footnote>
  <w:footnote w:id="4">
    <w:p w14:paraId="72F4ECB6" w14:textId="577D1377" w:rsidR="008F0D49" w:rsidRPr="009A2472" w:rsidRDefault="008F0D49" w:rsidP="008F0D49">
      <w:pPr>
        <w:pStyle w:val="FootnoteText"/>
        <w:spacing w:before="0"/>
        <w:rPr>
          <w:sz w:val="20"/>
        </w:rPr>
      </w:pPr>
      <w:r w:rsidRPr="009A2472">
        <w:rPr>
          <w:rStyle w:val="FootnoteReference"/>
          <w:sz w:val="20"/>
        </w:rPr>
        <w:footnoteRef/>
      </w:r>
      <w:r w:rsidRPr="009A2472">
        <w:rPr>
          <w:sz w:val="20"/>
        </w:rPr>
        <w:t xml:space="preserve"> </w:t>
      </w:r>
      <w:hyperlink r:id="rId2" w:anchor="69152d711bc8" w:history="1">
        <w:r w:rsidR="002104DA" w:rsidRPr="00A711E7">
          <w:rPr>
            <w:rStyle w:val="Hyperlink"/>
            <w:sz w:val="20"/>
          </w:rPr>
          <w:t>https://www.forbes.com/sites/shermanlee/2018/04/19/bitcoins-energy-consumption-can-power-an-entire-country-but-eos-is-trying-to-fix-that/#69152d711bc8</w:t>
        </w:r>
      </w:hyperlink>
      <w:r w:rsidR="002104DA">
        <w:rPr>
          <w:sz w:val="20"/>
        </w:rPr>
        <w:t xml:space="preserve"> </w:t>
      </w:r>
    </w:p>
  </w:footnote>
  <w:footnote w:id="5">
    <w:p w14:paraId="392A022C" w14:textId="77777777" w:rsidR="008F0D49" w:rsidRPr="009A2472" w:rsidRDefault="008F0D49" w:rsidP="008F0D49">
      <w:pPr>
        <w:pStyle w:val="FootnoteText"/>
        <w:spacing w:before="0"/>
        <w:rPr>
          <w:sz w:val="20"/>
        </w:rPr>
      </w:pPr>
      <w:r w:rsidRPr="009A2472">
        <w:rPr>
          <w:sz w:val="20"/>
        </w:rPr>
        <w:footnoteRef/>
      </w:r>
      <w:r w:rsidRPr="009A2472">
        <w:rPr>
          <w:sz w:val="20"/>
        </w:rPr>
        <w:t xml:space="preserve"> https://www.un.org/sustainabledevelopment/development-agenda/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0F5F" w14:textId="6F816284" w:rsidR="008F0D49" w:rsidRPr="00DC2C1E" w:rsidRDefault="00523051" w:rsidP="0014734E">
    <w:pPr>
      <w:tabs>
        <w:tab w:val="center" w:pos="4864"/>
        <w:tab w:val="left" w:pos="6825"/>
      </w:tabs>
      <w:spacing w:before="0"/>
      <w:jc w:val="center"/>
      <w:rPr>
        <w:noProof/>
        <w:sz w:val="18"/>
      </w:rPr>
    </w:pPr>
    <w:sdt>
      <w:sdtPr>
        <w:rPr>
          <w:sz w:val="18"/>
        </w:rPr>
        <w:id w:val="-1968567707"/>
        <w:docPartObj>
          <w:docPartGallery w:val="Page Numbers (Top of Page)"/>
          <w:docPartUnique/>
        </w:docPartObj>
      </w:sdtPr>
      <w:sdtEndPr>
        <w:rPr>
          <w:noProof/>
        </w:rPr>
      </w:sdtEndPr>
      <w:sdtContent>
        <w:r w:rsidR="008F0D49">
          <w:rPr>
            <w:sz w:val="18"/>
          </w:rPr>
          <w:t xml:space="preserve">- </w:t>
        </w:r>
        <w:r w:rsidR="008F0D49" w:rsidRPr="00DC2C1E">
          <w:rPr>
            <w:sz w:val="18"/>
          </w:rPr>
          <w:fldChar w:fldCharType="begin"/>
        </w:r>
        <w:r w:rsidR="008F0D49" w:rsidRPr="00DC2C1E">
          <w:rPr>
            <w:sz w:val="18"/>
          </w:rPr>
          <w:instrText xml:space="preserve"> PAGE   \* MERGEFORMAT </w:instrText>
        </w:r>
        <w:r w:rsidR="008F0D49" w:rsidRPr="00DC2C1E">
          <w:rPr>
            <w:sz w:val="18"/>
          </w:rPr>
          <w:fldChar w:fldCharType="separate"/>
        </w:r>
        <w:r>
          <w:rPr>
            <w:noProof/>
            <w:sz w:val="18"/>
          </w:rPr>
          <w:t>8</w:t>
        </w:r>
        <w:r w:rsidR="008F0D49" w:rsidRPr="00DC2C1E">
          <w:rPr>
            <w:noProof/>
            <w:sz w:val="18"/>
          </w:rPr>
          <w:fldChar w:fldCharType="end"/>
        </w:r>
      </w:sdtContent>
    </w:sdt>
    <w:r w:rsidR="008F0D49">
      <w:rPr>
        <w:noProof/>
        <w:sz w:val="18"/>
      </w:rPr>
      <w:t xml:space="preserve"> </w:t>
    </w:r>
    <w:r w:rsidR="008F0D49">
      <w:rPr>
        <w:sz w:val="18"/>
      </w:rPr>
      <w:t>-</w:t>
    </w:r>
  </w:p>
  <w:p w14:paraId="44299231" w14:textId="626C46D2" w:rsidR="008F0D49" w:rsidRDefault="008F0D49" w:rsidP="004D3F42">
    <w:pPr>
      <w:spacing w:before="0" w:after="240"/>
      <w:jc w:val="center"/>
    </w:pPr>
    <w:r>
      <w:rPr>
        <w:noProof/>
        <w:sz w:val="18"/>
      </w:rPr>
      <w:t xml:space="preserve">TSB </w:t>
    </w:r>
    <w:r w:rsidRPr="00DC2C1E">
      <w:rPr>
        <w:noProof/>
        <w:sz w:val="18"/>
      </w:rPr>
      <w:t>C</w:t>
    </w:r>
    <w:r>
      <w:rPr>
        <w:noProof/>
        <w:sz w:val="18"/>
      </w:rPr>
      <w:t xml:space="preserve">ircular </w:t>
    </w:r>
    <w:r w:rsidR="00AC2C6A">
      <w:rPr>
        <w:noProof/>
        <w:sz w:val="18"/>
      </w:rPr>
      <w:t>191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40F2F"/>
    <w:multiLevelType w:val="hybridMultilevel"/>
    <w:tmpl w:val="4CC45E80"/>
    <w:lvl w:ilvl="0" w:tplc="1F0C7FA4">
      <w:start w:val="1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53209"/>
    <w:multiLevelType w:val="hybridMultilevel"/>
    <w:tmpl w:val="6430EF8E"/>
    <w:lvl w:ilvl="0" w:tplc="5FACE66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831635E"/>
    <w:multiLevelType w:val="hybridMultilevel"/>
    <w:tmpl w:val="8FAC3DC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822FC"/>
    <w:multiLevelType w:val="hybridMultilevel"/>
    <w:tmpl w:val="B0263F7A"/>
    <w:lvl w:ilvl="0" w:tplc="04090003">
      <w:start w:val="1"/>
      <w:numFmt w:val="bullet"/>
      <w:lvlText w:val="o"/>
      <w:lvlJc w:val="left"/>
      <w:pPr>
        <w:ind w:left="1212" w:hanging="852"/>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84459D"/>
    <w:multiLevelType w:val="hybridMultilevel"/>
    <w:tmpl w:val="7A0A3C44"/>
    <w:lvl w:ilvl="0" w:tplc="52A4CC3A">
      <w:start w:val="1"/>
      <w:numFmt w:val="decimal"/>
      <w:lvlText w:val="%1."/>
      <w:lvlJc w:val="left"/>
      <w:pPr>
        <w:ind w:left="1154" w:hanging="7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D02D83"/>
    <w:multiLevelType w:val="hybridMultilevel"/>
    <w:tmpl w:val="4A98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12782C"/>
    <w:multiLevelType w:val="hybridMultilevel"/>
    <w:tmpl w:val="E604C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387880"/>
    <w:multiLevelType w:val="hybridMultilevel"/>
    <w:tmpl w:val="7E785540"/>
    <w:lvl w:ilvl="0" w:tplc="68587316">
      <w:start w:val="17"/>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0304693"/>
    <w:multiLevelType w:val="hybridMultilevel"/>
    <w:tmpl w:val="6512C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2004208"/>
    <w:multiLevelType w:val="hybridMultilevel"/>
    <w:tmpl w:val="D0CCC13A"/>
    <w:lvl w:ilvl="0" w:tplc="1ADCC254">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727792"/>
    <w:multiLevelType w:val="hybridMultilevel"/>
    <w:tmpl w:val="40264262"/>
    <w:lvl w:ilvl="0" w:tplc="099AD282">
      <w:start w:val="1"/>
      <w:numFmt w:val="decimal"/>
      <w:lvlText w:val="%1."/>
      <w:lvlJc w:val="left"/>
      <w:pPr>
        <w:ind w:left="1212" w:hanging="8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0C287F"/>
    <w:multiLevelType w:val="multilevel"/>
    <w:tmpl w:val="7E6C54A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24964C82"/>
    <w:multiLevelType w:val="hybridMultilevel"/>
    <w:tmpl w:val="A50A1260"/>
    <w:lvl w:ilvl="0" w:tplc="0409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58217A5"/>
    <w:multiLevelType w:val="hybridMultilevel"/>
    <w:tmpl w:val="C7521C6A"/>
    <w:lvl w:ilvl="0" w:tplc="5F8A8708">
      <w:numFmt w:val="bullet"/>
      <w:lvlText w:val=""/>
      <w:lvlJc w:val="left"/>
      <w:pPr>
        <w:ind w:left="1155" w:hanging="795"/>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1B40C3"/>
    <w:multiLevelType w:val="hybridMultilevel"/>
    <w:tmpl w:val="53F676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6BE5191"/>
    <w:multiLevelType w:val="hybridMultilevel"/>
    <w:tmpl w:val="F66AF126"/>
    <w:lvl w:ilvl="0" w:tplc="3C42418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7" w15:restartNumberingAfterBreak="0">
    <w:nsid w:val="36C6160A"/>
    <w:multiLevelType w:val="hybridMultilevel"/>
    <w:tmpl w:val="45D2DC5A"/>
    <w:lvl w:ilvl="0" w:tplc="1ADCC254">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E663AC"/>
    <w:multiLevelType w:val="hybridMultilevel"/>
    <w:tmpl w:val="325C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90DDB"/>
    <w:multiLevelType w:val="hybridMultilevel"/>
    <w:tmpl w:val="51CC8826"/>
    <w:lvl w:ilvl="0" w:tplc="04090001">
      <w:start w:val="1"/>
      <w:numFmt w:val="bullet"/>
      <w:lvlText w:val=""/>
      <w:lvlJc w:val="left"/>
      <w:pPr>
        <w:ind w:left="720" w:hanging="360"/>
      </w:pPr>
      <w:rPr>
        <w:rFonts w:ascii="Symbol" w:hAnsi="Symbol" w:hint="default"/>
      </w:rPr>
    </w:lvl>
    <w:lvl w:ilvl="1" w:tplc="F9C0019E">
      <w:start w:val="1"/>
      <w:numFmt w:val="bullet"/>
      <w:lvlText w:val="̶"/>
      <w:lvlJc w:val="left"/>
      <w:pPr>
        <w:ind w:left="1440" w:hanging="360"/>
      </w:pPr>
      <w:rPr>
        <w:rFonts w:ascii="Times New Roman" w:hAnsi="Times New Roman" w:cs="Times New Roman" w:hint="default"/>
      </w:rPr>
    </w:lvl>
    <w:lvl w:ilvl="2" w:tplc="887450C0">
      <w:numFmt w:val="bullet"/>
      <w:lvlText w:val="-"/>
      <w:lvlJc w:val="left"/>
      <w:pPr>
        <w:ind w:left="2595" w:hanging="79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49065D"/>
    <w:multiLevelType w:val="hybridMultilevel"/>
    <w:tmpl w:val="816217D2"/>
    <w:lvl w:ilvl="0" w:tplc="859049C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1" w15:restartNumberingAfterBreak="0">
    <w:nsid w:val="4E920C02"/>
    <w:multiLevelType w:val="hybridMultilevel"/>
    <w:tmpl w:val="7F58D9B8"/>
    <w:lvl w:ilvl="0" w:tplc="77FEEE38">
      <w:start w:val="1"/>
      <w:numFmt w:val="decimal"/>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8660D5"/>
    <w:multiLevelType w:val="hybridMultilevel"/>
    <w:tmpl w:val="459CF9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11546"/>
    <w:multiLevelType w:val="hybridMultilevel"/>
    <w:tmpl w:val="E48446F6"/>
    <w:lvl w:ilvl="0" w:tplc="1ADCC254">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1B5878"/>
    <w:multiLevelType w:val="hybridMultilevel"/>
    <w:tmpl w:val="6F78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222E59"/>
    <w:multiLevelType w:val="hybridMultilevel"/>
    <w:tmpl w:val="91CE1A70"/>
    <w:lvl w:ilvl="0" w:tplc="3C42418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6" w15:restartNumberingAfterBreak="0">
    <w:nsid w:val="5E065CB4"/>
    <w:multiLevelType w:val="hybridMultilevel"/>
    <w:tmpl w:val="64B0211A"/>
    <w:lvl w:ilvl="0" w:tplc="859049C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7" w15:restartNumberingAfterBreak="0">
    <w:nsid w:val="6B735BD1"/>
    <w:multiLevelType w:val="hybridMultilevel"/>
    <w:tmpl w:val="43E86C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4"/>
  </w:num>
  <w:num w:numId="13">
    <w:abstractNumId w:val="18"/>
  </w:num>
  <w:num w:numId="14">
    <w:abstractNumId w:val="19"/>
  </w:num>
  <w:num w:numId="15">
    <w:abstractNumId w:val="33"/>
  </w:num>
  <w:num w:numId="16">
    <w:abstractNumId w:val="20"/>
  </w:num>
  <w:num w:numId="17">
    <w:abstractNumId w:val="27"/>
  </w:num>
  <w:num w:numId="18">
    <w:abstractNumId w:val="29"/>
  </w:num>
  <w:num w:numId="19">
    <w:abstractNumId w:val="28"/>
  </w:num>
  <w:num w:numId="20">
    <w:abstractNumId w:val="17"/>
  </w:num>
  <w:num w:numId="21">
    <w:abstractNumId w:val="21"/>
  </w:num>
  <w:num w:numId="22">
    <w:abstractNumId w:val="13"/>
  </w:num>
  <w:num w:numId="23">
    <w:abstractNumId w:val="25"/>
  </w:num>
  <w:num w:numId="24">
    <w:abstractNumId w:val="23"/>
  </w:num>
  <w:num w:numId="25">
    <w:abstractNumId w:val="36"/>
  </w:num>
  <w:num w:numId="26">
    <w:abstractNumId w:val="24"/>
  </w:num>
  <w:num w:numId="27">
    <w:abstractNumId w:val="30"/>
  </w:num>
  <w:num w:numId="28">
    <w:abstractNumId w:val="1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1"/>
  </w:num>
  <w:num w:numId="32">
    <w:abstractNumId w:val="15"/>
  </w:num>
  <w:num w:numId="33">
    <w:abstractNumId w:val="26"/>
  </w:num>
  <w:num w:numId="34">
    <w:abstractNumId w:val="32"/>
  </w:num>
  <w:num w:numId="35">
    <w:abstractNumId w:val="35"/>
  </w:num>
  <w:num w:numId="36">
    <w:abstractNumId w:val="10"/>
  </w:num>
  <w:num w:numId="37">
    <w:abstractNumId w:val="1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4096" w:nlCheck="1" w:checkStyle="0"/>
  <w:activeWritingStyle w:appName="MSWord" w:lang="fr-CH" w:vendorID="64" w:dllVersion="409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M0NTUzNjEwNDQwNTBV0lEKTi0uzszPAykwrAUAWibxWiwAAAA="/>
  </w:docVars>
  <w:rsids>
    <w:rsidRoot w:val="00162C8E"/>
    <w:rsid w:val="00001900"/>
    <w:rsid w:val="00001D50"/>
    <w:rsid w:val="00001ED9"/>
    <w:rsid w:val="00006336"/>
    <w:rsid w:val="000204DC"/>
    <w:rsid w:val="00022512"/>
    <w:rsid w:val="00023B02"/>
    <w:rsid w:val="000469A3"/>
    <w:rsid w:val="00047550"/>
    <w:rsid w:val="00054FD1"/>
    <w:rsid w:val="0006179E"/>
    <w:rsid w:val="000736E8"/>
    <w:rsid w:val="00073E7B"/>
    <w:rsid w:val="000840BA"/>
    <w:rsid w:val="000847E7"/>
    <w:rsid w:val="000850F2"/>
    <w:rsid w:val="0008691A"/>
    <w:rsid w:val="000926B5"/>
    <w:rsid w:val="00096E59"/>
    <w:rsid w:val="000A52EA"/>
    <w:rsid w:val="000B15C8"/>
    <w:rsid w:val="000D3C39"/>
    <w:rsid w:val="000E6E4D"/>
    <w:rsid w:val="000F3A80"/>
    <w:rsid w:val="000F4D04"/>
    <w:rsid w:val="00103622"/>
    <w:rsid w:val="00112C07"/>
    <w:rsid w:val="00112F37"/>
    <w:rsid w:val="00125211"/>
    <w:rsid w:val="00127233"/>
    <w:rsid w:val="00127B3C"/>
    <w:rsid w:val="00127F1C"/>
    <w:rsid w:val="00131700"/>
    <w:rsid w:val="00134F09"/>
    <w:rsid w:val="0013547A"/>
    <w:rsid w:val="001426A0"/>
    <w:rsid w:val="001454BB"/>
    <w:rsid w:val="00145704"/>
    <w:rsid w:val="0014734E"/>
    <w:rsid w:val="001523B0"/>
    <w:rsid w:val="001529A7"/>
    <w:rsid w:val="00160E32"/>
    <w:rsid w:val="00162C8E"/>
    <w:rsid w:val="00171A20"/>
    <w:rsid w:val="001720AD"/>
    <w:rsid w:val="00176C8B"/>
    <w:rsid w:val="00181477"/>
    <w:rsid w:val="001A02DE"/>
    <w:rsid w:val="001B0851"/>
    <w:rsid w:val="001B485C"/>
    <w:rsid w:val="001D0D8B"/>
    <w:rsid w:val="001D608B"/>
    <w:rsid w:val="001D6CF6"/>
    <w:rsid w:val="001E1513"/>
    <w:rsid w:val="001E4BF5"/>
    <w:rsid w:val="001F5B42"/>
    <w:rsid w:val="00200EA6"/>
    <w:rsid w:val="00202A64"/>
    <w:rsid w:val="0020477A"/>
    <w:rsid w:val="00204DCA"/>
    <w:rsid w:val="00207C99"/>
    <w:rsid w:val="002104DA"/>
    <w:rsid w:val="002128FE"/>
    <w:rsid w:val="00220BB3"/>
    <w:rsid w:val="0022192C"/>
    <w:rsid w:val="00221A11"/>
    <w:rsid w:val="002238C0"/>
    <w:rsid w:val="0023398E"/>
    <w:rsid w:val="0024725F"/>
    <w:rsid w:val="00254620"/>
    <w:rsid w:val="0025612F"/>
    <w:rsid w:val="002678C0"/>
    <w:rsid w:val="0026792D"/>
    <w:rsid w:val="00275548"/>
    <w:rsid w:val="002763A7"/>
    <w:rsid w:val="002949FA"/>
    <w:rsid w:val="00295915"/>
    <w:rsid w:val="002A243A"/>
    <w:rsid w:val="002A284F"/>
    <w:rsid w:val="002A3C72"/>
    <w:rsid w:val="002A57BC"/>
    <w:rsid w:val="002A633D"/>
    <w:rsid w:val="002B71DF"/>
    <w:rsid w:val="002C3B5F"/>
    <w:rsid w:val="002D6E22"/>
    <w:rsid w:val="002F189E"/>
    <w:rsid w:val="002F7A36"/>
    <w:rsid w:val="003157CA"/>
    <w:rsid w:val="00316BD8"/>
    <w:rsid w:val="00325427"/>
    <w:rsid w:val="00330871"/>
    <w:rsid w:val="00341848"/>
    <w:rsid w:val="00344389"/>
    <w:rsid w:val="00347E2C"/>
    <w:rsid w:val="003746A5"/>
    <w:rsid w:val="003A1F1F"/>
    <w:rsid w:val="003B5CDB"/>
    <w:rsid w:val="003C1BC0"/>
    <w:rsid w:val="003C2677"/>
    <w:rsid w:val="003C38BE"/>
    <w:rsid w:val="003D3389"/>
    <w:rsid w:val="003D4690"/>
    <w:rsid w:val="003D6C13"/>
    <w:rsid w:val="003E044D"/>
    <w:rsid w:val="003E7AC8"/>
    <w:rsid w:val="003F3750"/>
    <w:rsid w:val="00417226"/>
    <w:rsid w:val="004176BE"/>
    <w:rsid w:val="00423A29"/>
    <w:rsid w:val="004273CA"/>
    <w:rsid w:val="0043022F"/>
    <w:rsid w:val="004361A1"/>
    <w:rsid w:val="00451288"/>
    <w:rsid w:val="00457EC1"/>
    <w:rsid w:val="00463F79"/>
    <w:rsid w:val="00476C58"/>
    <w:rsid w:val="00481E69"/>
    <w:rsid w:val="00484456"/>
    <w:rsid w:val="0049400C"/>
    <w:rsid w:val="00496E6D"/>
    <w:rsid w:val="004A4BFD"/>
    <w:rsid w:val="004B1B59"/>
    <w:rsid w:val="004B23C8"/>
    <w:rsid w:val="004B7EFD"/>
    <w:rsid w:val="004C34E3"/>
    <w:rsid w:val="004C3B0B"/>
    <w:rsid w:val="004C6A4A"/>
    <w:rsid w:val="004D3E8F"/>
    <w:rsid w:val="004D3F42"/>
    <w:rsid w:val="004E302B"/>
    <w:rsid w:val="004E4261"/>
    <w:rsid w:val="004E4801"/>
    <w:rsid w:val="004E5346"/>
    <w:rsid w:val="004F4BF4"/>
    <w:rsid w:val="004F6A5E"/>
    <w:rsid w:val="004F7284"/>
    <w:rsid w:val="00501800"/>
    <w:rsid w:val="00505E31"/>
    <w:rsid w:val="00507D00"/>
    <w:rsid w:val="005176EA"/>
    <w:rsid w:val="00520495"/>
    <w:rsid w:val="00520C2A"/>
    <w:rsid w:val="00523051"/>
    <w:rsid w:val="00536565"/>
    <w:rsid w:val="00536D0E"/>
    <w:rsid w:val="00541A85"/>
    <w:rsid w:val="00551965"/>
    <w:rsid w:val="0056259D"/>
    <w:rsid w:val="00566916"/>
    <w:rsid w:val="00577202"/>
    <w:rsid w:val="0058602D"/>
    <w:rsid w:val="00586AF7"/>
    <w:rsid w:val="0059395D"/>
    <w:rsid w:val="005A45CE"/>
    <w:rsid w:val="005B3574"/>
    <w:rsid w:val="005B4D00"/>
    <w:rsid w:val="005C51C8"/>
    <w:rsid w:val="005C73F4"/>
    <w:rsid w:val="005D0601"/>
    <w:rsid w:val="005D7142"/>
    <w:rsid w:val="005F632C"/>
    <w:rsid w:val="006001E8"/>
    <w:rsid w:val="00600C71"/>
    <w:rsid w:val="00610D23"/>
    <w:rsid w:val="006214D2"/>
    <w:rsid w:val="006358B5"/>
    <w:rsid w:val="00641611"/>
    <w:rsid w:val="0064593A"/>
    <w:rsid w:val="0065256C"/>
    <w:rsid w:val="00664711"/>
    <w:rsid w:val="0066772C"/>
    <w:rsid w:val="006679D2"/>
    <w:rsid w:val="0067089B"/>
    <w:rsid w:val="00682FBD"/>
    <w:rsid w:val="0068425E"/>
    <w:rsid w:val="00686F06"/>
    <w:rsid w:val="0068735C"/>
    <w:rsid w:val="00687A98"/>
    <w:rsid w:val="00693BC2"/>
    <w:rsid w:val="006A0A7E"/>
    <w:rsid w:val="006D4FA4"/>
    <w:rsid w:val="006E7961"/>
    <w:rsid w:val="0072037C"/>
    <w:rsid w:val="00727476"/>
    <w:rsid w:val="0073279B"/>
    <w:rsid w:val="00734991"/>
    <w:rsid w:val="007366F8"/>
    <w:rsid w:val="00736AE2"/>
    <w:rsid w:val="007409A1"/>
    <w:rsid w:val="007503A1"/>
    <w:rsid w:val="007539F4"/>
    <w:rsid w:val="00756CD8"/>
    <w:rsid w:val="007645AA"/>
    <w:rsid w:val="00767CBA"/>
    <w:rsid w:val="007715D3"/>
    <w:rsid w:val="00773DDE"/>
    <w:rsid w:val="00783902"/>
    <w:rsid w:val="00784454"/>
    <w:rsid w:val="0078695A"/>
    <w:rsid w:val="007945C0"/>
    <w:rsid w:val="007961C8"/>
    <w:rsid w:val="007A1E34"/>
    <w:rsid w:val="007B12A8"/>
    <w:rsid w:val="007B13E5"/>
    <w:rsid w:val="007C57EB"/>
    <w:rsid w:val="007D03D6"/>
    <w:rsid w:val="007E7F15"/>
    <w:rsid w:val="007F034C"/>
    <w:rsid w:val="00800720"/>
    <w:rsid w:val="00801D99"/>
    <w:rsid w:val="008055C5"/>
    <w:rsid w:val="00823C95"/>
    <w:rsid w:val="0082584D"/>
    <w:rsid w:val="0083530A"/>
    <w:rsid w:val="00855850"/>
    <w:rsid w:val="008605AB"/>
    <w:rsid w:val="00861C64"/>
    <w:rsid w:val="0086282B"/>
    <w:rsid w:val="00864FAF"/>
    <w:rsid w:val="008707A9"/>
    <w:rsid w:val="0087758F"/>
    <w:rsid w:val="00883C1E"/>
    <w:rsid w:val="008855A1"/>
    <w:rsid w:val="00886C32"/>
    <w:rsid w:val="008929EB"/>
    <w:rsid w:val="0089346E"/>
    <w:rsid w:val="00894D15"/>
    <w:rsid w:val="00894E57"/>
    <w:rsid w:val="00896C0D"/>
    <w:rsid w:val="008A356A"/>
    <w:rsid w:val="008A50E4"/>
    <w:rsid w:val="008B0047"/>
    <w:rsid w:val="008B47C7"/>
    <w:rsid w:val="008B4C50"/>
    <w:rsid w:val="008C22A0"/>
    <w:rsid w:val="008D1066"/>
    <w:rsid w:val="008D5CB6"/>
    <w:rsid w:val="008D7E25"/>
    <w:rsid w:val="008E5777"/>
    <w:rsid w:val="008E5F11"/>
    <w:rsid w:val="008F0D49"/>
    <w:rsid w:val="009000FD"/>
    <w:rsid w:val="00905986"/>
    <w:rsid w:val="009102C9"/>
    <w:rsid w:val="0091510B"/>
    <w:rsid w:val="00920708"/>
    <w:rsid w:val="00922C26"/>
    <w:rsid w:val="00925D21"/>
    <w:rsid w:val="00927386"/>
    <w:rsid w:val="00935042"/>
    <w:rsid w:val="00940598"/>
    <w:rsid w:val="00940FC5"/>
    <w:rsid w:val="00944711"/>
    <w:rsid w:val="00965DD5"/>
    <w:rsid w:val="00970C3B"/>
    <w:rsid w:val="0097398D"/>
    <w:rsid w:val="00975630"/>
    <w:rsid w:val="0099638E"/>
    <w:rsid w:val="009B1E32"/>
    <w:rsid w:val="009B1F3B"/>
    <w:rsid w:val="009B4D68"/>
    <w:rsid w:val="009B5208"/>
    <w:rsid w:val="009B5759"/>
    <w:rsid w:val="009B5998"/>
    <w:rsid w:val="009C42F1"/>
    <w:rsid w:val="009D01B4"/>
    <w:rsid w:val="009D0AA1"/>
    <w:rsid w:val="009D670C"/>
    <w:rsid w:val="009D770C"/>
    <w:rsid w:val="009E5C52"/>
    <w:rsid w:val="009F406F"/>
    <w:rsid w:val="00A0404C"/>
    <w:rsid w:val="00A0562E"/>
    <w:rsid w:val="00A05B15"/>
    <w:rsid w:val="00A061BC"/>
    <w:rsid w:val="00A13F38"/>
    <w:rsid w:val="00A16A5E"/>
    <w:rsid w:val="00A22A5B"/>
    <w:rsid w:val="00A254AD"/>
    <w:rsid w:val="00A314D9"/>
    <w:rsid w:val="00A31FC9"/>
    <w:rsid w:val="00A503EF"/>
    <w:rsid w:val="00A56698"/>
    <w:rsid w:val="00A65D21"/>
    <w:rsid w:val="00A675DA"/>
    <w:rsid w:val="00A72C30"/>
    <w:rsid w:val="00A74EF5"/>
    <w:rsid w:val="00A86DD9"/>
    <w:rsid w:val="00A947A3"/>
    <w:rsid w:val="00AA2BF5"/>
    <w:rsid w:val="00AA4711"/>
    <w:rsid w:val="00AA57C6"/>
    <w:rsid w:val="00AC199E"/>
    <w:rsid w:val="00AC1D36"/>
    <w:rsid w:val="00AC2C6A"/>
    <w:rsid w:val="00AC3F83"/>
    <w:rsid w:val="00AC6399"/>
    <w:rsid w:val="00AE45C5"/>
    <w:rsid w:val="00AE70B3"/>
    <w:rsid w:val="00AF5E51"/>
    <w:rsid w:val="00B01394"/>
    <w:rsid w:val="00B01BAA"/>
    <w:rsid w:val="00B1396B"/>
    <w:rsid w:val="00B1586A"/>
    <w:rsid w:val="00B16A61"/>
    <w:rsid w:val="00B17479"/>
    <w:rsid w:val="00B179CE"/>
    <w:rsid w:val="00B17E9B"/>
    <w:rsid w:val="00B22526"/>
    <w:rsid w:val="00B230AE"/>
    <w:rsid w:val="00B33514"/>
    <w:rsid w:val="00B35A37"/>
    <w:rsid w:val="00B433E9"/>
    <w:rsid w:val="00B45CEB"/>
    <w:rsid w:val="00B46CC7"/>
    <w:rsid w:val="00B61012"/>
    <w:rsid w:val="00B6338A"/>
    <w:rsid w:val="00B709D5"/>
    <w:rsid w:val="00B7324E"/>
    <w:rsid w:val="00B76FE1"/>
    <w:rsid w:val="00B82693"/>
    <w:rsid w:val="00B933D9"/>
    <w:rsid w:val="00B93582"/>
    <w:rsid w:val="00B95EFE"/>
    <w:rsid w:val="00BA0FAC"/>
    <w:rsid w:val="00BA691D"/>
    <w:rsid w:val="00BB77F1"/>
    <w:rsid w:val="00BC6C3C"/>
    <w:rsid w:val="00BD4AD4"/>
    <w:rsid w:val="00BD640C"/>
    <w:rsid w:val="00BE08F6"/>
    <w:rsid w:val="00BE67B5"/>
    <w:rsid w:val="00BF2AF8"/>
    <w:rsid w:val="00BF566C"/>
    <w:rsid w:val="00C12B32"/>
    <w:rsid w:val="00C12B75"/>
    <w:rsid w:val="00C220D3"/>
    <w:rsid w:val="00C327FF"/>
    <w:rsid w:val="00C44389"/>
    <w:rsid w:val="00C524FE"/>
    <w:rsid w:val="00C5291A"/>
    <w:rsid w:val="00C65C6E"/>
    <w:rsid w:val="00C82E6D"/>
    <w:rsid w:val="00C85438"/>
    <w:rsid w:val="00C95BF6"/>
    <w:rsid w:val="00C97332"/>
    <w:rsid w:val="00CB2C81"/>
    <w:rsid w:val="00CB6134"/>
    <w:rsid w:val="00CC6182"/>
    <w:rsid w:val="00CD6DD8"/>
    <w:rsid w:val="00CF7660"/>
    <w:rsid w:val="00D12075"/>
    <w:rsid w:val="00D22446"/>
    <w:rsid w:val="00D354A4"/>
    <w:rsid w:val="00D35A3A"/>
    <w:rsid w:val="00D40417"/>
    <w:rsid w:val="00D43CDD"/>
    <w:rsid w:val="00D478B9"/>
    <w:rsid w:val="00D501C4"/>
    <w:rsid w:val="00D64FB2"/>
    <w:rsid w:val="00D65F89"/>
    <w:rsid w:val="00D7186D"/>
    <w:rsid w:val="00D74200"/>
    <w:rsid w:val="00D82152"/>
    <w:rsid w:val="00D92B55"/>
    <w:rsid w:val="00DB4666"/>
    <w:rsid w:val="00DC253E"/>
    <w:rsid w:val="00DC2C1E"/>
    <w:rsid w:val="00DC3827"/>
    <w:rsid w:val="00DC416D"/>
    <w:rsid w:val="00DD445E"/>
    <w:rsid w:val="00DD519D"/>
    <w:rsid w:val="00DE1FCF"/>
    <w:rsid w:val="00DE230A"/>
    <w:rsid w:val="00DF1812"/>
    <w:rsid w:val="00E075BE"/>
    <w:rsid w:val="00E13A1C"/>
    <w:rsid w:val="00E20A38"/>
    <w:rsid w:val="00E22D57"/>
    <w:rsid w:val="00E2524E"/>
    <w:rsid w:val="00E25E94"/>
    <w:rsid w:val="00E27FE5"/>
    <w:rsid w:val="00E33932"/>
    <w:rsid w:val="00E34E38"/>
    <w:rsid w:val="00E34F5C"/>
    <w:rsid w:val="00E4280D"/>
    <w:rsid w:val="00E53C84"/>
    <w:rsid w:val="00E634CB"/>
    <w:rsid w:val="00E74479"/>
    <w:rsid w:val="00E750D8"/>
    <w:rsid w:val="00E77108"/>
    <w:rsid w:val="00E82219"/>
    <w:rsid w:val="00E82C7A"/>
    <w:rsid w:val="00E91F89"/>
    <w:rsid w:val="00E92FA9"/>
    <w:rsid w:val="00E97A00"/>
    <w:rsid w:val="00EA456C"/>
    <w:rsid w:val="00EB0F03"/>
    <w:rsid w:val="00EB2D3F"/>
    <w:rsid w:val="00EB5168"/>
    <w:rsid w:val="00EB7ADD"/>
    <w:rsid w:val="00EB7F5E"/>
    <w:rsid w:val="00EC64E1"/>
    <w:rsid w:val="00ED09E2"/>
    <w:rsid w:val="00EE58CC"/>
    <w:rsid w:val="00EF436D"/>
    <w:rsid w:val="00F008A1"/>
    <w:rsid w:val="00F01D51"/>
    <w:rsid w:val="00F07A7D"/>
    <w:rsid w:val="00F16865"/>
    <w:rsid w:val="00F24B18"/>
    <w:rsid w:val="00F41584"/>
    <w:rsid w:val="00F41D56"/>
    <w:rsid w:val="00F45C00"/>
    <w:rsid w:val="00F55F0D"/>
    <w:rsid w:val="00F6087D"/>
    <w:rsid w:val="00F64F56"/>
    <w:rsid w:val="00F664C3"/>
    <w:rsid w:val="00F721CB"/>
    <w:rsid w:val="00F807E6"/>
    <w:rsid w:val="00F82FFE"/>
    <w:rsid w:val="00F83C5D"/>
    <w:rsid w:val="00F87FF5"/>
    <w:rsid w:val="00F94904"/>
    <w:rsid w:val="00F9558A"/>
    <w:rsid w:val="00F97657"/>
    <w:rsid w:val="00FA0096"/>
    <w:rsid w:val="00FA46A0"/>
    <w:rsid w:val="00FB1BE4"/>
    <w:rsid w:val="00FB4476"/>
    <w:rsid w:val="00FB480F"/>
    <w:rsid w:val="00FB7A30"/>
    <w:rsid w:val="00FC1C19"/>
    <w:rsid w:val="00FC3996"/>
    <w:rsid w:val="00FC6172"/>
    <w:rsid w:val="00FC7A0E"/>
    <w:rsid w:val="00FD6829"/>
    <w:rsid w:val="00FE2C19"/>
    <w:rsid w:val="00FE5590"/>
    <w:rsid w:val="00FE6A0F"/>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1320AF"/>
  <w15:docId w15:val="{3EDED8E9-F47C-4389-8D76-86E0BCE2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162C8E"/>
    <w:pPr>
      <w:keepNext/>
      <w:keepLines/>
      <w:spacing w:before="280"/>
      <w:ind w:left="1134" w:hanging="1134"/>
      <w:outlineLvl w:val="0"/>
    </w:pPr>
    <w:rPr>
      <w:b/>
    </w:rPr>
  </w:style>
  <w:style w:type="paragraph" w:styleId="Heading2">
    <w:name w:val="heading 2"/>
    <w:basedOn w:val="Heading1"/>
    <w:next w:val="Normal"/>
    <w:qFormat/>
    <w:rsid w:val="00E63C59"/>
    <w:pPr>
      <w:spacing w:before="200"/>
      <w:outlineLvl w:val="1"/>
    </w:pPr>
  </w:style>
  <w:style w:type="paragraph" w:styleId="Heading3">
    <w:name w:val="heading 3"/>
    <w:basedOn w:val="Heading1"/>
    <w:next w:val="Normal"/>
    <w:qFormat/>
    <w:rsid w:val="00E63C59"/>
    <w:pPr>
      <w:spacing w:before="200"/>
      <w:outlineLvl w:val="2"/>
    </w:p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14734E"/>
    <w:pPr>
      <w:spacing w:before="80"/>
      <w:ind w:left="794" w:hanging="794"/>
    </w:pPr>
    <w:rPr>
      <w:rFonts w:asciiTheme="minorHAnsi" w:hAnsiTheme="minorHAnsi"/>
    </w:rPr>
  </w:style>
  <w:style w:type="paragraph" w:customStyle="1" w:styleId="enumlev2">
    <w:name w:val="enumlev2"/>
    <w:basedOn w:val="enumlev1"/>
    <w:rsid w:val="0014734E"/>
    <w:pPr>
      <w:ind w:left="1191" w:hanging="397"/>
    </w:pPr>
  </w:style>
  <w:style w:type="paragraph" w:customStyle="1" w:styleId="enumlev3">
    <w:name w:val="enumlev3"/>
    <w:basedOn w:val="enumlev2"/>
    <w:rsid w:val="0014734E"/>
    <w:pPr>
      <w:ind w:left="1588"/>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uiPriority w:val="99"/>
    <w:rsid w:val="00964CF0"/>
    <w:rPr>
      <w:rFonts w:ascii="Calibri" w:hAnsi="Calibri"/>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162C8E"/>
    <w:pPr>
      <w:keepNext/>
      <w:keepLines/>
      <w:spacing w:before="480" w:after="80"/>
      <w:jc w:val="center"/>
    </w:pPr>
    <w:rPr>
      <w:b/>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CEO_Hyperlink,超级链接,超?级链,Style 58,超????,하이퍼링크2,超链接1"/>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table" w:styleId="TableGrid">
    <w:name w:val="Table Grid"/>
    <w:basedOn w:val="TableNormal"/>
    <w:rsid w:val="00CB6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707A9"/>
    <w:rPr>
      <w:b/>
      <w:bCs/>
    </w:rPr>
  </w:style>
  <w:style w:type="character" w:customStyle="1" w:styleId="CommentSubjectChar">
    <w:name w:val="Comment Subject Char"/>
    <w:basedOn w:val="CommentTextChar"/>
    <w:link w:val="CommentSubject"/>
    <w:rsid w:val="008707A9"/>
    <w:rPr>
      <w:rFonts w:ascii="Calibri" w:hAnsi="Calibri"/>
      <w:b/>
      <w:bCs/>
      <w:lang w:val="en-GB" w:eastAsia="en-US"/>
    </w:rPr>
  </w:style>
  <w:style w:type="paragraph" w:styleId="ListParagraph">
    <w:name w:val="List Paragraph"/>
    <w:basedOn w:val="Normal"/>
    <w:uiPriority w:val="99"/>
    <w:qFormat/>
    <w:rsid w:val="0059395D"/>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hps">
    <w:name w:val="hps"/>
    <w:basedOn w:val="DefaultParagraphFont"/>
    <w:rsid w:val="0059395D"/>
  </w:style>
  <w:style w:type="character" w:customStyle="1" w:styleId="FooterChar">
    <w:name w:val="Footer Char"/>
    <w:basedOn w:val="DefaultParagraphFont"/>
    <w:link w:val="Footer"/>
    <w:uiPriority w:val="99"/>
    <w:rsid w:val="003157CA"/>
    <w:rPr>
      <w:rFonts w:ascii="Calibri" w:hAnsi="Calibri"/>
      <w:caps/>
      <w:noProof/>
      <w:sz w:val="16"/>
      <w:lang w:val="en-GB" w:eastAsia="en-US"/>
    </w:rPr>
  </w:style>
  <w:style w:type="paragraph" w:customStyle="1" w:styleId="AnnexNotitle">
    <w:name w:val="Annex_No &amp; title"/>
    <w:basedOn w:val="Normal"/>
    <w:next w:val="Normal"/>
    <w:rsid w:val="0023398E"/>
    <w:pPr>
      <w:keepNext/>
      <w:keepLines/>
      <w:spacing w:before="480"/>
      <w:jc w:val="center"/>
      <w:outlineLvl w:val="0"/>
    </w:pPr>
    <w:rPr>
      <w:rFonts w:ascii="Times New Roman" w:hAnsi="Times New Roman"/>
      <w:b/>
      <w:sz w:val="28"/>
    </w:rPr>
  </w:style>
  <w:style w:type="paragraph" w:styleId="BodyText">
    <w:name w:val="Body Text"/>
    <w:basedOn w:val="Normal"/>
    <w:link w:val="BodyTextChar"/>
    <w:rsid w:val="00C97332"/>
    <w:pPr>
      <w:spacing w:after="120"/>
    </w:pPr>
  </w:style>
  <w:style w:type="character" w:customStyle="1" w:styleId="BodyTextChar">
    <w:name w:val="Body Text Char"/>
    <w:basedOn w:val="DefaultParagraphFont"/>
    <w:link w:val="BodyText"/>
    <w:rsid w:val="00C97332"/>
    <w:rPr>
      <w:rFonts w:ascii="Calibri" w:hAnsi="Calibri"/>
      <w:sz w:val="24"/>
      <w:lang w:val="en-GB" w:eastAsia="en-US"/>
    </w:rPr>
  </w:style>
  <w:style w:type="paragraph" w:styleId="NormalWeb">
    <w:name w:val="Normal (Web)"/>
    <w:basedOn w:val="Normal"/>
    <w:uiPriority w:val="99"/>
    <w:rsid w:val="00C9733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Default">
    <w:name w:val="Default"/>
    <w:rsid w:val="00C97332"/>
    <w:pPr>
      <w:autoSpaceDE w:val="0"/>
      <w:autoSpaceDN w:val="0"/>
      <w:adjustRightInd w:val="0"/>
    </w:pPr>
    <w:rPr>
      <w:rFonts w:ascii="Times New Roman" w:eastAsiaTheme="minorEastAsia" w:hAnsi="Times New Roman"/>
      <w:color w:val="000000"/>
      <w:sz w:val="24"/>
      <w:szCs w:val="24"/>
    </w:rPr>
  </w:style>
  <w:style w:type="paragraph" w:styleId="Revision">
    <w:name w:val="Revision"/>
    <w:hidden/>
    <w:semiHidden/>
    <w:rsid w:val="003D3389"/>
    <w:rPr>
      <w:rFonts w:ascii="Calibri" w:hAnsi="Calibri"/>
      <w:sz w:val="24"/>
      <w:lang w:val="en-GB" w:eastAsia="en-US"/>
    </w:rPr>
  </w:style>
  <w:style w:type="character" w:customStyle="1" w:styleId="moduletitlelink">
    <w:name w:val="module__title__link"/>
    <w:basedOn w:val="DefaultParagraphFont"/>
    <w:rsid w:val="002F189E"/>
  </w:style>
  <w:style w:type="character" w:customStyle="1" w:styleId="Heading1Char">
    <w:name w:val="Heading 1 Char"/>
    <w:basedOn w:val="DefaultParagraphFont"/>
    <w:link w:val="Heading1"/>
    <w:rsid w:val="004E5346"/>
    <w:rPr>
      <w:rFonts w:ascii="Calibri" w:hAnsi="Calibri"/>
      <w:b/>
      <w:sz w:val="24"/>
      <w:lang w:val="en-GB" w:eastAsia="en-US"/>
    </w:rPr>
  </w:style>
  <w:style w:type="character" w:customStyle="1" w:styleId="widget-pane-link">
    <w:name w:val="widget-pane-link"/>
    <w:basedOn w:val="DefaultParagraphFont"/>
    <w:rsid w:val="004E5346"/>
  </w:style>
  <w:style w:type="paragraph" w:styleId="NoSpacing">
    <w:name w:val="No Spacing"/>
    <w:uiPriority w:val="1"/>
    <w:qFormat/>
    <w:rsid w:val="004E5346"/>
    <w:pPr>
      <w:tabs>
        <w:tab w:val="left" w:pos="794"/>
        <w:tab w:val="left" w:pos="1191"/>
        <w:tab w:val="left" w:pos="1588"/>
        <w:tab w:val="left" w:pos="1985"/>
      </w:tabs>
      <w:overflowPunct w:val="0"/>
      <w:autoSpaceDE w:val="0"/>
      <w:autoSpaceDN w:val="0"/>
      <w:adjustRightInd w:val="0"/>
      <w:textAlignment w:val="baseline"/>
    </w:pPr>
    <w:rPr>
      <w:rFonts w:ascii="Calibri" w:hAnsi="Calibri"/>
      <w:sz w:val="24"/>
      <w:lang w:val="en-GB" w:eastAsia="en-US"/>
    </w:rPr>
  </w:style>
  <w:style w:type="character" w:customStyle="1" w:styleId="FootnoteTextChar">
    <w:name w:val="Footnote Text Char"/>
    <w:basedOn w:val="DefaultParagraphFont"/>
    <w:link w:val="FootnoteText"/>
    <w:uiPriority w:val="99"/>
    <w:rsid w:val="008F0D49"/>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6089">
      <w:bodyDiv w:val="1"/>
      <w:marLeft w:val="0"/>
      <w:marRight w:val="0"/>
      <w:marTop w:val="0"/>
      <w:marBottom w:val="0"/>
      <w:divBdr>
        <w:top w:val="none" w:sz="0" w:space="0" w:color="auto"/>
        <w:left w:val="none" w:sz="0" w:space="0" w:color="auto"/>
        <w:bottom w:val="none" w:sz="0" w:space="0" w:color="auto"/>
        <w:right w:val="none" w:sz="0" w:space="0" w:color="auto"/>
      </w:divBdr>
    </w:div>
    <w:div w:id="308756203">
      <w:bodyDiv w:val="1"/>
      <w:marLeft w:val="0"/>
      <w:marRight w:val="0"/>
      <w:marTop w:val="0"/>
      <w:marBottom w:val="0"/>
      <w:divBdr>
        <w:top w:val="none" w:sz="0" w:space="0" w:color="auto"/>
        <w:left w:val="none" w:sz="0" w:space="0" w:color="auto"/>
        <w:bottom w:val="none" w:sz="0" w:space="0" w:color="auto"/>
        <w:right w:val="none" w:sz="0" w:space="0" w:color="auto"/>
      </w:divBdr>
    </w:div>
    <w:div w:id="332223441">
      <w:bodyDiv w:val="1"/>
      <w:marLeft w:val="0"/>
      <w:marRight w:val="0"/>
      <w:marTop w:val="0"/>
      <w:marBottom w:val="0"/>
      <w:divBdr>
        <w:top w:val="none" w:sz="0" w:space="0" w:color="auto"/>
        <w:left w:val="none" w:sz="0" w:space="0" w:color="auto"/>
        <w:bottom w:val="none" w:sz="0" w:space="0" w:color="auto"/>
        <w:right w:val="none" w:sz="0" w:space="0" w:color="auto"/>
      </w:divBdr>
    </w:div>
    <w:div w:id="392780835">
      <w:bodyDiv w:val="1"/>
      <w:marLeft w:val="0"/>
      <w:marRight w:val="0"/>
      <w:marTop w:val="0"/>
      <w:marBottom w:val="0"/>
      <w:divBdr>
        <w:top w:val="none" w:sz="0" w:space="0" w:color="auto"/>
        <w:left w:val="none" w:sz="0" w:space="0" w:color="auto"/>
        <w:bottom w:val="none" w:sz="0" w:space="0" w:color="auto"/>
        <w:right w:val="none" w:sz="0" w:space="0" w:color="auto"/>
      </w:divBdr>
      <w:divsChild>
        <w:div w:id="828060986">
          <w:marLeft w:val="0"/>
          <w:marRight w:val="0"/>
          <w:marTop w:val="0"/>
          <w:marBottom w:val="0"/>
          <w:divBdr>
            <w:top w:val="none" w:sz="0" w:space="0" w:color="auto"/>
            <w:left w:val="none" w:sz="0" w:space="0" w:color="auto"/>
            <w:bottom w:val="none" w:sz="0" w:space="0" w:color="auto"/>
            <w:right w:val="none" w:sz="0" w:space="0" w:color="auto"/>
          </w:divBdr>
          <w:divsChild>
            <w:div w:id="2018117243">
              <w:marLeft w:val="0"/>
              <w:marRight w:val="0"/>
              <w:marTop w:val="0"/>
              <w:marBottom w:val="0"/>
              <w:divBdr>
                <w:top w:val="none" w:sz="0" w:space="0" w:color="auto"/>
                <w:left w:val="none" w:sz="0" w:space="0" w:color="auto"/>
                <w:bottom w:val="none" w:sz="0" w:space="0" w:color="auto"/>
                <w:right w:val="none" w:sz="0" w:space="0" w:color="auto"/>
              </w:divBdr>
              <w:divsChild>
                <w:div w:id="2022050820">
                  <w:marLeft w:val="0"/>
                  <w:marRight w:val="0"/>
                  <w:marTop w:val="0"/>
                  <w:marBottom w:val="0"/>
                  <w:divBdr>
                    <w:top w:val="none" w:sz="0" w:space="0" w:color="auto"/>
                    <w:left w:val="none" w:sz="0" w:space="0" w:color="auto"/>
                    <w:bottom w:val="none" w:sz="0" w:space="0" w:color="auto"/>
                    <w:right w:val="none" w:sz="0" w:space="0" w:color="auto"/>
                  </w:divBdr>
                  <w:divsChild>
                    <w:div w:id="1456564741">
                      <w:marLeft w:val="0"/>
                      <w:marRight w:val="0"/>
                      <w:marTop w:val="0"/>
                      <w:marBottom w:val="0"/>
                      <w:divBdr>
                        <w:top w:val="none" w:sz="0" w:space="0" w:color="auto"/>
                        <w:left w:val="none" w:sz="0" w:space="0" w:color="auto"/>
                        <w:bottom w:val="none" w:sz="0" w:space="0" w:color="auto"/>
                        <w:right w:val="none" w:sz="0" w:space="0" w:color="auto"/>
                      </w:divBdr>
                      <w:divsChild>
                        <w:div w:id="674303089">
                          <w:marLeft w:val="0"/>
                          <w:marRight w:val="0"/>
                          <w:marTop w:val="0"/>
                          <w:marBottom w:val="0"/>
                          <w:divBdr>
                            <w:top w:val="none" w:sz="0" w:space="0" w:color="auto"/>
                            <w:left w:val="none" w:sz="0" w:space="0" w:color="auto"/>
                            <w:bottom w:val="none" w:sz="0" w:space="0" w:color="auto"/>
                            <w:right w:val="none" w:sz="0" w:space="0" w:color="auto"/>
                          </w:divBdr>
                          <w:divsChild>
                            <w:div w:id="476799894">
                              <w:marLeft w:val="0"/>
                              <w:marRight w:val="0"/>
                              <w:marTop w:val="0"/>
                              <w:marBottom w:val="0"/>
                              <w:divBdr>
                                <w:top w:val="none" w:sz="0" w:space="0" w:color="auto"/>
                                <w:left w:val="none" w:sz="0" w:space="0" w:color="auto"/>
                                <w:bottom w:val="none" w:sz="0" w:space="0" w:color="auto"/>
                                <w:right w:val="none" w:sz="0" w:space="0" w:color="auto"/>
                              </w:divBdr>
                              <w:divsChild>
                                <w:div w:id="757099989">
                                  <w:marLeft w:val="0"/>
                                  <w:marRight w:val="0"/>
                                  <w:marTop w:val="0"/>
                                  <w:marBottom w:val="0"/>
                                  <w:divBdr>
                                    <w:top w:val="none" w:sz="0" w:space="0" w:color="auto"/>
                                    <w:left w:val="none" w:sz="0" w:space="0" w:color="auto"/>
                                    <w:bottom w:val="none" w:sz="0" w:space="0" w:color="auto"/>
                                    <w:right w:val="none" w:sz="0" w:space="0" w:color="auto"/>
                                  </w:divBdr>
                                  <w:divsChild>
                                    <w:div w:id="570120950">
                                      <w:marLeft w:val="0"/>
                                      <w:marRight w:val="0"/>
                                      <w:marTop w:val="0"/>
                                      <w:marBottom w:val="0"/>
                                      <w:divBdr>
                                        <w:top w:val="none" w:sz="0" w:space="0" w:color="auto"/>
                                        <w:left w:val="none" w:sz="0" w:space="0" w:color="auto"/>
                                        <w:bottom w:val="none" w:sz="0" w:space="0" w:color="auto"/>
                                        <w:right w:val="none" w:sz="0" w:space="0" w:color="auto"/>
                                      </w:divBdr>
                                      <w:divsChild>
                                        <w:div w:id="14470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138904">
      <w:bodyDiv w:val="1"/>
      <w:marLeft w:val="0"/>
      <w:marRight w:val="0"/>
      <w:marTop w:val="0"/>
      <w:marBottom w:val="0"/>
      <w:divBdr>
        <w:top w:val="none" w:sz="0" w:space="0" w:color="auto"/>
        <w:left w:val="none" w:sz="0" w:space="0" w:color="auto"/>
        <w:bottom w:val="none" w:sz="0" w:space="0" w:color="auto"/>
        <w:right w:val="none" w:sz="0" w:space="0" w:color="auto"/>
      </w:divBdr>
    </w:div>
    <w:div w:id="532770824">
      <w:bodyDiv w:val="1"/>
      <w:marLeft w:val="0"/>
      <w:marRight w:val="0"/>
      <w:marTop w:val="0"/>
      <w:marBottom w:val="0"/>
      <w:divBdr>
        <w:top w:val="none" w:sz="0" w:space="0" w:color="auto"/>
        <w:left w:val="none" w:sz="0" w:space="0" w:color="auto"/>
        <w:bottom w:val="none" w:sz="0" w:space="0" w:color="auto"/>
        <w:right w:val="none" w:sz="0" w:space="0" w:color="auto"/>
      </w:divBdr>
    </w:div>
    <w:div w:id="589630531">
      <w:bodyDiv w:val="1"/>
      <w:marLeft w:val="0"/>
      <w:marRight w:val="0"/>
      <w:marTop w:val="0"/>
      <w:marBottom w:val="0"/>
      <w:divBdr>
        <w:top w:val="none" w:sz="0" w:space="0" w:color="auto"/>
        <w:left w:val="none" w:sz="0" w:space="0" w:color="auto"/>
        <w:bottom w:val="none" w:sz="0" w:space="0" w:color="auto"/>
        <w:right w:val="none" w:sz="0" w:space="0" w:color="auto"/>
      </w:divBdr>
      <w:divsChild>
        <w:div w:id="487865481">
          <w:marLeft w:val="1800"/>
          <w:marRight w:val="0"/>
          <w:marTop w:val="100"/>
          <w:marBottom w:val="0"/>
          <w:divBdr>
            <w:top w:val="none" w:sz="0" w:space="0" w:color="auto"/>
            <w:left w:val="none" w:sz="0" w:space="0" w:color="auto"/>
            <w:bottom w:val="none" w:sz="0" w:space="0" w:color="auto"/>
            <w:right w:val="none" w:sz="0" w:space="0" w:color="auto"/>
          </w:divBdr>
        </w:div>
        <w:div w:id="221450742">
          <w:marLeft w:val="1800"/>
          <w:marRight w:val="0"/>
          <w:marTop w:val="100"/>
          <w:marBottom w:val="0"/>
          <w:divBdr>
            <w:top w:val="none" w:sz="0" w:space="0" w:color="auto"/>
            <w:left w:val="none" w:sz="0" w:space="0" w:color="auto"/>
            <w:bottom w:val="none" w:sz="0" w:space="0" w:color="auto"/>
            <w:right w:val="none" w:sz="0" w:space="0" w:color="auto"/>
          </w:divBdr>
        </w:div>
        <w:div w:id="1000036693">
          <w:marLeft w:val="1800"/>
          <w:marRight w:val="0"/>
          <w:marTop w:val="100"/>
          <w:marBottom w:val="0"/>
          <w:divBdr>
            <w:top w:val="none" w:sz="0" w:space="0" w:color="auto"/>
            <w:left w:val="none" w:sz="0" w:space="0" w:color="auto"/>
            <w:bottom w:val="none" w:sz="0" w:space="0" w:color="auto"/>
            <w:right w:val="none" w:sz="0" w:space="0" w:color="auto"/>
          </w:divBdr>
        </w:div>
        <w:div w:id="1587880518">
          <w:marLeft w:val="1800"/>
          <w:marRight w:val="0"/>
          <w:marTop w:val="100"/>
          <w:marBottom w:val="0"/>
          <w:divBdr>
            <w:top w:val="none" w:sz="0" w:space="0" w:color="auto"/>
            <w:left w:val="none" w:sz="0" w:space="0" w:color="auto"/>
            <w:bottom w:val="none" w:sz="0" w:space="0" w:color="auto"/>
            <w:right w:val="none" w:sz="0" w:space="0" w:color="auto"/>
          </w:divBdr>
        </w:div>
        <w:div w:id="1087919438">
          <w:marLeft w:val="1800"/>
          <w:marRight w:val="0"/>
          <w:marTop w:val="100"/>
          <w:marBottom w:val="0"/>
          <w:divBdr>
            <w:top w:val="none" w:sz="0" w:space="0" w:color="auto"/>
            <w:left w:val="none" w:sz="0" w:space="0" w:color="auto"/>
            <w:bottom w:val="none" w:sz="0" w:space="0" w:color="auto"/>
            <w:right w:val="none" w:sz="0" w:space="0" w:color="auto"/>
          </w:divBdr>
        </w:div>
      </w:divsChild>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691344479">
      <w:bodyDiv w:val="1"/>
      <w:marLeft w:val="0"/>
      <w:marRight w:val="0"/>
      <w:marTop w:val="0"/>
      <w:marBottom w:val="0"/>
      <w:divBdr>
        <w:top w:val="none" w:sz="0" w:space="0" w:color="auto"/>
        <w:left w:val="none" w:sz="0" w:space="0" w:color="auto"/>
        <w:bottom w:val="none" w:sz="0" w:space="0" w:color="auto"/>
        <w:right w:val="none" w:sz="0" w:space="0" w:color="auto"/>
      </w:divBdr>
    </w:div>
    <w:div w:id="728268284">
      <w:bodyDiv w:val="1"/>
      <w:marLeft w:val="0"/>
      <w:marRight w:val="0"/>
      <w:marTop w:val="0"/>
      <w:marBottom w:val="0"/>
      <w:divBdr>
        <w:top w:val="none" w:sz="0" w:space="0" w:color="auto"/>
        <w:left w:val="none" w:sz="0" w:space="0" w:color="auto"/>
        <w:bottom w:val="none" w:sz="0" w:space="0" w:color="auto"/>
        <w:right w:val="none" w:sz="0" w:space="0" w:color="auto"/>
      </w:divBdr>
    </w:div>
    <w:div w:id="759065059">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52974630">
      <w:bodyDiv w:val="1"/>
      <w:marLeft w:val="0"/>
      <w:marRight w:val="0"/>
      <w:marTop w:val="0"/>
      <w:marBottom w:val="0"/>
      <w:divBdr>
        <w:top w:val="none" w:sz="0" w:space="0" w:color="auto"/>
        <w:left w:val="none" w:sz="0" w:space="0" w:color="auto"/>
        <w:bottom w:val="none" w:sz="0" w:space="0" w:color="auto"/>
        <w:right w:val="none" w:sz="0" w:space="0" w:color="auto"/>
      </w:divBdr>
    </w:div>
    <w:div w:id="1165166851">
      <w:bodyDiv w:val="1"/>
      <w:marLeft w:val="0"/>
      <w:marRight w:val="0"/>
      <w:marTop w:val="0"/>
      <w:marBottom w:val="0"/>
      <w:divBdr>
        <w:top w:val="none" w:sz="0" w:space="0" w:color="auto"/>
        <w:left w:val="none" w:sz="0" w:space="0" w:color="auto"/>
        <w:bottom w:val="none" w:sz="0" w:space="0" w:color="auto"/>
        <w:right w:val="none" w:sz="0" w:space="0" w:color="auto"/>
      </w:divBdr>
    </w:div>
    <w:div w:id="1362589181">
      <w:bodyDiv w:val="1"/>
      <w:marLeft w:val="0"/>
      <w:marRight w:val="0"/>
      <w:marTop w:val="0"/>
      <w:marBottom w:val="0"/>
      <w:divBdr>
        <w:top w:val="none" w:sz="0" w:space="0" w:color="auto"/>
        <w:left w:val="none" w:sz="0" w:space="0" w:color="auto"/>
        <w:bottom w:val="none" w:sz="0" w:space="0" w:color="auto"/>
        <w:right w:val="none" w:sz="0" w:space="0" w:color="auto"/>
      </w:divBdr>
    </w:div>
    <w:div w:id="1404328352">
      <w:bodyDiv w:val="1"/>
      <w:marLeft w:val="0"/>
      <w:marRight w:val="0"/>
      <w:marTop w:val="0"/>
      <w:marBottom w:val="0"/>
      <w:divBdr>
        <w:top w:val="none" w:sz="0" w:space="0" w:color="auto"/>
        <w:left w:val="none" w:sz="0" w:space="0" w:color="auto"/>
        <w:bottom w:val="none" w:sz="0" w:space="0" w:color="auto"/>
        <w:right w:val="none" w:sz="0" w:space="0" w:color="auto"/>
      </w:divBdr>
    </w:div>
    <w:div w:id="1661497107">
      <w:bodyDiv w:val="1"/>
      <w:marLeft w:val="0"/>
      <w:marRight w:val="0"/>
      <w:marTop w:val="0"/>
      <w:marBottom w:val="0"/>
      <w:divBdr>
        <w:top w:val="none" w:sz="0" w:space="0" w:color="auto"/>
        <w:left w:val="none" w:sz="0" w:space="0" w:color="auto"/>
        <w:bottom w:val="none" w:sz="0" w:space="0" w:color="auto"/>
        <w:right w:val="none" w:sz="0" w:space="0" w:color="auto"/>
      </w:divBdr>
    </w:div>
    <w:div w:id="1868256472">
      <w:bodyDiv w:val="1"/>
      <w:marLeft w:val="0"/>
      <w:marRight w:val="0"/>
      <w:marTop w:val="0"/>
      <w:marBottom w:val="0"/>
      <w:divBdr>
        <w:top w:val="none" w:sz="0" w:space="0" w:color="auto"/>
        <w:left w:val="none" w:sz="0" w:space="0" w:color="auto"/>
        <w:bottom w:val="none" w:sz="0" w:space="0" w:color="auto"/>
        <w:right w:val="none" w:sz="0" w:space="0" w:color="auto"/>
      </w:divBdr>
    </w:div>
    <w:div w:id="1872768604">
      <w:bodyDiv w:val="1"/>
      <w:marLeft w:val="0"/>
      <w:marRight w:val="0"/>
      <w:marTop w:val="0"/>
      <w:marBottom w:val="0"/>
      <w:divBdr>
        <w:top w:val="none" w:sz="0" w:space="0" w:color="auto"/>
        <w:left w:val="none" w:sz="0" w:space="0" w:color="auto"/>
        <w:bottom w:val="none" w:sz="0" w:space="0" w:color="auto"/>
        <w:right w:val="none" w:sz="0" w:space="0" w:color="auto"/>
      </w:divBdr>
    </w:div>
    <w:div w:id="1965577008">
      <w:bodyDiv w:val="1"/>
      <w:marLeft w:val="0"/>
      <w:marRight w:val="0"/>
      <w:marTop w:val="0"/>
      <w:marBottom w:val="0"/>
      <w:divBdr>
        <w:top w:val="none" w:sz="0" w:space="0" w:color="auto"/>
        <w:left w:val="none" w:sz="0" w:space="0" w:color="auto"/>
        <w:bottom w:val="none" w:sz="0" w:space="0" w:color="auto"/>
        <w:right w:val="none" w:sz="0" w:space="0" w:color="auto"/>
      </w:divBdr>
    </w:div>
    <w:div w:id="2021618303">
      <w:bodyDiv w:val="1"/>
      <w:marLeft w:val="0"/>
      <w:marRight w:val="0"/>
      <w:marTop w:val="0"/>
      <w:marBottom w:val="0"/>
      <w:divBdr>
        <w:top w:val="none" w:sz="0" w:space="0" w:color="auto"/>
        <w:left w:val="none" w:sz="0" w:space="0" w:color="auto"/>
        <w:bottom w:val="none" w:sz="0" w:space="0" w:color="auto"/>
        <w:right w:val="none" w:sz="0" w:space="0" w:color="auto"/>
      </w:divBdr>
      <w:divsChild>
        <w:div w:id="1847354952">
          <w:marLeft w:val="0"/>
          <w:marRight w:val="0"/>
          <w:marTop w:val="0"/>
          <w:marBottom w:val="0"/>
          <w:divBdr>
            <w:top w:val="none" w:sz="0" w:space="0" w:color="auto"/>
            <w:left w:val="none" w:sz="0" w:space="0" w:color="auto"/>
            <w:bottom w:val="none" w:sz="0" w:space="0" w:color="auto"/>
            <w:right w:val="none" w:sz="0" w:space="0" w:color="auto"/>
          </w:divBdr>
          <w:divsChild>
            <w:div w:id="861817867">
              <w:marLeft w:val="0"/>
              <w:marRight w:val="0"/>
              <w:marTop w:val="0"/>
              <w:marBottom w:val="0"/>
              <w:divBdr>
                <w:top w:val="none" w:sz="0" w:space="0" w:color="auto"/>
                <w:left w:val="none" w:sz="0" w:space="0" w:color="auto"/>
                <w:bottom w:val="none" w:sz="0" w:space="0" w:color="auto"/>
                <w:right w:val="none" w:sz="0" w:space="0" w:color="auto"/>
              </w:divBdr>
              <w:divsChild>
                <w:div w:id="690692006">
                  <w:marLeft w:val="0"/>
                  <w:marRight w:val="0"/>
                  <w:marTop w:val="0"/>
                  <w:marBottom w:val="0"/>
                  <w:divBdr>
                    <w:top w:val="none" w:sz="0" w:space="0" w:color="auto"/>
                    <w:left w:val="none" w:sz="0" w:space="0" w:color="auto"/>
                    <w:bottom w:val="none" w:sz="0" w:space="0" w:color="auto"/>
                    <w:right w:val="none" w:sz="0" w:space="0" w:color="auto"/>
                  </w:divBdr>
                  <w:divsChild>
                    <w:div w:id="1704014229">
                      <w:marLeft w:val="0"/>
                      <w:marRight w:val="0"/>
                      <w:marTop w:val="0"/>
                      <w:marBottom w:val="0"/>
                      <w:divBdr>
                        <w:top w:val="none" w:sz="0" w:space="0" w:color="auto"/>
                        <w:left w:val="none" w:sz="0" w:space="0" w:color="auto"/>
                        <w:bottom w:val="none" w:sz="0" w:space="0" w:color="auto"/>
                        <w:right w:val="none" w:sz="0" w:space="0" w:color="auto"/>
                      </w:divBdr>
                      <w:divsChild>
                        <w:div w:id="1711495550">
                          <w:marLeft w:val="0"/>
                          <w:marRight w:val="0"/>
                          <w:marTop w:val="0"/>
                          <w:marBottom w:val="0"/>
                          <w:divBdr>
                            <w:top w:val="none" w:sz="0" w:space="0" w:color="auto"/>
                            <w:left w:val="none" w:sz="0" w:space="0" w:color="auto"/>
                            <w:bottom w:val="none" w:sz="0" w:space="0" w:color="auto"/>
                            <w:right w:val="none" w:sz="0" w:space="0" w:color="auto"/>
                          </w:divBdr>
                          <w:divsChild>
                            <w:div w:id="1615139534">
                              <w:marLeft w:val="0"/>
                              <w:marRight w:val="0"/>
                              <w:marTop w:val="0"/>
                              <w:marBottom w:val="0"/>
                              <w:divBdr>
                                <w:top w:val="none" w:sz="0" w:space="0" w:color="auto"/>
                                <w:left w:val="none" w:sz="0" w:space="0" w:color="auto"/>
                                <w:bottom w:val="none" w:sz="0" w:space="0" w:color="auto"/>
                                <w:right w:val="none" w:sz="0" w:space="0" w:color="auto"/>
                              </w:divBdr>
                              <w:divsChild>
                                <w:div w:id="1547251454">
                                  <w:marLeft w:val="0"/>
                                  <w:marRight w:val="0"/>
                                  <w:marTop w:val="0"/>
                                  <w:marBottom w:val="0"/>
                                  <w:divBdr>
                                    <w:top w:val="none" w:sz="0" w:space="0" w:color="auto"/>
                                    <w:left w:val="none" w:sz="0" w:space="0" w:color="auto"/>
                                    <w:bottom w:val="none" w:sz="0" w:space="0" w:color="auto"/>
                                    <w:right w:val="none" w:sz="0" w:space="0" w:color="auto"/>
                                  </w:divBdr>
                                  <w:divsChild>
                                    <w:div w:id="935135799">
                                      <w:marLeft w:val="0"/>
                                      <w:marRight w:val="0"/>
                                      <w:marTop w:val="0"/>
                                      <w:marBottom w:val="0"/>
                                      <w:divBdr>
                                        <w:top w:val="none" w:sz="0" w:space="0" w:color="auto"/>
                                        <w:left w:val="none" w:sz="0" w:space="0" w:color="auto"/>
                                        <w:bottom w:val="none" w:sz="0" w:space="0" w:color="auto"/>
                                        <w:right w:val="none" w:sz="0" w:space="0" w:color="auto"/>
                                      </w:divBdr>
                                      <w:divsChild>
                                        <w:div w:id="4725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int/go/fgai4ee" TargetMode="External"/><Relationship Id="rId18" Type="http://schemas.openxmlformats.org/officeDocument/2006/relationships/hyperlink" Target="https://www.itu.int/en/ITU-T/focusgroups/ai4ee/Pages/default.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tsbfgai4ee@itu.int" TargetMode="External"/><Relationship Id="rId7" Type="http://schemas.openxmlformats.org/officeDocument/2006/relationships/settings" Target="settings.xml"/><Relationship Id="rId12" Type="http://schemas.openxmlformats.org/officeDocument/2006/relationships/hyperlink" Target="mailto:tsbfgai4ee@itu.int" TargetMode="External"/><Relationship Id="rId17" Type="http://schemas.openxmlformats.org/officeDocument/2006/relationships/hyperlink" Target="https://staging.itu.int/en/ITU-T/focusgroups/ai4ee/Documents/FG-AI4EE-I-template-Vienna-Austria-October2019.docx" TargetMode="External"/><Relationship Id="rId25" Type="http://schemas.openxmlformats.org/officeDocument/2006/relationships/hyperlink" Target="https://www.itu.int/en/ties-services/Pages/default.aspx" TargetMode="External"/><Relationship Id="rId2" Type="http://schemas.openxmlformats.org/officeDocument/2006/relationships/customXml" Target="../customXml/item2.xml"/><Relationship Id="rId16" Type="http://schemas.openxmlformats.org/officeDocument/2006/relationships/hyperlink" Target="mailto:tsbfgai4ee@itu.int"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xtranet.itu.int/sites/itu-t/focusgroups/ai4ee/SitePages/Home.aspx" TargetMode="External"/><Relationship Id="rId5" Type="http://schemas.openxmlformats.org/officeDocument/2006/relationships/numbering" Target="numbering.xml"/><Relationship Id="rId15" Type="http://schemas.openxmlformats.org/officeDocument/2006/relationships/hyperlink" Target="https://itu.int/go/fgai4ee" TargetMode="External"/><Relationship Id="rId23" Type="http://schemas.openxmlformats.org/officeDocument/2006/relationships/hyperlink" Target="https://www.itu.int/en/ITU-T/focusgroups/ai4ee/Pages/default.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sbfgai4ee@itu.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rec/T-REC-A.7" TargetMode="External"/><Relationship Id="rId22" Type="http://schemas.openxmlformats.org/officeDocument/2006/relationships/hyperlink" Target="https://staging.itu.int/en/ITU-T/focusgroups/ai4ee/Documents/FG-AI4EE-I-template-Vienna-Austria-October2019.docx"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orbes.com/sites/shermanlee/2018/04/19/bitcoins-energy-consumption-can-power-an-entire-country-but-eos-is-trying-to-fix-that/" TargetMode="External"/><Relationship Id="rId1" Type="http://schemas.openxmlformats.org/officeDocument/2006/relationships/hyperlink" Target="https://www.circle-economy.com/the-fourth-industrial-revolution-and-the-circular-econom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E2011685E409408A5E886FA9500CDE" ma:contentTypeVersion="11" ma:contentTypeDescription="Create a new document." ma:contentTypeScope="" ma:versionID="eae1194e90880425ea08b2d453e4b248">
  <xsd:schema xmlns:xsd="http://www.w3.org/2001/XMLSchema" xmlns:xs="http://www.w3.org/2001/XMLSchema" xmlns:p="http://schemas.microsoft.com/office/2006/metadata/properties" xmlns:ns3="2ace4c6c-08d7-4276-8a58-3192ba9bb551" xmlns:ns4="e7475014-9825-4b19-8012-afbf711054e8" targetNamespace="http://schemas.microsoft.com/office/2006/metadata/properties" ma:root="true" ma:fieldsID="b7f146edb593b2a3a07542f5a3da4c79" ns3:_="" ns4:_="">
    <xsd:import namespace="2ace4c6c-08d7-4276-8a58-3192ba9bb551"/>
    <xsd:import namespace="e7475014-9825-4b19-8012-afbf711054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e4c6c-08d7-4276-8a58-3192ba9bb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475014-9825-4b19-8012-afbf711054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52EEE-92EB-4A31-894B-AAF099469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e4c6c-08d7-4276-8a58-3192ba9bb551"/>
    <ds:schemaRef ds:uri="e7475014-9825-4b19-8012-afbf71105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2F9FA-2378-4B56-8544-01B332FD34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D708C0-59D7-423C-B9A3-6D3C2BB89F9B}">
  <ds:schemaRefs>
    <ds:schemaRef ds:uri="http://schemas.microsoft.com/sharepoint/v3/contenttype/forms"/>
  </ds:schemaRefs>
</ds:datastoreItem>
</file>

<file path=customXml/itemProps4.xml><?xml version="1.0" encoding="utf-8"?>
<ds:datastoreItem xmlns:ds="http://schemas.openxmlformats.org/officeDocument/2006/customXml" ds:itemID="{3911949A-CCF6-4B6A-98F5-4E179A21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CIRCULAR.dotx</Template>
  <TotalTime>126</TotalTime>
  <Pages>8</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 (RC)</dc:creator>
  <cp:keywords/>
  <dc:description>Cir191_FG-AI4EE-rev2.docx  For: _x000d_Document date: _x000d_Saved by ITU51011599 at 12:24:14 on 16.08.19</dc:description>
  <cp:lastModifiedBy>Osvath, Alexandra</cp:lastModifiedBy>
  <cp:revision>12</cp:revision>
  <cp:lastPrinted>2019-08-21T15:31:00Z</cp:lastPrinted>
  <dcterms:created xsi:type="dcterms:W3CDTF">2019-08-21T08:12:00Z</dcterms:created>
  <dcterms:modified xsi:type="dcterms:W3CDTF">2019-08-21T15:32:00Z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Cir191_FG-AI4EE-rev2.docx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0x0101006EE2011685E409408A5E886FA9500CDE</vt:lpwstr>
  </property>
</Properties>
</file>