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D229C5" w14:paraId="6FA727EB" w14:textId="77777777" w:rsidTr="00CB634F">
        <w:trPr>
          <w:cantSplit/>
        </w:trPr>
        <w:tc>
          <w:tcPr>
            <w:tcW w:w="1418" w:type="dxa"/>
            <w:vAlign w:val="center"/>
          </w:tcPr>
          <w:p w14:paraId="4C136181" w14:textId="77777777" w:rsidR="00884D12" w:rsidRPr="00D229C5" w:rsidRDefault="00AC6FC3" w:rsidP="007C5503">
            <w:pPr>
              <w:tabs>
                <w:tab w:val="right" w:pos="8732"/>
              </w:tabs>
              <w:spacing w:before="0"/>
              <w:rPr>
                <w:b/>
                <w:bCs/>
                <w:iCs/>
                <w:color w:val="FFFFFF"/>
                <w:sz w:val="30"/>
                <w:szCs w:val="30"/>
              </w:rPr>
            </w:pPr>
            <w:r w:rsidRPr="00D229C5">
              <w:rPr>
                <w:noProof/>
                <w:lang w:val="en-GB" w:eastAsia="en-GB"/>
              </w:rPr>
              <w:drawing>
                <wp:inline distT="0" distB="0" distL="0" distR="0" wp14:anchorId="0BEFBCCF" wp14:editId="072B1A42">
                  <wp:extent cx="807720" cy="807720"/>
                  <wp:effectExtent l="0" t="0" r="0" b="0"/>
                  <wp:docPr id="6" name="Picture 6"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379" w:type="dxa"/>
            <w:vAlign w:val="center"/>
          </w:tcPr>
          <w:p w14:paraId="1E9074C6" w14:textId="77777777" w:rsidR="00884D12" w:rsidRPr="00D229C5" w:rsidRDefault="00884D12" w:rsidP="007C5503">
            <w:pPr>
              <w:spacing w:before="0"/>
              <w:rPr>
                <w:rFonts w:cs="Times New Roman Bold"/>
                <w:b/>
                <w:bCs/>
                <w:smallCaps/>
                <w:sz w:val="26"/>
                <w:szCs w:val="26"/>
              </w:rPr>
            </w:pPr>
            <w:r w:rsidRPr="00D229C5">
              <w:rPr>
                <w:rFonts w:cs="Times New Roman Bold"/>
                <w:b/>
                <w:bCs/>
                <w:smallCaps/>
                <w:sz w:val="36"/>
                <w:szCs w:val="36"/>
              </w:rPr>
              <w:t>Unión Internacional de Telecomunicaciones</w:t>
            </w:r>
          </w:p>
          <w:p w14:paraId="26DC85E1" w14:textId="77777777" w:rsidR="00884D12" w:rsidRPr="00D229C5" w:rsidRDefault="00884D12" w:rsidP="007C5503">
            <w:pPr>
              <w:tabs>
                <w:tab w:val="right" w:pos="8732"/>
              </w:tabs>
              <w:spacing w:before="0"/>
              <w:rPr>
                <w:b/>
                <w:bCs/>
                <w:iCs/>
                <w:color w:val="FFFFFF"/>
                <w:sz w:val="30"/>
                <w:szCs w:val="30"/>
              </w:rPr>
            </w:pPr>
            <w:r w:rsidRPr="00D229C5">
              <w:rPr>
                <w:rFonts w:cs="Times New Roman Bold"/>
                <w:b/>
                <w:bCs/>
                <w:iCs/>
                <w:smallCaps/>
                <w:sz w:val="28"/>
                <w:szCs w:val="28"/>
              </w:rPr>
              <w:t>Oficina de Normalización de las Telecomunicaciones</w:t>
            </w:r>
          </w:p>
        </w:tc>
        <w:tc>
          <w:tcPr>
            <w:tcW w:w="1984" w:type="dxa"/>
            <w:vAlign w:val="center"/>
          </w:tcPr>
          <w:p w14:paraId="7508DA2F" w14:textId="77777777" w:rsidR="00884D12" w:rsidRPr="00D229C5" w:rsidRDefault="00884D12" w:rsidP="007C5503">
            <w:pPr>
              <w:spacing w:before="0"/>
              <w:jc w:val="right"/>
              <w:rPr>
                <w:color w:val="FFFFFF"/>
                <w:sz w:val="26"/>
                <w:szCs w:val="26"/>
              </w:rPr>
            </w:pPr>
          </w:p>
        </w:tc>
      </w:tr>
    </w:tbl>
    <w:p w14:paraId="7AB36378" w14:textId="77777777" w:rsidR="00C34772" w:rsidRPr="00D229C5" w:rsidRDefault="00C34772" w:rsidP="007C5503">
      <w:pPr>
        <w:tabs>
          <w:tab w:val="clear" w:pos="794"/>
          <w:tab w:val="clear" w:pos="1191"/>
          <w:tab w:val="clear" w:pos="1588"/>
          <w:tab w:val="clear" w:pos="1985"/>
          <w:tab w:val="left" w:pos="4962"/>
        </w:tabs>
      </w:pPr>
    </w:p>
    <w:p w14:paraId="4EFBF199" w14:textId="37F545A2" w:rsidR="00C34772" w:rsidRPr="00D229C5" w:rsidRDefault="00C34772" w:rsidP="007C5503">
      <w:pPr>
        <w:tabs>
          <w:tab w:val="clear" w:pos="794"/>
          <w:tab w:val="clear" w:pos="1191"/>
          <w:tab w:val="clear" w:pos="1588"/>
          <w:tab w:val="clear" w:pos="1985"/>
          <w:tab w:val="left" w:pos="4962"/>
        </w:tabs>
      </w:pPr>
      <w:r w:rsidRPr="00D229C5">
        <w:tab/>
      </w:r>
      <w:r w:rsidR="002F45CD" w:rsidRPr="00D229C5">
        <w:t>Ginebra, 2</w:t>
      </w:r>
      <w:r w:rsidR="00A92AA5" w:rsidRPr="00D229C5">
        <w:t>1</w:t>
      </w:r>
      <w:r w:rsidR="002F45CD" w:rsidRPr="00D229C5">
        <w:t xml:space="preserve"> de agosto de 201</w:t>
      </w:r>
      <w:r w:rsidR="00A92AA5" w:rsidRPr="00D229C5">
        <w:t>9</w:t>
      </w:r>
    </w:p>
    <w:p w14:paraId="32704FED" w14:textId="77777777" w:rsidR="00C34772" w:rsidRPr="00D229C5" w:rsidRDefault="00C34772" w:rsidP="007C5503">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65459C" w:rsidRPr="00D229C5" w14:paraId="1DDB7834" w14:textId="77777777" w:rsidTr="0065459C">
        <w:trPr>
          <w:cantSplit/>
          <w:trHeight w:val="426"/>
        </w:trPr>
        <w:tc>
          <w:tcPr>
            <w:tcW w:w="1126" w:type="dxa"/>
          </w:tcPr>
          <w:p w14:paraId="19B70CAB" w14:textId="77777777" w:rsidR="0065459C" w:rsidRPr="00BC70F5" w:rsidRDefault="0065459C" w:rsidP="007C5503">
            <w:pPr>
              <w:spacing w:before="0"/>
              <w:ind w:left="57"/>
              <w:rPr>
                <w:b/>
                <w:bCs/>
              </w:rPr>
            </w:pPr>
            <w:r w:rsidRPr="00BC70F5">
              <w:rPr>
                <w:b/>
                <w:bCs/>
              </w:rPr>
              <w:t>Ref.:</w:t>
            </w:r>
          </w:p>
          <w:p w14:paraId="1E6DC03C" w14:textId="77777777" w:rsidR="0065459C" w:rsidRPr="00BC70F5" w:rsidRDefault="0065459C" w:rsidP="007C5503">
            <w:pPr>
              <w:spacing w:before="0"/>
              <w:ind w:left="57"/>
              <w:rPr>
                <w:b/>
                <w:bCs/>
              </w:rPr>
            </w:pPr>
          </w:p>
        </w:tc>
        <w:tc>
          <w:tcPr>
            <w:tcW w:w="3751" w:type="dxa"/>
          </w:tcPr>
          <w:p w14:paraId="7374758A" w14:textId="1A5F83AA" w:rsidR="0065459C" w:rsidRPr="00D229C5" w:rsidRDefault="0065459C" w:rsidP="007C5503">
            <w:pPr>
              <w:spacing w:before="0"/>
              <w:ind w:left="57"/>
              <w:rPr>
                <w:b/>
                <w:bCs/>
              </w:rPr>
            </w:pPr>
            <w:r w:rsidRPr="00D229C5">
              <w:rPr>
                <w:b/>
                <w:bCs/>
              </w:rPr>
              <w:t>Circular TSB 1</w:t>
            </w:r>
            <w:r w:rsidR="00A92AA5" w:rsidRPr="00D229C5">
              <w:rPr>
                <w:b/>
                <w:bCs/>
              </w:rPr>
              <w:t>91</w:t>
            </w:r>
          </w:p>
          <w:p w14:paraId="55CE34BB" w14:textId="77777777" w:rsidR="0065459C" w:rsidRPr="00D229C5" w:rsidRDefault="0065459C" w:rsidP="007C5503">
            <w:pPr>
              <w:tabs>
                <w:tab w:val="left" w:pos="4111"/>
              </w:tabs>
              <w:spacing w:before="0"/>
              <w:ind w:left="57"/>
            </w:pPr>
          </w:p>
        </w:tc>
        <w:tc>
          <w:tcPr>
            <w:tcW w:w="5329" w:type="dxa"/>
            <w:vMerge w:val="restart"/>
          </w:tcPr>
          <w:p w14:paraId="62C9BEAD" w14:textId="77777777" w:rsidR="0065459C" w:rsidRPr="00D229C5" w:rsidRDefault="0065459C" w:rsidP="007C5503">
            <w:pPr>
              <w:tabs>
                <w:tab w:val="clear" w:pos="794"/>
                <w:tab w:val="clear" w:pos="1191"/>
                <w:tab w:val="clear" w:pos="1588"/>
                <w:tab w:val="clear" w:pos="1985"/>
                <w:tab w:val="left" w:pos="284"/>
              </w:tabs>
              <w:spacing w:before="0"/>
              <w:ind w:left="284" w:hanging="227"/>
            </w:pPr>
            <w:bookmarkStart w:id="0" w:name="Addressee_S"/>
            <w:bookmarkEnd w:id="0"/>
            <w:r w:rsidRPr="00D229C5">
              <w:t>–</w:t>
            </w:r>
            <w:r w:rsidRPr="00D229C5">
              <w:tab/>
            </w:r>
            <w:r w:rsidR="00741384" w:rsidRPr="00D229C5">
              <w:t xml:space="preserve">A </w:t>
            </w:r>
            <w:r w:rsidRPr="00D229C5">
              <w:t xml:space="preserve">las Administraciones de los Estados Miembros </w:t>
            </w:r>
            <w:r w:rsidRPr="00D229C5">
              <w:br/>
              <w:t>de la Unión;</w:t>
            </w:r>
          </w:p>
          <w:p w14:paraId="70A4DD65" w14:textId="77777777" w:rsidR="0065459C" w:rsidRPr="00D229C5" w:rsidRDefault="0065459C" w:rsidP="007C5503">
            <w:pPr>
              <w:tabs>
                <w:tab w:val="clear" w:pos="794"/>
                <w:tab w:val="clear" w:pos="1191"/>
                <w:tab w:val="clear" w:pos="1588"/>
                <w:tab w:val="clear" w:pos="1985"/>
                <w:tab w:val="left" w:pos="284"/>
              </w:tabs>
              <w:spacing w:before="0"/>
              <w:ind w:left="284" w:hanging="227"/>
            </w:pPr>
            <w:r w:rsidRPr="00D229C5">
              <w:t>–</w:t>
            </w:r>
            <w:r w:rsidRPr="00D229C5">
              <w:tab/>
            </w:r>
            <w:r w:rsidR="00741384" w:rsidRPr="00D229C5">
              <w:t xml:space="preserve">A </w:t>
            </w:r>
            <w:r w:rsidRPr="00D229C5">
              <w:t>los Miembros de Sector del UIT-T;</w:t>
            </w:r>
          </w:p>
          <w:p w14:paraId="7FCE50C4" w14:textId="77777777" w:rsidR="0065459C" w:rsidRPr="00D229C5" w:rsidRDefault="0065459C" w:rsidP="007C5503">
            <w:pPr>
              <w:tabs>
                <w:tab w:val="clear" w:pos="794"/>
                <w:tab w:val="clear" w:pos="1191"/>
                <w:tab w:val="clear" w:pos="1588"/>
                <w:tab w:val="clear" w:pos="1985"/>
                <w:tab w:val="left" w:pos="284"/>
              </w:tabs>
              <w:spacing w:before="0"/>
              <w:ind w:left="284" w:hanging="227"/>
            </w:pPr>
            <w:r w:rsidRPr="00D229C5">
              <w:t>–</w:t>
            </w:r>
            <w:r w:rsidRPr="00D229C5">
              <w:tab/>
            </w:r>
            <w:r w:rsidR="00741384" w:rsidRPr="00D229C5">
              <w:t xml:space="preserve">A </w:t>
            </w:r>
            <w:r w:rsidRPr="00D229C5">
              <w:t>los Asociados del UIT-T;</w:t>
            </w:r>
          </w:p>
          <w:p w14:paraId="28FD70C2" w14:textId="77777777" w:rsidR="0065459C" w:rsidRPr="00D229C5" w:rsidRDefault="0065459C" w:rsidP="007C5503">
            <w:pPr>
              <w:tabs>
                <w:tab w:val="clear" w:pos="794"/>
                <w:tab w:val="clear" w:pos="1191"/>
                <w:tab w:val="clear" w:pos="1588"/>
                <w:tab w:val="clear" w:pos="1985"/>
                <w:tab w:val="left" w:pos="284"/>
              </w:tabs>
              <w:spacing w:before="0"/>
              <w:ind w:left="284" w:hanging="227"/>
            </w:pPr>
            <w:r w:rsidRPr="00D229C5">
              <w:t>–</w:t>
            </w:r>
            <w:r w:rsidRPr="00D229C5">
              <w:tab/>
            </w:r>
            <w:r w:rsidR="00741384" w:rsidRPr="00D229C5">
              <w:t xml:space="preserve">A </w:t>
            </w:r>
            <w:r w:rsidRPr="00D229C5">
              <w:t>las Instituciones Académicas de la UIT</w:t>
            </w:r>
          </w:p>
        </w:tc>
      </w:tr>
      <w:tr w:rsidR="0065459C" w:rsidRPr="00D229C5" w14:paraId="2C4E041F" w14:textId="77777777" w:rsidTr="0065459C">
        <w:trPr>
          <w:cantSplit/>
          <w:trHeight w:val="425"/>
        </w:trPr>
        <w:tc>
          <w:tcPr>
            <w:tcW w:w="1126" w:type="dxa"/>
          </w:tcPr>
          <w:p w14:paraId="079F1F70" w14:textId="77777777" w:rsidR="0065459C" w:rsidRPr="00BC70F5" w:rsidRDefault="0065459C" w:rsidP="007C5503">
            <w:pPr>
              <w:spacing w:before="0"/>
              <w:ind w:left="57"/>
              <w:rPr>
                <w:b/>
                <w:bCs/>
              </w:rPr>
            </w:pPr>
            <w:r w:rsidRPr="00BC70F5">
              <w:rPr>
                <w:b/>
                <w:bCs/>
              </w:rPr>
              <w:t>Tel.:</w:t>
            </w:r>
          </w:p>
        </w:tc>
        <w:tc>
          <w:tcPr>
            <w:tcW w:w="3751" w:type="dxa"/>
          </w:tcPr>
          <w:p w14:paraId="7E85B62B" w14:textId="3EE539C2" w:rsidR="0065459C" w:rsidRPr="00D229C5" w:rsidRDefault="0065459C" w:rsidP="007C5503">
            <w:pPr>
              <w:spacing w:before="0"/>
              <w:ind w:left="57"/>
            </w:pPr>
            <w:r w:rsidRPr="00D229C5">
              <w:t xml:space="preserve">+41 22 730 </w:t>
            </w:r>
            <w:r w:rsidR="00A92AA5" w:rsidRPr="00D229C5">
              <w:t>5356</w:t>
            </w:r>
          </w:p>
        </w:tc>
        <w:tc>
          <w:tcPr>
            <w:tcW w:w="5329" w:type="dxa"/>
            <w:vMerge/>
          </w:tcPr>
          <w:p w14:paraId="6AAA8F72" w14:textId="77777777" w:rsidR="0065459C" w:rsidRPr="00D229C5" w:rsidRDefault="0065459C" w:rsidP="007C5503">
            <w:pPr>
              <w:spacing w:before="0"/>
              <w:ind w:left="57"/>
              <w:rPr>
                <w:b/>
                <w:bCs/>
              </w:rPr>
            </w:pPr>
          </w:p>
        </w:tc>
      </w:tr>
      <w:tr w:rsidR="0065459C" w:rsidRPr="00D229C5" w14:paraId="568E6F8D" w14:textId="77777777" w:rsidTr="0065459C">
        <w:trPr>
          <w:cantSplit/>
          <w:trHeight w:val="425"/>
        </w:trPr>
        <w:tc>
          <w:tcPr>
            <w:tcW w:w="1126" w:type="dxa"/>
          </w:tcPr>
          <w:p w14:paraId="4800EED4" w14:textId="77777777" w:rsidR="0065459C" w:rsidRPr="00BC70F5" w:rsidRDefault="0065459C" w:rsidP="007C5503">
            <w:pPr>
              <w:spacing w:before="0"/>
              <w:ind w:left="57"/>
              <w:rPr>
                <w:b/>
                <w:bCs/>
              </w:rPr>
            </w:pPr>
            <w:r w:rsidRPr="00BC70F5">
              <w:rPr>
                <w:b/>
                <w:bCs/>
              </w:rPr>
              <w:t>Fax:</w:t>
            </w:r>
          </w:p>
        </w:tc>
        <w:tc>
          <w:tcPr>
            <w:tcW w:w="3751" w:type="dxa"/>
          </w:tcPr>
          <w:p w14:paraId="66D7257D" w14:textId="77777777" w:rsidR="0065459C" w:rsidRPr="00D229C5" w:rsidRDefault="0065459C" w:rsidP="007C5503">
            <w:pPr>
              <w:spacing w:before="0"/>
              <w:ind w:left="57"/>
            </w:pPr>
            <w:r w:rsidRPr="00D229C5">
              <w:t>+41 22 730 5853</w:t>
            </w:r>
          </w:p>
        </w:tc>
        <w:tc>
          <w:tcPr>
            <w:tcW w:w="5329" w:type="dxa"/>
            <w:vMerge/>
          </w:tcPr>
          <w:p w14:paraId="66C60A85" w14:textId="77777777" w:rsidR="0065459C" w:rsidRPr="00D229C5" w:rsidRDefault="0065459C" w:rsidP="007C5503">
            <w:pPr>
              <w:spacing w:before="0"/>
              <w:ind w:left="57"/>
              <w:rPr>
                <w:b/>
                <w:bCs/>
              </w:rPr>
            </w:pPr>
          </w:p>
        </w:tc>
      </w:tr>
      <w:tr w:rsidR="00C34772" w:rsidRPr="00D229C5" w14:paraId="7EC9DD26" w14:textId="77777777" w:rsidTr="0065459C">
        <w:trPr>
          <w:cantSplit/>
        </w:trPr>
        <w:tc>
          <w:tcPr>
            <w:tcW w:w="1126" w:type="dxa"/>
          </w:tcPr>
          <w:p w14:paraId="315A48E5" w14:textId="77777777" w:rsidR="00C34772" w:rsidRPr="00BC70F5" w:rsidRDefault="00C34772" w:rsidP="007C5503">
            <w:pPr>
              <w:spacing w:before="0"/>
              <w:ind w:left="57"/>
              <w:rPr>
                <w:b/>
                <w:bCs/>
              </w:rPr>
            </w:pPr>
            <w:r w:rsidRPr="00BC70F5">
              <w:rPr>
                <w:b/>
                <w:bCs/>
              </w:rPr>
              <w:t>Correo-e:</w:t>
            </w:r>
          </w:p>
        </w:tc>
        <w:tc>
          <w:tcPr>
            <w:tcW w:w="3751" w:type="dxa"/>
          </w:tcPr>
          <w:p w14:paraId="6FAB3668" w14:textId="72432CA6" w:rsidR="00C34772" w:rsidRPr="00D229C5" w:rsidRDefault="00D5055F" w:rsidP="007C5503">
            <w:pPr>
              <w:tabs>
                <w:tab w:val="left" w:pos="4111"/>
              </w:tabs>
              <w:spacing w:before="0"/>
              <w:ind w:left="57"/>
            </w:pPr>
            <w:hyperlink r:id="rId9" w:history="1">
              <w:r w:rsidR="00A92AA5" w:rsidRPr="00D229C5">
                <w:rPr>
                  <w:rStyle w:val="Hyperlink"/>
                </w:rPr>
                <w:t>tsbfgai4ee@itu.int</w:t>
              </w:r>
            </w:hyperlink>
          </w:p>
        </w:tc>
        <w:tc>
          <w:tcPr>
            <w:tcW w:w="5329" w:type="dxa"/>
          </w:tcPr>
          <w:p w14:paraId="16531CFC" w14:textId="77777777" w:rsidR="002F45CD" w:rsidRPr="00D229C5" w:rsidRDefault="002F45CD" w:rsidP="007C5503">
            <w:pPr>
              <w:spacing w:before="0"/>
              <w:ind w:left="57"/>
              <w:rPr>
                <w:b/>
                <w:bCs/>
              </w:rPr>
            </w:pPr>
            <w:r w:rsidRPr="00D229C5">
              <w:rPr>
                <w:b/>
                <w:bCs/>
              </w:rPr>
              <w:t>Copia:</w:t>
            </w:r>
          </w:p>
          <w:p w14:paraId="0D8BA3ED" w14:textId="77777777" w:rsidR="002F45CD" w:rsidRPr="00D229C5" w:rsidRDefault="002F45CD" w:rsidP="007C5503">
            <w:pPr>
              <w:tabs>
                <w:tab w:val="clear" w:pos="794"/>
                <w:tab w:val="clear" w:pos="1191"/>
                <w:tab w:val="clear" w:pos="1588"/>
                <w:tab w:val="clear" w:pos="1985"/>
                <w:tab w:val="left" w:pos="284"/>
              </w:tabs>
              <w:spacing w:before="0"/>
              <w:ind w:left="284" w:hanging="227"/>
            </w:pPr>
            <w:r w:rsidRPr="00D229C5">
              <w:t>–</w:t>
            </w:r>
            <w:r w:rsidRPr="00D229C5">
              <w:tab/>
              <w:t>A los Presidentes y Vicepresidentes de las Comisiones de Estudio del UIT-T;</w:t>
            </w:r>
          </w:p>
          <w:p w14:paraId="411C6D4D" w14:textId="4E57F14F" w:rsidR="002F45CD" w:rsidRPr="00D229C5" w:rsidRDefault="002F45CD" w:rsidP="007C5503">
            <w:pPr>
              <w:tabs>
                <w:tab w:val="clear" w:pos="794"/>
                <w:tab w:val="clear" w:pos="1191"/>
                <w:tab w:val="clear" w:pos="1588"/>
                <w:tab w:val="clear" w:pos="1985"/>
                <w:tab w:val="left" w:pos="284"/>
              </w:tabs>
              <w:spacing w:before="0"/>
              <w:ind w:left="284" w:hanging="227"/>
            </w:pPr>
            <w:r w:rsidRPr="00D229C5">
              <w:t>–</w:t>
            </w:r>
            <w:r w:rsidRPr="00D229C5">
              <w:tab/>
            </w:r>
            <w:r w:rsidR="00997850" w:rsidRPr="00D229C5">
              <w:t>Al Director de la Oficina de Desarrollo de las Telecomunicaciones</w:t>
            </w:r>
            <w:r w:rsidR="00660EC9">
              <w:t>;</w:t>
            </w:r>
          </w:p>
          <w:p w14:paraId="7A99F145" w14:textId="5625D492" w:rsidR="00997850" w:rsidRPr="00D229C5" w:rsidRDefault="002F45CD" w:rsidP="00997850">
            <w:pPr>
              <w:tabs>
                <w:tab w:val="clear" w:pos="794"/>
                <w:tab w:val="clear" w:pos="1191"/>
                <w:tab w:val="clear" w:pos="1588"/>
                <w:tab w:val="clear" w:pos="1985"/>
                <w:tab w:val="left" w:pos="284"/>
              </w:tabs>
              <w:spacing w:before="0"/>
              <w:ind w:left="284" w:hanging="227"/>
            </w:pPr>
            <w:r w:rsidRPr="00D229C5">
              <w:t>–</w:t>
            </w:r>
            <w:r w:rsidRPr="00D229C5">
              <w:tab/>
            </w:r>
            <w:r w:rsidR="00997850" w:rsidRPr="00D229C5">
              <w:t>Al Director de la Oficina de Radiocomunicaciones</w:t>
            </w:r>
          </w:p>
        </w:tc>
      </w:tr>
      <w:tr w:rsidR="0065459C" w:rsidRPr="00D229C5" w14:paraId="3204B58F" w14:textId="77777777" w:rsidTr="0065459C">
        <w:trPr>
          <w:cantSplit/>
        </w:trPr>
        <w:tc>
          <w:tcPr>
            <w:tcW w:w="1126" w:type="dxa"/>
          </w:tcPr>
          <w:p w14:paraId="2135E907" w14:textId="77777777" w:rsidR="0065459C" w:rsidRPr="00BC70F5" w:rsidRDefault="0065459C" w:rsidP="007C5503">
            <w:pPr>
              <w:ind w:left="57"/>
              <w:rPr>
                <w:b/>
                <w:bCs/>
              </w:rPr>
            </w:pPr>
            <w:r w:rsidRPr="00BC70F5">
              <w:rPr>
                <w:b/>
                <w:bCs/>
              </w:rPr>
              <w:t>Asunto:</w:t>
            </w:r>
          </w:p>
        </w:tc>
        <w:tc>
          <w:tcPr>
            <w:tcW w:w="9080" w:type="dxa"/>
            <w:gridSpan w:val="2"/>
          </w:tcPr>
          <w:p w14:paraId="2C396C83" w14:textId="1E8657DB" w:rsidR="0065459C" w:rsidRPr="00D229C5" w:rsidRDefault="007C5503" w:rsidP="007C5503">
            <w:pPr>
              <w:ind w:left="57"/>
              <w:rPr>
                <w:b/>
                <w:bCs/>
              </w:rPr>
            </w:pPr>
            <w:r w:rsidRPr="00D229C5">
              <w:rPr>
                <w:b/>
                <w:bCs/>
              </w:rPr>
              <w:t xml:space="preserve">Creación del nuevo </w:t>
            </w:r>
            <w:r w:rsidR="00975292" w:rsidRPr="00D229C5">
              <w:rPr>
                <w:b/>
                <w:bCs/>
              </w:rPr>
              <w:t xml:space="preserve">Grupo Temático del UIT-T sobre "Eficiencia </w:t>
            </w:r>
            <w:r w:rsidRPr="00D229C5">
              <w:rPr>
                <w:b/>
                <w:bCs/>
              </w:rPr>
              <w:t>energética</w:t>
            </w:r>
            <w:r w:rsidR="00975292" w:rsidRPr="00D229C5">
              <w:rPr>
                <w:b/>
                <w:bCs/>
              </w:rPr>
              <w:t xml:space="preserve"> para Inteligencia Artificial y otras tecnologías emergentes" (FG-AI4EE) </w:t>
            </w:r>
            <w:r w:rsidRPr="00D229C5">
              <w:rPr>
                <w:b/>
                <w:bCs/>
              </w:rPr>
              <w:t xml:space="preserve">y su primera reunión, </w:t>
            </w:r>
            <w:r w:rsidR="00975292" w:rsidRPr="00D229C5">
              <w:rPr>
                <w:b/>
                <w:bCs/>
              </w:rPr>
              <w:t xml:space="preserve">Viena </w:t>
            </w:r>
            <w:r w:rsidRPr="00D229C5">
              <w:rPr>
                <w:b/>
                <w:bCs/>
              </w:rPr>
              <w:t>(</w:t>
            </w:r>
            <w:r w:rsidR="00975292" w:rsidRPr="00D229C5">
              <w:rPr>
                <w:b/>
                <w:bCs/>
              </w:rPr>
              <w:t>Austria</w:t>
            </w:r>
            <w:r w:rsidRPr="00D229C5">
              <w:rPr>
                <w:b/>
                <w:bCs/>
              </w:rPr>
              <w:t>)</w:t>
            </w:r>
            <w:r w:rsidR="00975292" w:rsidRPr="00D229C5">
              <w:rPr>
                <w:b/>
                <w:bCs/>
              </w:rPr>
              <w:t xml:space="preserve">, 15 </w:t>
            </w:r>
            <w:r w:rsidRPr="00D229C5">
              <w:rPr>
                <w:b/>
                <w:bCs/>
              </w:rPr>
              <w:t>de octubre de</w:t>
            </w:r>
            <w:r w:rsidR="00975292" w:rsidRPr="00D229C5">
              <w:rPr>
                <w:b/>
                <w:bCs/>
              </w:rPr>
              <w:t xml:space="preserve"> 2019</w:t>
            </w:r>
          </w:p>
        </w:tc>
      </w:tr>
    </w:tbl>
    <w:p w14:paraId="79B5EBDD" w14:textId="4A1A6606" w:rsidR="00C34772" w:rsidRPr="00D229C5" w:rsidRDefault="00C34772" w:rsidP="007C5503">
      <w:pPr>
        <w:pStyle w:val="Normalaftertitle"/>
      </w:pPr>
      <w:r w:rsidRPr="00D229C5">
        <w:t>Muy Señora mía/Muy Señor mío</w:t>
      </w:r>
      <w:r w:rsidR="000848CB">
        <w:t>,</w:t>
      </w:r>
    </w:p>
    <w:p w14:paraId="6A8DFB1A" w14:textId="0EC511C5" w:rsidR="007C5503" w:rsidRPr="00C83668" w:rsidRDefault="002F45CD" w:rsidP="007C5503">
      <w:pPr>
        <w:rPr>
          <w:lang w:val="en-US"/>
        </w:rPr>
      </w:pPr>
      <w:r w:rsidRPr="00D229C5">
        <w:t>1</w:t>
      </w:r>
      <w:r w:rsidRPr="00D229C5">
        <w:tab/>
      </w:r>
      <w:r w:rsidR="007C5503" w:rsidRPr="00D229C5">
        <w:t>En relación con el acuerdo alcanzado por la Comisión de Estudio 5 del UIT-T en su reunión de Ginebra (13-22 de mayo de 2019), me complace anunciar la creación del Grupo Temático del</w:t>
      </w:r>
      <w:r w:rsidR="00BF1771" w:rsidRPr="00D229C5">
        <w:t> </w:t>
      </w:r>
      <w:r w:rsidR="007C5503" w:rsidRPr="00D229C5">
        <w:t xml:space="preserve">UIT-T sobre eficiencia energética para la inteligencia artificial y otras tecnologías emergentes (FG-AI4EE), siendo su Presidente en funciones el Sr. Paolo Gemma (Huawei Technologies Co., Ltd.), China) y sus Vicepresidentes las Sras. </w:t>
      </w:r>
      <w:r w:rsidR="007C5503" w:rsidRPr="00C83668">
        <w:rPr>
          <w:lang w:val="en-US"/>
        </w:rPr>
        <w:t xml:space="preserve">Barbara </w:t>
      </w:r>
      <w:proofErr w:type="spellStart"/>
      <w:r w:rsidR="007C5503" w:rsidRPr="00C83668">
        <w:rPr>
          <w:lang w:val="en-US"/>
        </w:rPr>
        <w:t>Kolm</w:t>
      </w:r>
      <w:proofErr w:type="spellEnd"/>
      <w:r w:rsidR="007C5503" w:rsidRPr="00C83668">
        <w:rPr>
          <w:lang w:val="en-US"/>
        </w:rPr>
        <w:t xml:space="preserve"> (Austrian Economics Center &amp; Austrian National Bank), Kari </w:t>
      </w:r>
      <w:proofErr w:type="spellStart"/>
      <w:r w:rsidR="007C5503" w:rsidRPr="00C83668">
        <w:rPr>
          <w:lang w:val="en-US"/>
        </w:rPr>
        <w:t>Eik</w:t>
      </w:r>
      <w:proofErr w:type="spellEnd"/>
      <w:r w:rsidR="007C5503" w:rsidRPr="00C83668">
        <w:rPr>
          <w:lang w:val="en-US"/>
        </w:rPr>
        <w:t xml:space="preserve"> (Organization for International Economic Relations (</w:t>
      </w:r>
      <w:proofErr w:type="spellStart"/>
      <w:r w:rsidR="007C5503" w:rsidRPr="00C83668">
        <w:rPr>
          <w:lang w:val="en-US"/>
        </w:rPr>
        <w:t>OiER</w:t>
      </w:r>
      <w:proofErr w:type="spellEnd"/>
      <w:r w:rsidR="007C5503" w:rsidRPr="00C83668">
        <w:rPr>
          <w:lang w:val="en-US"/>
        </w:rPr>
        <w:t xml:space="preserve">)), Lucy Lombardi (Digital &amp; Ecosystem Innovation, TIM) y los </w:t>
      </w:r>
      <w:proofErr w:type="spellStart"/>
      <w:r w:rsidR="007C5503" w:rsidRPr="00C83668">
        <w:rPr>
          <w:lang w:val="en-US"/>
        </w:rPr>
        <w:t>Sres</w:t>
      </w:r>
      <w:proofErr w:type="spellEnd"/>
      <w:r w:rsidR="007C5503" w:rsidRPr="00C83668">
        <w:rPr>
          <w:lang w:val="en-US"/>
        </w:rPr>
        <w:t>. Neil Sahota (</w:t>
      </w:r>
      <w:proofErr w:type="spellStart"/>
      <w:r w:rsidR="007C5503" w:rsidRPr="00C83668">
        <w:rPr>
          <w:lang w:val="en-US"/>
        </w:rPr>
        <w:t>Technossus</w:t>
      </w:r>
      <w:proofErr w:type="spellEnd"/>
      <w:r w:rsidR="007C5503" w:rsidRPr="00C83668">
        <w:rPr>
          <w:lang w:val="en-US"/>
        </w:rPr>
        <w:t>, IBM &amp; University of California), Joel Alexander Mills (</w:t>
      </w:r>
      <w:proofErr w:type="spellStart"/>
      <w:r w:rsidR="007C5503" w:rsidRPr="00C83668">
        <w:rPr>
          <w:lang w:val="en-US"/>
        </w:rPr>
        <w:t>AugmentCity</w:t>
      </w:r>
      <w:proofErr w:type="spellEnd"/>
      <w:r w:rsidR="007C5503" w:rsidRPr="00C83668">
        <w:rPr>
          <w:lang w:val="en-US"/>
        </w:rPr>
        <w:t xml:space="preserve"> AS), Mats </w:t>
      </w:r>
      <w:proofErr w:type="spellStart"/>
      <w:r w:rsidR="007C5503" w:rsidRPr="00C83668">
        <w:rPr>
          <w:lang w:val="en-US"/>
        </w:rPr>
        <w:t>Pellbäck</w:t>
      </w:r>
      <w:proofErr w:type="spellEnd"/>
      <w:r w:rsidR="007C5503" w:rsidRPr="00C83668">
        <w:rPr>
          <w:lang w:val="en-US"/>
        </w:rPr>
        <w:t xml:space="preserve"> </w:t>
      </w:r>
      <w:proofErr w:type="spellStart"/>
      <w:r w:rsidR="007C5503" w:rsidRPr="00C83668">
        <w:rPr>
          <w:lang w:val="en-US"/>
        </w:rPr>
        <w:t>Scharp</w:t>
      </w:r>
      <w:proofErr w:type="spellEnd"/>
      <w:r w:rsidR="007C5503" w:rsidRPr="00C83668">
        <w:rPr>
          <w:lang w:val="en-US"/>
        </w:rPr>
        <w:t xml:space="preserve"> (Ericsson) y Peter Ulanga (Universal Communications Service Access Fund, </w:t>
      </w:r>
      <w:proofErr w:type="spellStart"/>
      <w:r w:rsidR="007C5503" w:rsidRPr="00C83668">
        <w:rPr>
          <w:lang w:val="en-US"/>
        </w:rPr>
        <w:t>República</w:t>
      </w:r>
      <w:proofErr w:type="spellEnd"/>
      <w:r w:rsidR="007C5503" w:rsidRPr="00C83668">
        <w:rPr>
          <w:lang w:val="en-US"/>
        </w:rPr>
        <w:t xml:space="preserve"> </w:t>
      </w:r>
      <w:proofErr w:type="spellStart"/>
      <w:r w:rsidR="007C5503" w:rsidRPr="00C83668">
        <w:rPr>
          <w:lang w:val="en-US"/>
        </w:rPr>
        <w:t>Unida</w:t>
      </w:r>
      <w:proofErr w:type="spellEnd"/>
      <w:r w:rsidR="007C5503" w:rsidRPr="00C83668">
        <w:rPr>
          <w:lang w:val="en-US"/>
        </w:rPr>
        <w:t xml:space="preserve"> de </w:t>
      </w:r>
      <w:proofErr w:type="spellStart"/>
      <w:r w:rsidR="00997850" w:rsidRPr="00C83668">
        <w:rPr>
          <w:lang w:val="en-US"/>
        </w:rPr>
        <w:t>Tanzanía</w:t>
      </w:r>
      <w:proofErr w:type="spellEnd"/>
      <w:r w:rsidR="007C5503" w:rsidRPr="00C83668">
        <w:rPr>
          <w:lang w:val="en-US"/>
        </w:rPr>
        <w:t>).</w:t>
      </w:r>
    </w:p>
    <w:p w14:paraId="045080E8" w14:textId="1D640244" w:rsidR="007C5503" w:rsidRPr="00D229C5" w:rsidRDefault="002F45CD" w:rsidP="007C5503">
      <w:r w:rsidRPr="00D229C5">
        <w:t>2</w:t>
      </w:r>
      <w:r w:rsidRPr="00D229C5">
        <w:tab/>
      </w:r>
      <w:r w:rsidR="007C5503" w:rsidRPr="00D229C5">
        <w:t xml:space="preserve">El Grupo Temático </w:t>
      </w:r>
      <w:r w:rsidR="00975292" w:rsidRPr="00D229C5">
        <w:t xml:space="preserve">determinará las necesidades de normalización </w:t>
      </w:r>
      <w:r w:rsidR="007C5503" w:rsidRPr="00D229C5">
        <w:t xml:space="preserve">relacionadas con la eficiencia ambiental de la IA y otras tecnologías emergentes, incluidas la automatización, la realidad aumentada, la realidad virtual, la realidad extendida, la fabricación inteligente, la industria 5.0, la computación en la nube/periférica, la nanotecnología y la 5G, entre otras. El Grupo Temático preparará </w:t>
      </w:r>
      <w:r w:rsidR="00AF6BF4" w:rsidRPr="00D229C5">
        <w:t>informes y especificaciones técnicos</w:t>
      </w:r>
      <w:r w:rsidR="007C5503" w:rsidRPr="00D229C5">
        <w:t xml:space="preserve"> para abordar la eficiencia energética, así como el consumo de agua y energía de las tecnologías emergentes.</w:t>
      </w:r>
    </w:p>
    <w:p w14:paraId="2B064947" w14:textId="5F9DF794" w:rsidR="002F45CD" w:rsidRPr="00D229C5" w:rsidRDefault="002F45CD" w:rsidP="007C5503">
      <w:r w:rsidRPr="00D229C5">
        <w:t>3</w:t>
      </w:r>
      <w:r w:rsidRPr="00D229C5">
        <w:tab/>
      </w:r>
      <w:r w:rsidR="007C5503" w:rsidRPr="00D229C5">
        <w:t xml:space="preserve">La participación en el FG-AI4EE es gratuita y está abierta a todas las personas de </w:t>
      </w:r>
      <w:r w:rsidR="004F3D2A" w:rsidRPr="00D229C5">
        <w:t>los</w:t>
      </w:r>
      <w:r w:rsidR="007C5503" w:rsidRPr="00D229C5">
        <w:t xml:space="preserve"> Estado</w:t>
      </w:r>
      <w:r w:rsidR="004F3D2A" w:rsidRPr="00D229C5">
        <w:t>s</w:t>
      </w:r>
      <w:r w:rsidR="007C5503" w:rsidRPr="00D229C5">
        <w:t xml:space="preserve"> </w:t>
      </w:r>
      <w:r w:rsidR="004F3D2A" w:rsidRPr="00D229C5">
        <w:t>M</w:t>
      </w:r>
      <w:r w:rsidR="007C5503" w:rsidRPr="00D229C5">
        <w:t>iembro</w:t>
      </w:r>
      <w:r w:rsidR="004F3D2A" w:rsidRPr="00D229C5">
        <w:t>s</w:t>
      </w:r>
      <w:r w:rsidR="007C5503" w:rsidRPr="00D229C5">
        <w:t xml:space="preserve">, incluidos los representantes de las industrias verticales, los reguladores, los responsables políticos, los investigadores, los ingenieros, los profesionales, los empresarios, los proveedores de servicios, los proveedores de plataformas, los operadores de redes, las organizaciones internacionales, los foros de la industria y los consorcios, con el fin de compartir conocimientos, prácticas </w:t>
      </w:r>
      <w:r w:rsidR="006519DA" w:rsidRPr="00D229C5">
        <w:t xml:space="preserve">idóneas </w:t>
      </w:r>
      <w:r w:rsidR="007C5503" w:rsidRPr="00D229C5">
        <w:t xml:space="preserve">y lecciones </w:t>
      </w:r>
      <w:r w:rsidR="006519DA" w:rsidRPr="00D229C5">
        <w:t xml:space="preserve">extraídas </w:t>
      </w:r>
      <w:r w:rsidR="007C5503" w:rsidRPr="00D229C5">
        <w:t xml:space="preserve">en este </w:t>
      </w:r>
      <w:r w:rsidR="006519DA" w:rsidRPr="00D229C5">
        <w:t>campo</w:t>
      </w:r>
      <w:r w:rsidR="007C5503" w:rsidRPr="00D229C5">
        <w:t xml:space="preserve">. </w:t>
      </w:r>
      <w:r w:rsidRPr="00D229C5">
        <w:t xml:space="preserve">Se invita a las personas interesadas en recibir noticias e información relativa a este Grupo a que se inscriban en la lista de correo electrónico del </w:t>
      </w:r>
      <w:r w:rsidR="006519DA" w:rsidRPr="00D229C5">
        <w:rPr>
          <w:szCs w:val="24"/>
        </w:rPr>
        <w:t>FG-AI4EE</w:t>
      </w:r>
      <w:r w:rsidRPr="00D229C5">
        <w:t xml:space="preserve">. En la página web del </w:t>
      </w:r>
      <w:r w:rsidR="006519DA" w:rsidRPr="00D229C5">
        <w:rPr>
          <w:szCs w:val="24"/>
        </w:rPr>
        <w:t xml:space="preserve">FG-AI4EE </w:t>
      </w:r>
      <w:r w:rsidRPr="00D229C5">
        <w:t xml:space="preserve">se detalla el proceso de inscripción: </w:t>
      </w:r>
      <w:hyperlink r:id="rId10" w:history="1">
        <w:r w:rsidR="00975292" w:rsidRPr="00D229C5">
          <w:rPr>
            <w:rStyle w:val="Hyperlink"/>
          </w:rPr>
          <w:t>https://itu.int/go/fgai4ee</w:t>
        </w:r>
      </w:hyperlink>
      <w:r w:rsidRPr="00D229C5">
        <w:t>.</w:t>
      </w:r>
    </w:p>
    <w:p w14:paraId="2B36052E" w14:textId="77777777" w:rsidR="002F45CD" w:rsidRPr="00D229C5" w:rsidRDefault="002F45CD" w:rsidP="007C5503">
      <w:r w:rsidRPr="00D229C5">
        <w:lastRenderedPageBreak/>
        <w:t>4</w:t>
      </w:r>
      <w:r w:rsidRPr="00D229C5">
        <w:tab/>
        <w:t xml:space="preserve">El Grupo Temático se ha creado por un periodo de dos años a partir de la fecha de su primera reunión, pero este plazo podrá ampliarse si así lo decide su Comisión tutora. El Grupo funcionará con arreglo a los procedimientos estipulados en la </w:t>
      </w:r>
      <w:hyperlink r:id="rId11" w:history="1">
        <w:r w:rsidRPr="00D229C5">
          <w:rPr>
            <w:rStyle w:val="Hyperlink"/>
            <w:szCs w:val="24"/>
          </w:rPr>
          <w:t>Recomendación UIT</w:t>
        </w:r>
        <w:r w:rsidRPr="00D229C5">
          <w:rPr>
            <w:rStyle w:val="Hyperlink"/>
            <w:szCs w:val="24"/>
          </w:rPr>
          <w:noBreakHyphen/>
          <w:t>T A.7</w:t>
        </w:r>
      </w:hyperlink>
      <w:r w:rsidRPr="00D229C5">
        <w:t xml:space="preserve">, así como al mandato convenido que figura en el </w:t>
      </w:r>
      <w:r w:rsidRPr="00D229C5">
        <w:rPr>
          <w:b/>
          <w:bCs/>
        </w:rPr>
        <w:t>Anexo 1</w:t>
      </w:r>
      <w:r w:rsidRPr="00D229C5">
        <w:t>.</w:t>
      </w:r>
    </w:p>
    <w:p w14:paraId="52718E20" w14:textId="3554A55F" w:rsidR="002F45CD" w:rsidRPr="00D229C5" w:rsidRDefault="002F45CD" w:rsidP="007C5503">
      <w:r w:rsidRPr="00D229C5">
        <w:t>5</w:t>
      </w:r>
      <w:r w:rsidRPr="00D229C5">
        <w:tab/>
        <w:t>La</w:t>
      </w:r>
      <w:r w:rsidRPr="00D229C5">
        <w:rPr>
          <w:b/>
        </w:rPr>
        <w:t xml:space="preserve"> </w:t>
      </w:r>
      <w:r w:rsidRPr="00D229C5">
        <w:rPr>
          <w:b/>
          <w:bCs/>
        </w:rPr>
        <w:t xml:space="preserve">primera reunión del </w:t>
      </w:r>
      <w:r w:rsidR="00975292" w:rsidRPr="00D229C5">
        <w:rPr>
          <w:b/>
          <w:bCs/>
        </w:rPr>
        <w:t xml:space="preserve">FG-AI4EE </w:t>
      </w:r>
      <w:r w:rsidRPr="00D229C5">
        <w:t xml:space="preserve">se celebrará en </w:t>
      </w:r>
      <w:r w:rsidR="00975292" w:rsidRPr="00D229C5">
        <w:t xml:space="preserve">Viena, Austria, </w:t>
      </w:r>
      <w:r w:rsidR="004F3D2A" w:rsidRPr="00D229C5">
        <w:t>el</w:t>
      </w:r>
      <w:r w:rsidR="00975292" w:rsidRPr="00D229C5">
        <w:t xml:space="preserve"> </w:t>
      </w:r>
      <w:r w:rsidR="00975292" w:rsidRPr="00D229C5">
        <w:rPr>
          <w:b/>
        </w:rPr>
        <w:t>15</w:t>
      </w:r>
      <w:r w:rsidR="00997850" w:rsidRPr="00D229C5">
        <w:rPr>
          <w:b/>
        </w:rPr>
        <w:t xml:space="preserve"> de</w:t>
      </w:r>
      <w:r w:rsidR="00975292" w:rsidRPr="00D229C5">
        <w:rPr>
          <w:b/>
        </w:rPr>
        <w:t xml:space="preserve"> </w:t>
      </w:r>
      <w:r w:rsidR="004E0944" w:rsidRPr="00D229C5">
        <w:rPr>
          <w:b/>
        </w:rPr>
        <w:t>o</w:t>
      </w:r>
      <w:r w:rsidR="00997850" w:rsidRPr="00D229C5">
        <w:rPr>
          <w:b/>
        </w:rPr>
        <w:t>ctubre</w:t>
      </w:r>
      <w:r w:rsidR="00975292" w:rsidRPr="00D229C5">
        <w:rPr>
          <w:b/>
        </w:rPr>
        <w:t xml:space="preserve"> </w:t>
      </w:r>
      <w:r w:rsidR="00997850" w:rsidRPr="00D229C5">
        <w:rPr>
          <w:b/>
        </w:rPr>
        <w:t xml:space="preserve">de </w:t>
      </w:r>
      <w:r w:rsidR="00975292" w:rsidRPr="00D229C5">
        <w:rPr>
          <w:b/>
        </w:rPr>
        <w:t>2019</w:t>
      </w:r>
      <w:r w:rsidR="00975292" w:rsidRPr="00D229C5">
        <w:t xml:space="preserve">, </w:t>
      </w:r>
      <w:r w:rsidR="004F3D2A" w:rsidRPr="00D229C5">
        <w:t xml:space="preserve">gracias a la amable </w:t>
      </w:r>
      <w:r w:rsidR="00997850" w:rsidRPr="00D229C5">
        <w:t xml:space="preserve">invitación </w:t>
      </w:r>
      <w:r w:rsidR="000B3A4A" w:rsidRPr="00D229C5">
        <w:t xml:space="preserve">del </w:t>
      </w:r>
      <w:r w:rsidR="004F3D2A" w:rsidRPr="00D229C5">
        <w:t>Ministerio Federal de Transporte, Innovación y Tecnología de la República de Austria</w:t>
      </w:r>
      <w:r w:rsidR="000557B1" w:rsidRPr="00D229C5">
        <w:t>.</w:t>
      </w:r>
      <w:r w:rsidR="00975292" w:rsidRPr="00D229C5">
        <w:t xml:space="preserve"> La información relativa a esta </w:t>
      </w:r>
      <w:r w:rsidR="004F3D2A" w:rsidRPr="00D229C5">
        <w:t>reunión</w:t>
      </w:r>
      <w:r w:rsidR="00975292" w:rsidRPr="00D229C5">
        <w:t xml:space="preserve">, incluido el proyecto de programa y otra información de índole práctica, estará disponible en el sitio web del </w:t>
      </w:r>
      <w:r w:rsidR="004F3D2A" w:rsidRPr="00D229C5">
        <w:rPr>
          <w:szCs w:val="24"/>
        </w:rPr>
        <w:t>FG-AI4EE</w:t>
      </w:r>
      <w:r w:rsidR="00975292" w:rsidRPr="00D229C5">
        <w:t xml:space="preserve">, en la dirección: </w:t>
      </w:r>
      <w:hyperlink r:id="rId12" w:history="1">
        <w:r w:rsidR="00975292" w:rsidRPr="00D229C5">
          <w:rPr>
            <w:rStyle w:val="Hyperlink"/>
          </w:rPr>
          <w:t>https://itu.int/go/fgai4ee</w:t>
        </w:r>
      </w:hyperlink>
      <w:r w:rsidR="00975292" w:rsidRPr="00D229C5">
        <w:t>. Este sitio web se actualizará periódicamente a medida que se disponga de información nueva o modificada. Se ruega a los participantes que consulten regularmente el sitio web.</w:t>
      </w:r>
    </w:p>
    <w:p w14:paraId="69664859" w14:textId="77777777" w:rsidR="002F45CD" w:rsidRPr="00D229C5" w:rsidRDefault="002F45CD" w:rsidP="007C5503">
      <w:pPr>
        <w:keepNext/>
        <w:keepLines/>
      </w:pPr>
      <w:r w:rsidRPr="00D229C5">
        <w:t xml:space="preserve">Los </w:t>
      </w:r>
      <w:r w:rsidRPr="00D229C5">
        <w:rPr>
          <w:b/>
          <w:bCs/>
        </w:rPr>
        <w:t>objetivos</w:t>
      </w:r>
      <w:r w:rsidRPr="00D229C5">
        <w:t xml:space="preserve"> de la primera reunión son, en particular:</w:t>
      </w:r>
    </w:p>
    <w:p w14:paraId="13F27FA9" w14:textId="28E044D5" w:rsidR="002F45CD" w:rsidRPr="00D229C5" w:rsidRDefault="002F45CD" w:rsidP="007C5503">
      <w:pPr>
        <w:pStyle w:val="enumlev1"/>
      </w:pPr>
      <w:r w:rsidRPr="00D229C5">
        <w:t>–</w:t>
      </w:r>
      <w:r w:rsidRPr="00D229C5">
        <w:tab/>
        <w:t xml:space="preserve">celebrar un debate sobre </w:t>
      </w:r>
      <w:r w:rsidR="004F3D2A" w:rsidRPr="00D229C5">
        <w:t xml:space="preserve">la eficiencia ambiental para la Inteligencia Artificial y otras tecnologías emergentes: casos de utilización, requisitos, aplicaciones, interfaces, protocolos, arquitecturas, seguridad, </w:t>
      </w:r>
      <w:proofErr w:type="spellStart"/>
      <w:r w:rsidR="004F3D2A" w:rsidRPr="00D229C5">
        <w:t>etc</w:t>
      </w:r>
      <w:proofErr w:type="spellEnd"/>
      <w:r w:rsidRPr="00D229C5">
        <w:t>;</w:t>
      </w:r>
    </w:p>
    <w:p w14:paraId="59183D80" w14:textId="4DA50372" w:rsidR="002F45CD" w:rsidRPr="00D229C5" w:rsidRDefault="002F45CD" w:rsidP="007C5503">
      <w:pPr>
        <w:pStyle w:val="enumlev1"/>
      </w:pPr>
      <w:r w:rsidRPr="00D229C5">
        <w:t>–</w:t>
      </w:r>
      <w:r w:rsidRPr="00D229C5">
        <w:tab/>
        <w:t xml:space="preserve">elegir el equipo de dirección del </w:t>
      </w:r>
      <w:r w:rsidR="004F3D2A" w:rsidRPr="00D229C5">
        <w:rPr>
          <w:szCs w:val="24"/>
        </w:rPr>
        <w:t>FG-AI4EE</w:t>
      </w:r>
      <w:r w:rsidRPr="00D229C5">
        <w:t>, incluidos vicepresidentes adicionales;</w:t>
      </w:r>
    </w:p>
    <w:p w14:paraId="11FC3FCE" w14:textId="1216064E" w:rsidR="002F45CD" w:rsidRPr="00D229C5" w:rsidRDefault="002F45CD" w:rsidP="007C5503">
      <w:pPr>
        <w:pStyle w:val="enumlev1"/>
      </w:pPr>
      <w:r w:rsidRPr="00D229C5">
        <w:t>–</w:t>
      </w:r>
      <w:r w:rsidRPr="00D229C5">
        <w:tab/>
        <w:t xml:space="preserve">llegar a un acuerdo sobre la estructura de trabajo del </w:t>
      </w:r>
      <w:r w:rsidR="004F3D2A" w:rsidRPr="00D229C5">
        <w:rPr>
          <w:szCs w:val="24"/>
        </w:rPr>
        <w:t>FG-AI4EE</w:t>
      </w:r>
      <w:r w:rsidRPr="00D229C5">
        <w:t>, incluida la creación de Grupos de Trabajo (GT) sobre temas específicos y la elección de sus presidentes;</w:t>
      </w:r>
    </w:p>
    <w:p w14:paraId="15286F52" w14:textId="040D8C3C" w:rsidR="002F45CD" w:rsidRPr="00D229C5" w:rsidRDefault="002F45CD" w:rsidP="007C5503">
      <w:pPr>
        <w:pStyle w:val="enumlev1"/>
      </w:pPr>
      <w:r w:rsidRPr="00D229C5">
        <w:t>–</w:t>
      </w:r>
      <w:r w:rsidRPr="00D229C5">
        <w:tab/>
        <w:t xml:space="preserve">alcanzar un acuerdo sobre los resultados previstos del </w:t>
      </w:r>
      <w:r w:rsidR="004F3D2A" w:rsidRPr="00D229C5">
        <w:rPr>
          <w:szCs w:val="24"/>
        </w:rPr>
        <w:t>FG-AI4EE</w:t>
      </w:r>
      <w:r w:rsidRPr="00D229C5">
        <w:t>, definir el calendario, el ámbito de competencias, designar a los editores y asignar responsabilidades a los distintos</w:t>
      </w:r>
      <w:r w:rsidR="00685D97" w:rsidRPr="00D229C5">
        <w:t> </w:t>
      </w:r>
      <w:r w:rsidRPr="00D229C5">
        <w:t>GT;</w:t>
      </w:r>
    </w:p>
    <w:p w14:paraId="4B435A14" w14:textId="1D161822" w:rsidR="002F45CD" w:rsidRPr="00D229C5" w:rsidRDefault="002F45CD" w:rsidP="007C5503">
      <w:pPr>
        <w:pStyle w:val="enumlev1"/>
      </w:pPr>
      <w:r w:rsidRPr="00D229C5">
        <w:t>–</w:t>
      </w:r>
      <w:r w:rsidRPr="00D229C5">
        <w:tab/>
        <w:t xml:space="preserve">llegar a un acuerdo sobre los métodos de trabajo del </w:t>
      </w:r>
      <w:r w:rsidR="004F3D2A" w:rsidRPr="00D229C5">
        <w:rPr>
          <w:szCs w:val="24"/>
        </w:rPr>
        <w:t>FG-AI4EE</w:t>
      </w:r>
      <w:r w:rsidR="004F3D2A" w:rsidRPr="00D229C5">
        <w:t xml:space="preserve"> </w:t>
      </w:r>
      <w:r w:rsidRPr="00D229C5">
        <w:t>sobre la base de la Recomendación UIT-T A.7;</w:t>
      </w:r>
    </w:p>
    <w:p w14:paraId="71E3A16E" w14:textId="2D631054" w:rsidR="002F45CD" w:rsidRPr="00D229C5" w:rsidRDefault="002F45CD" w:rsidP="007C5503">
      <w:pPr>
        <w:pStyle w:val="enumlev1"/>
      </w:pPr>
      <w:r w:rsidRPr="00D229C5">
        <w:t>–</w:t>
      </w:r>
      <w:r w:rsidRPr="00D229C5">
        <w:tab/>
        <w:t xml:space="preserve">llegar a un acuerdo sobre la planificación de las futuras reuniones del </w:t>
      </w:r>
      <w:r w:rsidR="004F3D2A" w:rsidRPr="00D229C5">
        <w:rPr>
          <w:szCs w:val="24"/>
        </w:rPr>
        <w:t>FG-AI4EE</w:t>
      </w:r>
      <w:r w:rsidRPr="00D229C5">
        <w:t xml:space="preserve">, incluida la frecuencia de </w:t>
      </w:r>
      <w:r w:rsidR="006A29E1" w:rsidRPr="00D229C5">
        <w:t>e</w:t>
      </w:r>
      <w:r w:rsidR="00AF6BF4" w:rsidRPr="00D229C5">
        <w:t>stas</w:t>
      </w:r>
      <w:r w:rsidRPr="00D229C5">
        <w:t>.</w:t>
      </w:r>
    </w:p>
    <w:p w14:paraId="44B4F5F1" w14:textId="412E124B" w:rsidR="002F45CD" w:rsidRPr="00D229C5" w:rsidRDefault="002F45CD" w:rsidP="007C5503">
      <w:r w:rsidRPr="00D229C5">
        <w:t>6</w:t>
      </w:r>
      <w:r w:rsidRPr="00D229C5">
        <w:tab/>
        <w:t xml:space="preserve">De acuerdo con el mandato reproducido en el </w:t>
      </w:r>
      <w:r w:rsidRPr="00D229C5">
        <w:rPr>
          <w:b/>
          <w:bCs/>
        </w:rPr>
        <w:t xml:space="preserve">Anexo 1, </w:t>
      </w:r>
      <w:r w:rsidRPr="00D229C5">
        <w:t xml:space="preserve">los interesados están </w:t>
      </w:r>
      <w:r w:rsidRPr="00D229C5">
        <w:rPr>
          <w:b/>
          <w:bCs/>
        </w:rPr>
        <w:t xml:space="preserve">invitados a presentar sus contribuciones por escrito </w:t>
      </w:r>
      <w:r w:rsidRPr="00D229C5">
        <w:t xml:space="preserve">para la primera reunión del </w:t>
      </w:r>
      <w:r w:rsidR="004F3D2A" w:rsidRPr="00D229C5">
        <w:t xml:space="preserve">Grupo Temático sobre eficiencia energética para la inteligencia artificial y otras tecnologías emergentes </w:t>
      </w:r>
      <w:r w:rsidRPr="00D229C5">
        <w:t>a fin de alcanzar los objetivos señalados anteriormente y, en particular, empezar a diseñar el plan de resultados.</w:t>
      </w:r>
    </w:p>
    <w:p w14:paraId="6D4BF77D" w14:textId="26144278" w:rsidR="002F45CD" w:rsidRPr="00D229C5" w:rsidRDefault="002F45CD" w:rsidP="007C5503">
      <w:r w:rsidRPr="00D229C5">
        <w:t>7</w:t>
      </w:r>
      <w:r w:rsidRPr="00D229C5">
        <w:tab/>
      </w:r>
      <w:r w:rsidR="00685D97" w:rsidRPr="00D229C5">
        <w:t xml:space="preserve">Las </w:t>
      </w:r>
      <w:r w:rsidRPr="00D229C5">
        <w:t>contribuciones por escrito han de transmitirse a la secretaría (</w:t>
      </w:r>
      <w:hyperlink r:id="rId13" w:history="1">
        <w:r w:rsidR="00975292" w:rsidRPr="00D229C5">
          <w:rPr>
            <w:rStyle w:val="Hyperlink"/>
          </w:rPr>
          <w:t>tsbfgai4ee@itu.int</w:t>
        </w:r>
      </w:hyperlink>
      <w:r w:rsidRPr="00D229C5">
        <w:t xml:space="preserve">) en formato electrónico utilizando la </w:t>
      </w:r>
      <w:hyperlink r:id="rId14" w:history="1">
        <w:r w:rsidRPr="00D229C5">
          <w:rPr>
            <w:rStyle w:val="Hyperlink"/>
            <w:szCs w:val="24"/>
          </w:rPr>
          <w:t>plantilla</w:t>
        </w:r>
      </w:hyperlink>
      <w:r w:rsidRPr="00D229C5">
        <w:t xml:space="preserve"> disponible en la página web del </w:t>
      </w:r>
      <w:r w:rsidR="004F3D2A" w:rsidRPr="00D229C5">
        <w:rPr>
          <w:szCs w:val="24"/>
        </w:rPr>
        <w:t>FG-AI4EE</w:t>
      </w:r>
      <w:r w:rsidRPr="00D229C5">
        <w:t xml:space="preserve">. </w:t>
      </w:r>
      <w:r w:rsidRPr="00D229C5">
        <w:rPr>
          <w:b/>
          <w:bCs/>
        </w:rPr>
        <w:t xml:space="preserve">El plazo de presentación de contribuciones </w:t>
      </w:r>
      <w:r w:rsidR="004F3D2A" w:rsidRPr="00D229C5">
        <w:rPr>
          <w:b/>
          <w:bCs/>
        </w:rPr>
        <w:t xml:space="preserve">termina </w:t>
      </w:r>
      <w:r w:rsidRPr="00D229C5">
        <w:rPr>
          <w:b/>
          <w:bCs/>
        </w:rPr>
        <w:t xml:space="preserve">el </w:t>
      </w:r>
      <w:r w:rsidR="00975292" w:rsidRPr="00D229C5">
        <w:rPr>
          <w:b/>
          <w:bCs/>
        </w:rPr>
        <w:t>2</w:t>
      </w:r>
      <w:r w:rsidRPr="00D229C5">
        <w:rPr>
          <w:b/>
          <w:bCs/>
        </w:rPr>
        <w:t xml:space="preserve"> de octubre de 201</w:t>
      </w:r>
      <w:r w:rsidR="00975292" w:rsidRPr="00D229C5">
        <w:rPr>
          <w:b/>
          <w:bCs/>
        </w:rPr>
        <w:t>9</w:t>
      </w:r>
      <w:r w:rsidRPr="00D229C5">
        <w:rPr>
          <w:b/>
          <w:bCs/>
        </w:rPr>
        <w:t>.</w:t>
      </w:r>
    </w:p>
    <w:p w14:paraId="1662678E" w14:textId="7EBFB433" w:rsidR="002F45CD" w:rsidRPr="00D229C5" w:rsidRDefault="002F45CD" w:rsidP="007C5503">
      <w:r w:rsidRPr="00D229C5">
        <w:t>8</w:t>
      </w:r>
      <w:r w:rsidRPr="00D229C5">
        <w:tab/>
        <w:t xml:space="preserve">La reunión </w:t>
      </w:r>
      <w:r w:rsidRPr="00D229C5">
        <w:rPr>
          <w:b/>
          <w:bCs/>
        </w:rPr>
        <w:t>dará comienzo a las</w:t>
      </w:r>
      <w:r w:rsidRPr="00D229C5">
        <w:rPr>
          <w:b/>
        </w:rPr>
        <w:t xml:space="preserve"> 09.30 horas</w:t>
      </w:r>
      <w:r w:rsidRPr="00D229C5">
        <w:t xml:space="preserve"> del primer día y los participantes podrán inscribirse a partir de las 08.30 horas. En el </w:t>
      </w:r>
      <w:r w:rsidRPr="00D229C5">
        <w:rPr>
          <w:b/>
          <w:bCs/>
        </w:rPr>
        <w:t xml:space="preserve">Anexo 2 </w:t>
      </w:r>
      <w:r w:rsidRPr="00D229C5">
        <w:t xml:space="preserve">puede encontrarse información práctica sobre la reunión. El orden del día de la reunión podrá consultarse en la página web del </w:t>
      </w:r>
      <w:r w:rsidR="004F3D2A" w:rsidRPr="00D229C5">
        <w:rPr>
          <w:szCs w:val="24"/>
        </w:rPr>
        <w:t>FG-AI4EE</w:t>
      </w:r>
      <w:r w:rsidR="004F3D2A" w:rsidRPr="00D229C5">
        <w:t xml:space="preserve"> </w:t>
      </w:r>
      <w:r w:rsidRPr="00D229C5">
        <w:t xml:space="preserve">antes de la reunión. Los debates se celebrarán únicamente en inglés y existirá la posibilidad de </w:t>
      </w:r>
      <w:r w:rsidRPr="00D229C5">
        <w:rPr>
          <w:b/>
          <w:bCs/>
        </w:rPr>
        <w:t xml:space="preserve">participar a distancia. </w:t>
      </w:r>
      <w:r w:rsidRPr="00D229C5">
        <w:t xml:space="preserve">En la página web del </w:t>
      </w:r>
      <w:r w:rsidR="004F3D2A" w:rsidRPr="00D229C5">
        <w:rPr>
          <w:szCs w:val="24"/>
        </w:rPr>
        <w:t>FG-AI4EE</w:t>
      </w:r>
      <w:r w:rsidR="004F3D2A" w:rsidRPr="00D229C5">
        <w:t xml:space="preserve"> </w:t>
      </w:r>
      <w:r w:rsidRPr="00D229C5">
        <w:t>podrá encontrarse información pormenorizada al respecto.</w:t>
      </w:r>
    </w:p>
    <w:p w14:paraId="582B70DA" w14:textId="4745AF2F" w:rsidR="002F45CD" w:rsidRPr="00D229C5" w:rsidRDefault="002F45CD" w:rsidP="007C5503">
      <w:r w:rsidRPr="00D229C5">
        <w:t>9</w:t>
      </w:r>
      <w:r w:rsidRPr="00D229C5">
        <w:tab/>
      </w:r>
      <w:r w:rsidR="00975292" w:rsidRPr="00D229C5">
        <w:rPr>
          <w:bCs/>
        </w:rPr>
        <w:t xml:space="preserve">Le recordamos que los ciudadanos procedentes de ciertos países necesitan un visado para entrar y permanecer en Austria. </w:t>
      </w:r>
      <w:r w:rsidR="00975292" w:rsidRPr="00D229C5">
        <w:t xml:space="preserve">En su caso, los visados deben solicitarse antes de la fecha de llegada a </w:t>
      </w:r>
      <w:r w:rsidR="00900909" w:rsidRPr="00D229C5">
        <w:t>Austri</w:t>
      </w:r>
      <w:r w:rsidR="00975292" w:rsidRPr="00D229C5">
        <w:t xml:space="preserve">a en la embajada o el consulado que representa a </w:t>
      </w:r>
      <w:r w:rsidR="00900909" w:rsidRPr="00D229C5">
        <w:t>Austri</w:t>
      </w:r>
      <w:r w:rsidR="00975292" w:rsidRPr="00D229C5">
        <w:t>a en su país o, en su defecto, en la entidad más próxima a su país de partida. Habida cuenta de que los plazos aplicables pueden variar, se recomienda consultar directamente a la representación adecuada y presentar la solicitud con antelación.</w:t>
      </w:r>
    </w:p>
    <w:p w14:paraId="783AC7AA" w14:textId="0670B95B" w:rsidR="00900909" w:rsidRPr="00D229C5" w:rsidRDefault="004F3D2A" w:rsidP="007C5503">
      <w:pPr>
        <w:rPr>
          <w:szCs w:val="24"/>
        </w:rPr>
      </w:pPr>
      <w:r w:rsidRPr="00D229C5">
        <w:rPr>
          <w:szCs w:val="24"/>
        </w:rPr>
        <w:lastRenderedPageBreak/>
        <w:t>En el documento logístico de la reunión que se publicará en el sitio web de la FG-AI4EE se incluirán los detalles y la eventual documentación adicional necesaria para la tramitación de visados</w:t>
      </w:r>
      <w:r w:rsidR="00900909" w:rsidRPr="00D229C5">
        <w:rPr>
          <w:szCs w:val="24"/>
        </w:rPr>
        <w:t>.</w:t>
      </w:r>
    </w:p>
    <w:p w14:paraId="159532DD" w14:textId="15C8DC32" w:rsidR="002F45CD" w:rsidRPr="00D229C5" w:rsidRDefault="002F45CD" w:rsidP="007C5503">
      <w:r w:rsidRPr="00D229C5">
        <w:t>10</w:t>
      </w:r>
      <w:r w:rsidRPr="00D229C5">
        <w:tab/>
      </w:r>
      <w:r w:rsidR="00AF6BF4" w:rsidRPr="00D229C5">
        <w:t>A fin de</w:t>
      </w:r>
      <w:r w:rsidR="00900909" w:rsidRPr="00D229C5">
        <w:t xml:space="preserve"> que el anfitrión pueda adoptar las disposiciones logísticas necesarias, se insta a los participantes a realizar la </w:t>
      </w:r>
      <w:r w:rsidR="00900909" w:rsidRPr="00D229C5">
        <w:rPr>
          <w:b/>
          <w:bCs/>
        </w:rPr>
        <w:t xml:space="preserve">preinscripción en línea </w:t>
      </w:r>
      <w:r w:rsidR="00900909" w:rsidRPr="00D229C5">
        <w:t>a través de la página web del FG-</w:t>
      </w:r>
      <w:r w:rsidR="00786ED4" w:rsidRPr="00D229C5">
        <w:rPr>
          <w:szCs w:val="24"/>
        </w:rPr>
        <w:t>AI4EE</w:t>
      </w:r>
      <w:r w:rsidR="00900909" w:rsidRPr="00D229C5">
        <w:t xml:space="preserve"> lo antes posible y </w:t>
      </w:r>
      <w:r w:rsidR="00900909" w:rsidRPr="00D229C5">
        <w:rPr>
          <w:b/>
          <w:bCs/>
        </w:rPr>
        <w:t xml:space="preserve">a más tardar el </w:t>
      </w:r>
      <w:r w:rsidR="004E5403" w:rsidRPr="00D229C5">
        <w:rPr>
          <w:b/>
          <w:bCs/>
        </w:rPr>
        <w:t>2</w:t>
      </w:r>
      <w:r w:rsidR="00900909" w:rsidRPr="00D229C5">
        <w:rPr>
          <w:b/>
          <w:bCs/>
        </w:rPr>
        <w:t xml:space="preserve"> de octubre de 201</w:t>
      </w:r>
      <w:r w:rsidR="004E5403" w:rsidRPr="00D229C5">
        <w:rPr>
          <w:b/>
          <w:bCs/>
        </w:rPr>
        <w:t>9</w:t>
      </w:r>
      <w:r w:rsidR="00900909" w:rsidRPr="00D229C5">
        <w:t xml:space="preserve">. El número de plazas es limitado y las inscripciones se tramitarán en el orden en que se reciban. La inscripción es obligatoria tanto para participar a distancia como para asistir en persona a la reunión. </w:t>
      </w:r>
      <w:r w:rsidR="004F3D2A" w:rsidRPr="00D229C5">
        <w:t>Le ruego tenga en cuenta que la preinscripción de los participantes en los eventos se llevará a cabo exclusivamente en línea.</w:t>
      </w:r>
    </w:p>
    <w:p w14:paraId="30DFD71D" w14:textId="3B600B83" w:rsidR="002F45CD" w:rsidRPr="00D229C5" w:rsidRDefault="002F45CD" w:rsidP="007C5503">
      <w:pPr>
        <w:rPr>
          <w:b/>
          <w:bCs/>
        </w:rPr>
      </w:pPr>
      <w:r w:rsidRPr="00D229C5">
        <w:rPr>
          <w:b/>
          <w:bCs/>
        </w:rPr>
        <w:t xml:space="preserve">Plazos </w:t>
      </w:r>
      <w:r w:rsidR="004F3D2A" w:rsidRPr="00D229C5">
        <w:rPr>
          <w:b/>
          <w:bCs/>
        </w:rPr>
        <w:t>importantes</w:t>
      </w:r>
      <w:r w:rsidRPr="00D229C5">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6989"/>
      </w:tblGrid>
      <w:tr w:rsidR="002F45CD" w:rsidRPr="00D229C5" w14:paraId="0CF9160E" w14:textId="77777777" w:rsidTr="00786ED4">
        <w:tc>
          <w:tcPr>
            <w:tcW w:w="1371" w:type="pct"/>
            <w:shd w:val="clear" w:color="auto" w:fill="auto"/>
            <w:vAlign w:val="center"/>
          </w:tcPr>
          <w:p w14:paraId="164C36E6" w14:textId="6339CCAC" w:rsidR="002F45CD" w:rsidRPr="00D229C5" w:rsidRDefault="002F45CD" w:rsidP="007C5503">
            <w:pPr>
              <w:pStyle w:val="Tabletext0"/>
            </w:pPr>
            <w:r w:rsidRPr="00D229C5">
              <w:t>1</w:t>
            </w:r>
            <w:r w:rsidR="00900909" w:rsidRPr="00D229C5">
              <w:t>6</w:t>
            </w:r>
            <w:r w:rsidRPr="00D229C5">
              <w:t xml:space="preserve"> de septiembre de 201</w:t>
            </w:r>
            <w:r w:rsidR="00900909" w:rsidRPr="00D229C5">
              <w:t>9</w:t>
            </w:r>
          </w:p>
        </w:tc>
        <w:tc>
          <w:tcPr>
            <w:tcW w:w="3629" w:type="pct"/>
            <w:shd w:val="clear" w:color="auto" w:fill="auto"/>
            <w:vAlign w:val="center"/>
          </w:tcPr>
          <w:p w14:paraId="04E2D459" w14:textId="68FF1BE6" w:rsidR="002F45CD" w:rsidRPr="00D229C5" w:rsidRDefault="000557B1" w:rsidP="007C5503">
            <w:pPr>
              <w:pStyle w:val="Tabletext0"/>
              <w:ind w:left="284" w:hanging="284"/>
            </w:pPr>
            <w:r w:rsidRPr="00D229C5">
              <w:t>–</w:t>
            </w:r>
            <w:r w:rsidRPr="00D229C5">
              <w:tab/>
            </w:r>
            <w:r w:rsidR="002F45CD" w:rsidRPr="00D229C5">
              <w:t xml:space="preserve">Presentación de solicitudes de cartas de apoyo a la obtención de visados </w:t>
            </w:r>
            <w:r w:rsidR="00900909" w:rsidRPr="00D229C5">
              <w:t>(</w:t>
            </w:r>
            <w:r w:rsidR="004F3D2A" w:rsidRPr="00D229C5">
              <w:t>e</w:t>
            </w:r>
            <w:r w:rsidR="004F3D2A" w:rsidRPr="00D229C5">
              <w:rPr>
                <w:rFonts w:ascii="Segoe UI" w:hAnsi="Segoe UI" w:cs="Segoe UI"/>
                <w:color w:val="000000"/>
                <w:sz w:val="20"/>
              </w:rPr>
              <w:t>n el documento relativo a la logística de la reunión se incluirá información más detallada y se indicará la documentación necesaria para la tramitación del visado, en su caso, según se indica en el sitio web del</w:t>
            </w:r>
            <w:r w:rsidR="00786ED4" w:rsidRPr="00D229C5">
              <w:rPr>
                <w:rFonts w:ascii="Segoe UI" w:hAnsi="Segoe UI" w:cs="Segoe UI"/>
                <w:color w:val="000000"/>
                <w:sz w:val="20"/>
              </w:rPr>
              <w:t> </w:t>
            </w:r>
            <w:r w:rsidR="00900909" w:rsidRPr="00D229C5">
              <w:t>FG-AI4EE)</w:t>
            </w:r>
          </w:p>
        </w:tc>
      </w:tr>
      <w:tr w:rsidR="002F45CD" w:rsidRPr="00D229C5" w14:paraId="4EB36848" w14:textId="77777777" w:rsidTr="00786ED4">
        <w:tc>
          <w:tcPr>
            <w:tcW w:w="1371" w:type="pct"/>
            <w:shd w:val="clear" w:color="auto" w:fill="auto"/>
            <w:vAlign w:val="center"/>
          </w:tcPr>
          <w:p w14:paraId="4ACFC1A5" w14:textId="5A97939D" w:rsidR="002F45CD" w:rsidRPr="00D229C5" w:rsidRDefault="00900909" w:rsidP="007C5503">
            <w:pPr>
              <w:pStyle w:val="Tabletext0"/>
            </w:pPr>
            <w:r w:rsidRPr="00D229C5">
              <w:t>2</w:t>
            </w:r>
            <w:r w:rsidR="002F45CD" w:rsidRPr="00D229C5">
              <w:t xml:space="preserve"> de octubre de 201</w:t>
            </w:r>
            <w:r w:rsidRPr="00D229C5">
              <w:t>9</w:t>
            </w:r>
          </w:p>
        </w:tc>
        <w:tc>
          <w:tcPr>
            <w:tcW w:w="3629" w:type="pct"/>
            <w:shd w:val="clear" w:color="auto" w:fill="auto"/>
            <w:vAlign w:val="center"/>
          </w:tcPr>
          <w:p w14:paraId="1F44B760" w14:textId="20716EFF" w:rsidR="002F45CD" w:rsidRPr="00D229C5" w:rsidRDefault="000557B1" w:rsidP="007C5503">
            <w:pPr>
              <w:pStyle w:val="Tabletext0"/>
            </w:pPr>
            <w:r w:rsidRPr="00D229C5">
              <w:t>–</w:t>
            </w:r>
            <w:r w:rsidRPr="00D229C5">
              <w:tab/>
            </w:r>
            <w:r w:rsidR="002F45CD" w:rsidRPr="00D229C5">
              <w:t xml:space="preserve">Preinscripción (en línea a través de la </w:t>
            </w:r>
            <w:hyperlink r:id="rId15" w:history="1">
              <w:r w:rsidR="002F45CD" w:rsidRPr="00D229C5">
                <w:rPr>
                  <w:rStyle w:val="Hyperlink"/>
                  <w:szCs w:val="24"/>
                </w:rPr>
                <w:t xml:space="preserve">página web del </w:t>
              </w:r>
              <w:r w:rsidR="00900909" w:rsidRPr="00D229C5">
                <w:rPr>
                  <w:rStyle w:val="Hyperlink"/>
                  <w:szCs w:val="24"/>
                </w:rPr>
                <w:t>FG-AI4EE</w:t>
              </w:r>
            </w:hyperlink>
            <w:r w:rsidR="002F45CD" w:rsidRPr="00D229C5">
              <w:t>)</w:t>
            </w:r>
          </w:p>
          <w:p w14:paraId="2A3BAEF3" w14:textId="7CC9BEFA" w:rsidR="002F45CD" w:rsidRPr="00D229C5" w:rsidRDefault="000557B1" w:rsidP="007C5503">
            <w:pPr>
              <w:pStyle w:val="Tabletext0"/>
              <w:ind w:left="284" w:hanging="284"/>
            </w:pPr>
            <w:r w:rsidRPr="00D229C5">
              <w:t>–</w:t>
            </w:r>
            <w:r w:rsidRPr="00D229C5">
              <w:tab/>
            </w:r>
            <w:r w:rsidR="002F45CD" w:rsidRPr="00D229C5">
              <w:t xml:space="preserve">Presentación de contribuciones por escrito (por correo-e a </w:t>
            </w:r>
            <w:hyperlink r:id="rId16" w:history="1">
              <w:r w:rsidR="00900909" w:rsidRPr="00D229C5">
                <w:rPr>
                  <w:rStyle w:val="Hyperlink"/>
                </w:rPr>
                <w:t>tsbfgai4ee@itu.int</w:t>
              </w:r>
            </w:hyperlink>
            <w:r w:rsidR="002F45CD" w:rsidRPr="00D229C5">
              <w:t xml:space="preserve">) </w:t>
            </w:r>
          </w:p>
        </w:tc>
      </w:tr>
    </w:tbl>
    <w:p w14:paraId="53B48159" w14:textId="77777777" w:rsidR="002F45CD" w:rsidRPr="00D229C5" w:rsidRDefault="002F45CD" w:rsidP="007C5503">
      <w:pPr>
        <w:pStyle w:val="Normalaftertitle"/>
        <w:spacing w:after="120"/>
      </w:pPr>
      <w:r w:rsidRPr="00D229C5">
        <w:t>Le deseo una reunión agradable y productiva.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gridCol w:w="3094"/>
      </w:tblGrid>
      <w:tr w:rsidR="002F45CD" w:rsidRPr="00D229C5" w14:paraId="45C5B02B" w14:textId="77777777" w:rsidTr="0065459C">
        <w:trPr>
          <w:trHeight w:val="1955"/>
          <w:jc w:val="center"/>
        </w:trPr>
        <w:tc>
          <w:tcPr>
            <w:tcW w:w="6663" w:type="dxa"/>
            <w:tcBorders>
              <w:right w:val="single" w:sz="4" w:space="0" w:color="auto"/>
            </w:tcBorders>
          </w:tcPr>
          <w:p w14:paraId="4ED32273" w14:textId="123325F3" w:rsidR="002F45CD" w:rsidRPr="00D229C5" w:rsidRDefault="002F45CD" w:rsidP="007C5503">
            <w:pPr>
              <w:ind w:left="-105"/>
            </w:pPr>
            <w:r w:rsidRPr="00D229C5">
              <w:t>Atentamente</w:t>
            </w:r>
            <w:r w:rsidR="00BF529B">
              <w:t>,</w:t>
            </w:r>
          </w:p>
          <w:p w14:paraId="14DD7DEE" w14:textId="34F4CCC8" w:rsidR="002F45CD" w:rsidRPr="00D229C5" w:rsidRDefault="002F45CD" w:rsidP="007C5503">
            <w:pPr>
              <w:spacing w:before="360" w:after="360"/>
              <w:rPr>
                <w:i/>
                <w:iCs/>
              </w:rPr>
            </w:pPr>
            <w:bookmarkStart w:id="1" w:name="_GoBack"/>
            <w:r w:rsidRPr="00D229C5">
              <w:rPr>
                <w:i/>
                <w:iCs/>
              </w:rPr>
              <w:t>(firmado)</w:t>
            </w:r>
          </w:p>
          <w:bookmarkEnd w:id="1"/>
          <w:p w14:paraId="1034D95F" w14:textId="23C76EDD" w:rsidR="002F45CD" w:rsidRPr="00D229C5" w:rsidRDefault="002F45CD" w:rsidP="007C5503">
            <w:pPr>
              <w:spacing w:before="0"/>
              <w:ind w:left="-105"/>
            </w:pPr>
            <w:r w:rsidRPr="00D229C5">
              <w:rPr>
                <w:szCs w:val="24"/>
              </w:rPr>
              <w:t>Chaesub Lee</w:t>
            </w:r>
            <w:r w:rsidRPr="00D229C5">
              <w:br/>
            </w:r>
            <w:proofErr w:type="gramStart"/>
            <w:r w:rsidRPr="00D229C5">
              <w:t>Director</w:t>
            </w:r>
            <w:proofErr w:type="gramEnd"/>
            <w:r w:rsidRPr="00D229C5">
              <w:t xml:space="preserve"> de la Oficina de </w:t>
            </w:r>
            <w:r w:rsidRPr="00D229C5">
              <w:br/>
              <w:t>Normalización de las Telecomunicaciones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683D70B" w14:textId="3A3ABFBB" w:rsidR="002F45CD" w:rsidRPr="00D229C5" w:rsidRDefault="00900909" w:rsidP="007C5503">
            <w:pPr>
              <w:spacing w:before="0"/>
              <w:jc w:val="center"/>
            </w:pPr>
            <w:r w:rsidRPr="00D229C5">
              <w:rPr>
                <w:noProof/>
                <w:lang w:val="en-GB" w:eastAsia="en-GB"/>
              </w:rPr>
              <w:drawing>
                <wp:inline distT="0" distB="0" distL="0" distR="0" wp14:anchorId="7ADA3E0D" wp14:editId="218B5FC0">
                  <wp:extent cx="1263650" cy="1263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tag_QRCode_156526089161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83688" cy="1283688"/>
                          </a:xfrm>
                          <a:prstGeom prst="rect">
                            <a:avLst/>
                          </a:prstGeom>
                        </pic:spPr>
                      </pic:pic>
                    </a:graphicData>
                  </a:graphic>
                </wp:inline>
              </w:drawing>
            </w:r>
          </w:p>
          <w:p w14:paraId="1ADDB06B" w14:textId="77777777" w:rsidR="002F45CD" w:rsidRPr="00D229C5" w:rsidRDefault="002F45CD" w:rsidP="007C5503">
            <w:pPr>
              <w:spacing w:before="0"/>
              <w:jc w:val="center"/>
            </w:pPr>
            <w:r w:rsidRPr="00D229C5">
              <w:rPr>
                <w:sz w:val="20"/>
                <w:szCs w:val="16"/>
              </w:rPr>
              <w:t>Información reciente sobre la reunión</w:t>
            </w:r>
          </w:p>
        </w:tc>
      </w:tr>
    </w:tbl>
    <w:p w14:paraId="08FC7D64" w14:textId="77777777" w:rsidR="00BF529B" w:rsidRDefault="00BF529B" w:rsidP="007C5503">
      <w:pPr>
        <w:spacing w:before="600"/>
        <w:rPr>
          <w:b/>
          <w:bCs/>
        </w:rPr>
      </w:pPr>
    </w:p>
    <w:p w14:paraId="59B4AC2D" w14:textId="0E164FB5" w:rsidR="002F45CD" w:rsidRPr="00D229C5" w:rsidRDefault="002F45CD" w:rsidP="007C5503">
      <w:pPr>
        <w:spacing w:before="600"/>
      </w:pPr>
      <w:r w:rsidRPr="00D229C5">
        <w:rPr>
          <w:b/>
          <w:bCs/>
        </w:rPr>
        <w:t>Anexos</w:t>
      </w:r>
      <w:r w:rsidRPr="00D229C5">
        <w:t xml:space="preserve">: </w:t>
      </w:r>
      <w:r w:rsidR="00900909" w:rsidRPr="00D229C5">
        <w:t>2</w:t>
      </w:r>
      <w:r w:rsidRPr="00D229C5">
        <w:br w:type="page"/>
      </w:r>
    </w:p>
    <w:p w14:paraId="033E1BAF" w14:textId="0CE6C3BC" w:rsidR="002F45CD" w:rsidRPr="00D229C5" w:rsidRDefault="002F45CD" w:rsidP="007C5503">
      <w:pPr>
        <w:pStyle w:val="AnnexNotitle"/>
      </w:pPr>
      <w:r w:rsidRPr="00D229C5">
        <w:rPr>
          <w:bCs/>
        </w:rPr>
        <w:lastRenderedPageBreak/>
        <w:t>ANEXO 1</w:t>
      </w:r>
      <w:r w:rsidRPr="00D229C5">
        <w:rPr>
          <w:bCs/>
        </w:rPr>
        <w:br/>
      </w:r>
      <w:r w:rsidRPr="00D229C5">
        <w:rPr>
          <w:bCs/>
        </w:rPr>
        <w:br/>
      </w:r>
      <w:r w:rsidRPr="00D229C5">
        <w:t>M</w:t>
      </w:r>
      <w:r w:rsidR="00536CFF" w:rsidRPr="00D229C5">
        <w:t>andato</w:t>
      </w:r>
      <w:r w:rsidRPr="00D229C5">
        <w:t>:</w:t>
      </w:r>
      <w:r w:rsidRPr="00D229C5">
        <w:br/>
      </w:r>
      <w:r w:rsidR="00900909" w:rsidRPr="00D229C5">
        <w:t xml:space="preserve">Grupo Temático del UIT-T sobre "Eficiencia Energética para Inteligencia </w:t>
      </w:r>
      <w:r w:rsidR="00A3534F" w:rsidRPr="00D229C5">
        <w:br/>
      </w:r>
      <w:r w:rsidR="00900909" w:rsidRPr="00D229C5">
        <w:t>Artificial y otras tecnologías emergentes" (FG-AI4EE)</w:t>
      </w:r>
    </w:p>
    <w:p w14:paraId="00B8BA2E" w14:textId="444D4E56" w:rsidR="002F45CD" w:rsidRPr="00D229C5" w:rsidRDefault="002F45CD" w:rsidP="007C5503">
      <w:pPr>
        <w:jc w:val="center"/>
        <w:rPr>
          <w:rFonts w:eastAsiaTheme="minorEastAsia"/>
          <w:szCs w:val="24"/>
        </w:rPr>
      </w:pPr>
      <w:r w:rsidRPr="00D229C5">
        <w:rPr>
          <w:szCs w:val="24"/>
        </w:rPr>
        <w:t>(Aprobado por la CE</w:t>
      </w:r>
      <w:r w:rsidR="0065459C" w:rsidRPr="00D229C5">
        <w:rPr>
          <w:szCs w:val="24"/>
        </w:rPr>
        <w:t> </w:t>
      </w:r>
      <w:r w:rsidR="00900909" w:rsidRPr="00D229C5">
        <w:rPr>
          <w:szCs w:val="24"/>
        </w:rPr>
        <w:t>5</w:t>
      </w:r>
      <w:r w:rsidRPr="00D229C5">
        <w:rPr>
          <w:szCs w:val="24"/>
        </w:rPr>
        <w:t xml:space="preserve"> del UIT-T el 2</w:t>
      </w:r>
      <w:r w:rsidR="00900909" w:rsidRPr="00D229C5">
        <w:rPr>
          <w:szCs w:val="24"/>
        </w:rPr>
        <w:t>2</w:t>
      </w:r>
      <w:r w:rsidRPr="00D229C5">
        <w:rPr>
          <w:szCs w:val="24"/>
        </w:rPr>
        <w:t xml:space="preserve"> de </w:t>
      </w:r>
      <w:r w:rsidR="00900909" w:rsidRPr="00D229C5">
        <w:rPr>
          <w:szCs w:val="24"/>
        </w:rPr>
        <w:t>mayo</w:t>
      </w:r>
      <w:r w:rsidRPr="00D229C5">
        <w:rPr>
          <w:szCs w:val="24"/>
        </w:rPr>
        <w:t xml:space="preserve"> de 201</w:t>
      </w:r>
      <w:r w:rsidR="00900909" w:rsidRPr="00D229C5">
        <w:rPr>
          <w:szCs w:val="24"/>
        </w:rPr>
        <w:t>9</w:t>
      </w:r>
      <w:r w:rsidRPr="00D229C5">
        <w:rPr>
          <w:szCs w:val="24"/>
        </w:rPr>
        <w:t>)</w:t>
      </w:r>
    </w:p>
    <w:p w14:paraId="49CB33A1" w14:textId="77777777" w:rsidR="002F45CD" w:rsidRPr="00D229C5" w:rsidRDefault="002F45CD" w:rsidP="007C5503">
      <w:pPr>
        <w:pStyle w:val="Heading1"/>
        <w:rPr>
          <w:lang w:eastAsia="zh-CN"/>
        </w:rPr>
      </w:pPr>
      <w:r w:rsidRPr="00D229C5">
        <w:t>1</w:t>
      </w:r>
      <w:r w:rsidR="000557B1" w:rsidRPr="00D229C5">
        <w:tab/>
      </w:r>
      <w:r w:rsidRPr="00D229C5">
        <w:t>Motivación y alcance</w:t>
      </w:r>
    </w:p>
    <w:p w14:paraId="52B621DA" w14:textId="0120D291" w:rsidR="007411D2" w:rsidRPr="00D229C5" w:rsidRDefault="007411D2" w:rsidP="007411D2">
      <w:pPr>
        <w:pStyle w:val="NormalWeb"/>
        <w:rPr>
          <w:rFonts w:asciiTheme="minorHAnsi" w:hAnsiTheme="minorHAnsi" w:cstheme="minorHAnsi"/>
          <w:sz w:val="24"/>
          <w:szCs w:val="24"/>
          <w:lang w:val="es-ES_tradnl"/>
        </w:rPr>
      </w:pPr>
      <w:r w:rsidRPr="00D229C5">
        <w:rPr>
          <w:rFonts w:asciiTheme="minorHAnsi" w:hAnsiTheme="minorHAnsi" w:cstheme="minorHAnsi"/>
          <w:sz w:val="24"/>
          <w:szCs w:val="24"/>
          <w:lang w:val="es-ES_tradnl"/>
        </w:rPr>
        <w:t>La cuarta revolución industrial introduce cambios fundamentales en nuestra forma de vivir, trabajar e interactuar</w:t>
      </w:r>
      <w:r w:rsidRPr="00D229C5">
        <w:rPr>
          <w:rStyle w:val="FootnoteReference"/>
          <w:rFonts w:asciiTheme="minorHAnsi" w:hAnsiTheme="minorHAnsi" w:cstheme="minorHAnsi"/>
          <w:sz w:val="18"/>
          <w:lang w:val="es-ES_tradnl"/>
        </w:rPr>
        <w:footnoteReference w:id="1"/>
      </w:r>
      <w:r w:rsidR="002A7755" w:rsidRPr="00D229C5">
        <w:rPr>
          <w:rFonts w:asciiTheme="minorHAnsi" w:hAnsiTheme="minorHAnsi" w:cstheme="minorHAnsi"/>
          <w:sz w:val="24"/>
          <w:szCs w:val="24"/>
          <w:lang w:val="es-ES_tradnl"/>
        </w:rPr>
        <w:t>.</w:t>
      </w:r>
      <w:r w:rsidRPr="00D229C5">
        <w:rPr>
          <w:rFonts w:asciiTheme="minorHAnsi" w:hAnsiTheme="minorHAnsi" w:cstheme="minorHAnsi"/>
          <w:sz w:val="24"/>
          <w:szCs w:val="24"/>
          <w:lang w:val="es-ES_tradnl"/>
        </w:rPr>
        <w:t xml:space="preserve"> </w:t>
      </w:r>
      <w:r w:rsidR="00BA0B2B" w:rsidRPr="00D229C5">
        <w:rPr>
          <w:rFonts w:asciiTheme="minorHAnsi" w:hAnsiTheme="minorHAnsi" w:cstheme="minorHAnsi"/>
          <w:sz w:val="24"/>
          <w:szCs w:val="24"/>
          <w:lang w:val="es-ES_tradnl"/>
        </w:rPr>
        <w:t>Ofrece</w:t>
      </w:r>
      <w:r w:rsidRPr="00D229C5">
        <w:rPr>
          <w:rFonts w:asciiTheme="minorHAnsi" w:hAnsiTheme="minorHAnsi" w:cstheme="minorHAnsi"/>
          <w:sz w:val="24"/>
          <w:szCs w:val="24"/>
          <w:lang w:val="es-ES_tradnl"/>
        </w:rPr>
        <w:t xml:space="preserve"> toda una nueva gama de oportunidades para la transformación de la sociedad, con </w:t>
      </w:r>
      <w:r w:rsidR="00BA0B2B" w:rsidRPr="00D229C5">
        <w:rPr>
          <w:rFonts w:asciiTheme="minorHAnsi" w:hAnsiTheme="minorHAnsi" w:cstheme="minorHAnsi"/>
          <w:sz w:val="24"/>
          <w:szCs w:val="24"/>
          <w:lang w:val="es-ES_tradnl"/>
        </w:rPr>
        <w:t xml:space="preserve">innovaciones </w:t>
      </w:r>
      <w:r w:rsidRPr="00D229C5">
        <w:rPr>
          <w:rFonts w:asciiTheme="minorHAnsi" w:hAnsiTheme="minorHAnsi" w:cstheme="minorHAnsi"/>
          <w:sz w:val="24"/>
          <w:szCs w:val="24"/>
          <w:lang w:val="es-ES_tradnl"/>
        </w:rPr>
        <w:t xml:space="preserve">en campos como la inteligencia artificial, </w:t>
      </w:r>
      <w:r w:rsidR="00BA0B2B" w:rsidRPr="00D229C5">
        <w:rPr>
          <w:rFonts w:asciiTheme="minorHAnsi" w:hAnsiTheme="minorHAnsi" w:cstheme="minorHAnsi"/>
          <w:sz w:val="24"/>
          <w:szCs w:val="24"/>
          <w:lang w:val="es-ES_tradnl"/>
        </w:rPr>
        <w:t xml:space="preserve">la </w:t>
      </w:r>
      <w:r w:rsidRPr="00D229C5">
        <w:rPr>
          <w:rFonts w:asciiTheme="minorHAnsi" w:hAnsiTheme="minorHAnsi" w:cstheme="minorHAnsi"/>
          <w:sz w:val="24"/>
          <w:szCs w:val="24"/>
          <w:lang w:val="es-ES_tradnl"/>
        </w:rPr>
        <w:t>Internet de las cosas (</w:t>
      </w:r>
      <w:proofErr w:type="spellStart"/>
      <w:r w:rsidRPr="00D229C5">
        <w:rPr>
          <w:rFonts w:asciiTheme="minorHAnsi" w:hAnsiTheme="minorHAnsi" w:cstheme="minorHAnsi"/>
          <w:sz w:val="24"/>
          <w:szCs w:val="24"/>
          <w:lang w:val="es-ES_tradnl"/>
        </w:rPr>
        <w:t>I</w:t>
      </w:r>
      <w:r w:rsidR="00BA0B2B" w:rsidRPr="00D229C5">
        <w:rPr>
          <w:rFonts w:asciiTheme="minorHAnsi" w:hAnsiTheme="minorHAnsi" w:cstheme="minorHAnsi"/>
          <w:sz w:val="24"/>
          <w:szCs w:val="24"/>
          <w:lang w:val="es-ES_tradnl"/>
        </w:rPr>
        <w:t>oT</w:t>
      </w:r>
      <w:proofErr w:type="spellEnd"/>
      <w:r w:rsidRPr="00D229C5">
        <w:rPr>
          <w:rFonts w:asciiTheme="minorHAnsi" w:hAnsiTheme="minorHAnsi" w:cstheme="minorHAnsi"/>
          <w:sz w:val="24"/>
          <w:szCs w:val="24"/>
          <w:lang w:val="es-ES_tradnl"/>
        </w:rPr>
        <w:t xml:space="preserve">), los vehículos autónomos y la cadena de bloques, que </w:t>
      </w:r>
      <w:r w:rsidR="00BA0B2B" w:rsidRPr="00D229C5">
        <w:rPr>
          <w:rFonts w:asciiTheme="minorHAnsi" w:hAnsiTheme="minorHAnsi" w:cstheme="minorHAnsi"/>
          <w:sz w:val="24"/>
          <w:szCs w:val="24"/>
          <w:lang w:val="es-ES_tradnl"/>
        </w:rPr>
        <w:t xml:space="preserve">continúan </w:t>
      </w:r>
      <w:r w:rsidRPr="00D229C5">
        <w:rPr>
          <w:rFonts w:asciiTheme="minorHAnsi" w:hAnsiTheme="minorHAnsi" w:cstheme="minorHAnsi"/>
          <w:sz w:val="24"/>
          <w:szCs w:val="24"/>
          <w:lang w:val="es-ES_tradnl"/>
        </w:rPr>
        <w:t>integran</w:t>
      </w:r>
      <w:r w:rsidR="00BA0B2B" w:rsidRPr="00D229C5">
        <w:rPr>
          <w:rFonts w:asciiTheme="minorHAnsi" w:hAnsiTheme="minorHAnsi" w:cstheme="minorHAnsi"/>
          <w:sz w:val="24"/>
          <w:szCs w:val="24"/>
          <w:lang w:val="es-ES_tradnl"/>
        </w:rPr>
        <w:t>do</w:t>
      </w:r>
      <w:r w:rsidRPr="00D229C5">
        <w:rPr>
          <w:rFonts w:asciiTheme="minorHAnsi" w:hAnsiTheme="minorHAnsi" w:cstheme="minorHAnsi"/>
          <w:sz w:val="24"/>
          <w:szCs w:val="24"/>
          <w:lang w:val="es-ES_tradnl"/>
        </w:rPr>
        <w:t xml:space="preserve"> </w:t>
      </w:r>
      <w:r w:rsidR="00BA0B2B" w:rsidRPr="00D229C5">
        <w:rPr>
          <w:rFonts w:asciiTheme="minorHAnsi" w:hAnsiTheme="minorHAnsi" w:cstheme="minorHAnsi"/>
          <w:sz w:val="24"/>
          <w:szCs w:val="24"/>
          <w:lang w:val="es-ES_tradnl"/>
        </w:rPr>
        <w:t xml:space="preserve">todavía </w:t>
      </w:r>
      <w:r w:rsidRPr="00D229C5">
        <w:rPr>
          <w:rFonts w:asciiTheme="minorHAnsi" w:hAnsiTheme="minorHAnsi" w:cstheme="minorHAnsi"/>
          <w:sz w:val="24"/>
          <w:szCs w:val="24"/>
          <w:lang w:val="es-ES_tradnl"/>
        </w:rPr>
        <w:t>más tecnología en nuestr</w:t>
      </w:r>
      <w:r w:rsidR="00BA0B2B" w:rsidRPr="00D229C5">
        <w:rPr>
          <w:rFonts w:asciiTheme="minorHAnsi" w:hAnsiTheme="minorHAnsi" w:cstheme="minorHAnsi"/>
          <w:sz w:val="24"/>
          <w:szCs w:val="24"/>
          <w:lang w:val="es-ES_tradnl"/>
        </w:rPr>
        <w:t xml:space="preserve">os hábitos </w:t>
      </w:r>
      <w:r w:rsidRPr="00D229C5">
        <w:rPr>
          <w:rFonts w:asciiTheme="minorHAnsi" w:hAnsiTheme="minorHAnsi" w:cstheme="minorHAnsi"/>
          <w:sz w:val="24"/>
          <w:szCs w:val="24"/>
          <w:lang w:val="es-ES_tradnl"/>
        </w:rPr>
        <w:t>cotidia</w:t>
      </w:r>
      <w:r w:rsidR="00BA0B2B" w:rsidRPr="00D229C5">
        <w:rPr>
          <w:rFonts w:asciiTheme="minorHAnsi" w:hAnsiTheme="minorHAnsi" w:cstheme="minorHAnsi"/>
          <w:sz w:val="24"/>
          <w:szCs w:val="24"/>
          <w:lang w:val="es-ES_tradnl"/>
        </w:rPr>
        <w:t xml:space="preserve">nos </w:t>
      </w:r>
      <w:r w:rsidRPr="00D229C5">
        <w:rPr>
          <w:rFonts w:asciiTheme="minorHAnsi" w:hAnsiTheme="minorHAnsi" w:cstheme="minorHAnsi"/>
          <w:sz w:val="24"/>
          <w:szCs w:val="24"/>
          <w:lang w:val="es-ES_tradnl"/>
        </w:rPr>
        <w:t xml:space="preserve">para mejorar </w:t>
      </w:r>
      <w:r w:rsidR="00BA0B2B" w:rsidRPr="00D229C5">
        <w:rPr>
          <w:rFonts w:asciiTheme="minorHAnsi" w:hAnsiTheme="minorHAnsi" w:cstheme="minorHAnsi"/>
          <w:sz w:val="24"/>
          <w:szCs w:val="24"/>
          <w:lang w:val="es-ES_tradnl"/>
        </w:rPr>
        <w:t xml:space="preserve">la vida en </w:t>
      </w:r>
      <w:r w:rsidRPr="00D229C5">
        <w:rPr>
          <w:rFonts w:asciiTheme="minorHAnsi" w:hAnsiTheme="minorHAnsi" w:cstheme="minorHAnsi"/>
          <w:sz w:val="24"/>
          <w:szCs w:val="24"/>
          <w:lang w:val="es-ES_tradnl"/>
        </w:rPr>
        <w:t>sociedad.</w:t>
      </w:r>
    </w:p>
    <w:p w14:paraId="303D918C" w14:textId="39A26D34" w:rsidR="007411D2" w:rsidRPr="00D229C5" w:rsidRDefault="00BA0B2B" w:rsidP="007411D2">
      <w:pPr>
        <w:pStyle w:val="NormalWeb"/>
        <w:rPr>
          <w:rFonts w:asciiTheme="minorHAnsi" w:hAnsiTheme="minorHAnsi" w:cstheme="minorHAnsi"/>
          <w:sz w:val="24"/>
          <w:szCs w:val="24"/>
          <w:lang w:val="es-ES_tradnl"/>
        </w:rPr>
      </w:pPr>
      <w:r w:rsidRPr="00D229C5">
        <w:rPr>
          <w:rFonts w:asciiTheme="minorHAnsi" w:hAnsiTheme="minorHAnsi" w:cstheme="minorHAnsi"/>
          <w:sz w:val="24"/>
          <w:szCs w:val="24"/>
          <w:lang w:val="es-ES_tradnl"/>
        </w:rPr>
        <w:t xml:space="preserve">Resulta fundamental incorporar </w:t>
      </w:r>
      <w:r w:rsidR="007411D2" w:rsidRPr="00D229C5">
        <w:rPr>
          <w:rFonts w:asciiTheme="minorHAnsi" w:hAnsiTheme="minorHAnsi" w:cstheme="minorHAnsi"/>
          <w:sz w:val="24"/>
          <w:szCs w:val="24"/>
          <w:lang w:val="es-ES_tradnl"/>
        </w:rPr>
        <w:t xml:space="preserve">la tecnología digital para </w:t>
      </w:r>
      <w:r w:rsidRPr="00D229C5">
        <w:rPr>
          <w:rFonts w:asciiTheme="minorHAnsi" w:hAnsiTheme="minorHAnsi" w:cstheme="minorHAnsi"/>
          <w:sz w:val="24"/>
          <w:szCs w:val="24"/>
          <w:lang w:val="es-ES_tradnl"/>
        </w:rPr>
        <w:t xml:space="preserve">acelerar </w:t>
      </w:r>
      <w:r w:rsidR="007411D2" w:rsidRPr="00D229C5">
        <w:rPr>
          <w:rFonts w:asciiTheme="minorHAnsi" w:hAnsiTheme="minorHAnsi" w:cstheme="minorHAnsi"/>
          <w:sz w:val="24"/>
          <w:szCs w:val="24"/>
          <w:lang w:val="es-ES_tradnl"/>
        </w:rPr>
        <w:t xml:space="preserve">los cambios sistémicos necesarios </w:t>
      </w:r>
      <w:r w:rsidRPr="00D229C5">
        <w:rPr>
          <w:rFonts w:asciiTheme="minorHAnsi" w:hAnsiTheme="minorHAnsi" w:cstheme="minorHAnsi"/>
          <w:sz w:val="24"/>
          <w:szCs w:val="24"/>
          <w:lang w:val="es-ES_tradnl"/>
        </w:rPr>
        <w:t>en nuestra sociedad en pro de la</w:t>
      </w:r>
      <w:r w:rsidR="007411D2" w:rsidRPr="00D229C5">
        <w:rPr>
          <w:rFonts w:asciiTheme="minorHAnsi" w:hAnsiTheme="minorHAnsi" w:cstheme="minorHAnsi"/>
          <w:sz w:val="24"/>
          <w:szCs w:val="24"/>
          <w:lang w:val="es-ES_tradnl"/>
        </w:rPr>
        <w:t xml:space="preserve"> economía circular. La tecnología </w:t>
      </w:r>
      <w:r w:rsidRPr="00D229C5">
        <w:rPr>
          <w:rFonts w:asciiTheme="minorHAnsi" w:hAnsiTheme="minorHAnsi" w:cstheme="minorHAnsi"/>
          <w:sz w:val="24"/>
          <w:szCs w:val="24"/>
          <w:lang w:val="es-ES_tradnl"/>
        </w:rPr>
        <w:t xml:space="preserve">permitirá aumentar la colaboración y el </w:t>
      </w:r>
      <w:r w:rsidR="007411D2" w:rsidRPr="00D229C5">
        <w:rPr>
          <w:rFonts w:asciiTheme="minorHAnsi" w:hAnsiTheme="minorHAnsi" w:cstheme="minorHAnsi"/>
          <w:sz w:val="24"/>
          <w:szCs w:val="24"/>
          <w:lang w:val="es-ES_tradnl"/>
        </w:rPr>
        <w:t xml:space="preserve">intercambio de conocimientos, </w:t>
      </w:r>
      <w:r w:rsidRPr="00D229C5">
        <w:rPr>
          <w:rFonts w:asciiTheme="minorHAnsi" w:hAnsiTheme="minorHAnsi" w:cstheme="minorHAnsi"/>
          <w:sz w:val="24"/>
          <w:szCs w:val="24"/>
          <w:lang w:val="es-ES_tradnl"/>
        </w:rPr>
        <w:t xml:space="preserve">mejorar la utilización </w:t>
      </w:r>
      <w:r w:rsidR="007411D2" w:rsidRPr="00D229C5">
        <w:rPr>
          <w:rFonts w:asciiTheme="minorHAnsi" w:hAnsiTheme="minorHAnsi" w:cstheme="minorHAnsi"/>
          <w:sz w:val="24"/>
          <w:szCs w:val="24"/>
          <w:lang w:val="es-ES_tradnl"/>
        </w:rPr>
        <w:t xml:space="preserve">de activos y recursos y </w:t>
      </w:r>
      <w:r w:rsidRPr="00D229C5">
        <w:rPr>
          <w:rFonts w:asciiTheme="minorHAnsi" w:hAnsiTheme="minorHAnsi" w:cstheme="minorHAnsi"/>
          <w:sz w:val="24"/>
          <w:szCs w:val="24"/>
          <w:lang w:val="es-ES_tradnl"/>
        </w:rPr>
        <w:t xml:space="preserve">proporcionará </w:t>
      </w:r>
      <w:r w:rsidR="007411D2" w:rsidRPr="00D229C5">
        <w:rPr>
          <w:rFonts w:asciiTheme="minorHAnsi" w:hAnsiTheme="minorHAnsi" w:cstheme="minorHAnsi"/>
          <w:sz w:val="24"/>
          <w:szCs w:val="24"/>
          <w:lang w:val="es-ES_tradnl"/>
        </w:rPr>
        <w:t xml:space="preserve">un mayor bienestar para todos, </w:t>
      </w:r>
      <w:r w:rsidRPr="00D229C5">
        <w:rPr>
          <w:rFonts w:asciiTheme="minorHAnsi" w:hAnsiTheme="minorHAnsi" w:cstheme="minorHAnsi"/>
          <w:sz w:val="24"/>
          <w:szCs w:val="24"/>
          <w:lang w:val="es-ES_tradnl"/>
        </w:rPr>
        <w:t xml:space="preserve">para </w:t>
      </w:r>
      <w:r w:rsidR="007411D2" w:rsidRPr="00D229C5">
        <w:rPr>
          <w:rFonts w:asciiTheme="minorHAnsi" w:hAnsiTheme="minorHAnsi" w:cstheme="minorHAnsi"/>
          <w:sz w:val="24"/>
          <w:szCs w:val="24"/>
          <w:lang w:val="es-ES_tradnl"/>
        </w:rPr>
        <w:t xml:space="preserve">que podamos alcanzar nuestros objetivos </w:t>
      </w:r>
      <w:r w:rsidRPr="00D229C5">
        <w:rPr>
          <w:rFonts w:asciiTheme="minorHAnsi" w:hAnsiTheme="minorHAnsi" w:cstheme="minorHAnsi"/>
          <w:sz w:val="24"/>
          <w:szCs w:val="24"/>
          <w:lang w:val="es-ES_tradnl"/>
        </w:rPr>
        <w:t xml:space="preserve">económicos, ambientales y </w:t>
      </w:r>
      <w:r w:rsidR="007411D2" w:rsidRPr="00D229C5">
        <w:rPr>
          <w:rFonts w:asciiTheme="minorHAnsi" w:hAnsiTheme="minorHAnsi" w:cstheme="minorHAnsi"/>
          <w:sz w:val="24"/>
          <w:szCs w:val="24"/>
          <w:lang w:val="es-ES_tradnl"/>
        </w:rPr>
        <w:t>de desarrollo social.</w:t>
      </w:r>
    </w:p>
    <w:p w14:paraId="45056A2C" w14:textId="144A9946" w:rsidR="007411D2" w:rsidRPr="00D229C5" w:rsidRDefault="007411D2" w:rsidP="007411D2">
      <w:pPr>
        <w:pStyle w:val="NormalWeb"/>
        <w:rPr>
          <w:rFonts w:asciiTheme="minorHAnsi" w:hAnsiTheme="minorHAnsi" w:cstheme="minorHAnsi"/>
          <w:sz w:val="24"/>
          <w:szCs w:val="24"/>
          <w:lang w:val="es-ES_tradnl"/>
        </w:rPr>
      </w:pPr>
      <w:r w:rsidRPr="00D229C5">
        <w:rPr>
          <w:rFonts w:asciiTheme="minorHAnsi" w:hAnsiTheme="minorHAnsi" w:cstheme="minorHAnsi"/>
          <w:sz w:val="24"/>
          <w:szCs w:val="24"/>
          <w:lang w:val="es-ES_tradnl"/>
        </w:rPr>
        <w:t xml:space="preserve">La Inteligencia Artificial (IA) y otras tecnologías emergentes </w:t>
      </w:r>
      <w:r w:rsidR="00471CE1" w:rsidRPr="00D229C5">
        <w:rPr>
          <w:rFonts w:asciiTheme="minorHAnsi" w:hAnsiTheme="minorHAnsi" w:cstheme="minorHAnsi"/>
          <w:sz w:val="24"/>
          <w:szCs w:val="24"/>
          <w:lang w:val="es-ES_tradnl"/>
        </w:rPr>
        <w:t xml:space="preserve">afectan de manera </w:t>
      </w:r>
      <w:r w:rsidRPr="00D229C5">
        <w:rPr>
          <w:rFonts w:asciiTheme="minorHAnsi" w:hAnsiTheme="minorHAnsi" w:cstheme="minorHAnsi"/>
          <w:sz w:val="24"/>
          <w:szCs w:val="24"/>
          <w:lang w:val="es-ES_tradnl"/>
        </w:rPr>
        <w:t>positiva</w:t>
      </w:r>
      <w:r w:rsidR="00471CE1" w:rsidRPr="00D229C5">
        <w:rPr>
          <w:rFonts w:asciiTheme="minorHAnsi" w:hAnsiTheme="minorHAnsi" w:cstheme="minorHAnsi"/>
          <w:sz w:val="24"/>
          <w:szCs w:val="24"/>
          <w:lang w:val="es-ES_tradnl"/>
        </w:rPr>
        <w:t xml:space="preserve"> a</w:t>
      </w:r>
      <w:r w:rsidRPr="00D229C5">
        <w:rPr>
          <w:rFonts w:asciiTheme="minorHAnsi" w:hAnsiTheme="minorHAnsi" w:cstheme="minorHAnsi"/>
          <w:sz w:val="24"/>
          <w:szCs w:val="24"/>
          <w:lang w:val="es-ES_tradnl"/>
        </w:rPr>
        <w:t xml:space="preserve"> nuestra sociedad y nuestra vida cotidiana. Por ejemplo, la IA es la estructura subyacente que impulsa las soluciones y aplicaciones basadas en datos. </w:t>
      </w:r>
      <w:r w:rsidR="00471CE1" w:rsidRPr="00D229C5">
        <w:rPr>
          <w:rFonts w:asciiTheme="minorHAnsi" w:hAnsiTheme="minorHAnsi" w:cstheme="minorHAnsi"/>
          <w:sz w:val="24"/>
          <w:szCs w:val="24"/>
          <w:lang w:val="es-ES_tradnl"/>
        </w:rPr>
        <w:t>Asimismo</w:t>
      </w:r>
      <w:r w:rsidRPr="00D229C5">
        <w:rPr>
          <w:rFonts w:asciiTheme="minorHAnsi" w:hAnsiTheme="minorHAnsi" w:cstheme="minorHAnsi"/>
          <w:sz w:val="24"/>
          <w:szCs w:val="24"/>
          <w:lang w:val="es-ES_tradnl"/>
        </w:rPr>
        <w:t xml:space="preserve">, la naturaleza </w:t>
      </w:r>
      <w:r w:rsidR="00471CE1" w:rsidRPr="00D229C5">
        <w:rPr>
          <w:rFonts w:asciiTheme="minorHAnsi" w:hAnsiTheme="minorHAnsi" w:cstheme="minorHAnsi"/>
          <w:sz w:val="24"/>
          <w:szCs w:val="24"/>
          <w:lang w:val="es-ES_tradnl"/>
        </w:rPr>
        <w:t>inalterable</w:t>
      </w:r>
      <w:r w:rsidRPr="00D229C5">
        <w:rPr>
          <w:rFonts w:asciiTheme="minorHAnsi" w:hAnsiTheme="minorHAnsi" w:cstheme="minorHAnsi"/>
          <w:sz w:val="24"/>
          <w:szCs w:val="24"/>
          <w:lang w:val="es-ES_tradnl"/>
        </w:rPr>
        <w:t xml:space="preserve"> de la cadena de bloques está </w:t>
      </w:r>
      <w:r w:rsidR="00471CE1" w:rsidRPr="00D229C5">
        <w:rPr>
          <w:rFonts w:asciiTheme="minorHAnsi" w:hAnsiTheme="minorHAnsi" w:cstheme="minorHAnsi"/>
          <w:sz w:val="24"/>
          <w:szCs w:val="24"/>
          <w:lang w:val="es-ES_tradnl"/>
        </w:rPr>
        <w:t>consolidando</w:t>
      </w:r>
      <w:r w:rsidRPr="00D229C5">
        <w:rPr>
          <w:rFonts w:asciiTheme="minorHAnsi" w:hAnsiTheme="minorHAnsi" w:cstheme="minorHAnsi"/>
          <w:sz w:val="24"/>
          <w:szCs w:val="24"/>
          <w:lang w:val="es-ES_tradnl"/>
        </w:rPr>
        <w:t xml:space="preserve"> el desarrollo de </w:t>
      </w:r>
      <w:r w:rsidR="00501D34" w:rsidRPr="00D229C5">
        <w:rPr>
          <w:rFonts w:asciiTheme="minorHAnsi" w:hAnsiTheme="minorHAnsi" w:cstheme="minorHAnsi"/>
          <w:sz w:val="24"/>
          <w:szCs w:val="24"/>
          <w:lang w:val="es-ES_tradnl"/>
        </w:rPr>
        <w:t>las criptomonedas</w:t>
      </w:r>
      <w:r w:rsidRPr="00D229C5">
        <w:rPr>
          <w:rFonts w:asciiTheme="minorHAnsi" w:hAnsiTheme="minorHAnsi" w:cstheme="minorHAnsi"/>
          <w:sz w:val="24"/>
          <w:szCs w:val="24"/>
          <w:lang w:val="es-ES_tradnl"/>
        </w:rPr>
        <w:t xml:space="preserve"> y tiene un gran potencial para </w:t>
      </w:r>
      <w:r w:rsidR="00471CE1" w:rsidRPr="00D229C5">
        <w:rPr>
          <w:rFonts w:asciiTheme="minorHAnsi" w:hAnsiTheme="minorHAnsi" w:cstheme="minorHAnsi"/>
          <w:sz w:val="24"/>
          <w:szCs w:val="24"/>
          <w:lang w:val="es-ES_tradnl"/>
        </w:rPr>
        <w:t xml:space="preserve">proteger </w:t>
      </w:r>
      <w:r w:rsidRPr="00D229C5">
        <w:rPr>
          <w:rFonts w:asciiTheme="minorHAnsi" w:hAnsiTheme="minorHAnsi" w:cstheme="minorHAnsi"/>
          <w:sz w:val="24"/>
          <w:szCs w:val="24"/>
          <w:lang w:val="es-ES_tradnl"/>
        </w:rPr>
        <w:t xml:space="preserve">un alto volumen de dispositivos sensoriales. Otras tecnologías emergentes </w:t>
      </w:r>
      <w:r w:rsidR="00471CE1" w:rsidRPr="00D229C5">
        <w:rPr>
          <w:rFonts w:asciiTheme="minorHAnsi" w:hAnsiTheme="minorHAnsi" w:cstheme="minorHAnsi"/>
          <w:sz w:val="24"/>
          <w:szCs w:val="24"/>
          <w:lang w:val="es-ES_tradnl"/>
        </w:rPr>
        <w:t>son</w:t>
      </w:r>
      <w:r w:rsidRPr="00D229C5">
        <w:rPr>
          <w:rFonts w:asciiTheme="minorHAnsi" w:hAnsiTheme="minorHAnsi" w:cstheme="minorHAnsi"/>
          <w:sz w:val="24"/>
          <w:szCs w:val="24"/>
          <w:lang w:val="es-ES_tradnl"/>
        </w:rPr>
        <w:t xml:space="preserve">: </w:t>
      </w:r>
      <w:r w:rsidR="00471CE1" w:rsidRPr="00D229C5">
        <w:rPr>
          <w:rFonts w:asciiTheme="minorHAnsi" w:hAnsiTheme="minorHAnsi" w:cstheme="minorHAnsi"/>
          <w:sz w:val="24"/>
          <w:szCs w:val="24"/>
          <w:lang w:val="es-ES_tradnl"/>
        </w:rPr>
        <w:t xml:space="preserve">la </w:t>
      </w:r>
      <w:r w:rsidRPr="00D229C5">
        <w:rPr>
          <w:rFonts w:asciiTheme="minorHAnsi" w:hAnsiTheme="minorHAnsi" w:cstheme="minorHAnsi"/>
          <w:sz w:val="24"/>
          <w:szCs w:val="24"/>
          <w:lang w:val="es-ES_tradnl"/>
        </w:rPr>
        <w:t xml:space="preserve">automatización, </w:t>
      </w:r>
      <w:r w:rsidR="00471CE1" w:rsidRPr="00D229C5">
        <w:rPr>
          <w:rFonts w:asciiTheme="minorHAnsi" w:hAnsiTheme="minorHAnsi" w:cstheme="minorHAnsi"/>
          <w:sz w:val="24"/>
          <w:szCs w:val="24"/>
          <w:lang w:val="es-ES_tradnl"/>
        </w:rPr>
        <w:t xml:space="preserve">la </w:t>
      </w:r>
      <w:r w:rsidRPr="00D229C5">
        <w:rPr>
          <w:rFonts w:asciiTheme="minorHAnsi" w:hAnsiTheme="minorHAnsi" w:cstheme="minorHAnsi"/>
          <w:sz w:val="24"/>
          <w:szCs w:val="24"/>
          <w:lang w:val="es-ES_tradnl"/>
        </w:rPr>
        <w:t xml:space="preserve">realidad aumentada, </w:t>
      </w:r>
      <w:r w:rsidR="00471CE1" w:rsidRPr="00D229C5">
        <w:rPr>
          <w:rFonts w:asciiTheme="minorHAnsi" w:hAnsiTheme="minorHAnsi" w:cstheme="minorHAnsi"/>
          <w:sz w:val="24"/>
          <w:szCs w:val="24"/>
          <w:lang w:val="es-ES_tradnl"/>
        </w:rPr>
        <w:t xml:space="preserve">la </w:t>
      </w:r>
      <w:r w:rsidRPr="00D229C5">
        <w:rPr>
          <w:rFonts w:asciiTheme="minorHAnsi" w:hAnsiTheme="minorHAnsi" w:cstheme="minorHAnsi"/>
          <w:sz w:val="24"/>
          <w:szCs w:val="24"/>
          <w:lang w:val="es-ES_tradnl"/>
        </w:rPr>
        <w:t xml:space="preserve">realidad virtual, </w:t>
      </w:r>
      <w:r w:rsidR="00471CE1" w:rsidRPr="00D229C5">
        <w:rPr>
          <w:rFonts w:asciiTheme="minorHAnsi" w:hAnsiTheme="minorHAnsi" w:cstheme="minorHAnsi"/>
          <w:sz w:val="24"/>
          <w:szCs w:val="24"/>
          <w:lang w:val="es-ES_tradnl"/>
        </w:rPr>
        <w:t xml:space="preserve">la </w:t>
      </w:r>
      <w:r w:rsidRPr="00D229C5">
        <w:rPr>
          <w:rFonts w:asciiTheme="minorHAnsi" w:hAnsiTheme="minorHAnsi" w:cstheme="minorHAnsi"/>
          <w:sz w:val="24"/>
          <w:szCs w:val="24"/>
          <w:lang w:val="es-ES_tradnl"/>
        </w:rPr>
        <w:t xml:space="preserve">realidad extendida, </w:t>
      </w:r>
      <w:r w:rsidR="00471CE1" w:rsidRPr="00D229C5">
        <w:rPr>
          <w:rFonts w:asciiTheme="minorHAnsi" w:hAnsiTheme="minorHAnsi" w:cstheme="minorHAnsi"/>
          <w:sz w:val="24"/>
          <w:szCs w:val="24"/>
          <w:lang w:val="es-ES_tradnl"/>
        </w:rPr>
        <w:t xml:space="preserve">la </w:t>
      </w:r>
      <w:r w:rsidRPr="00D229C5">
        <w:rPr>
          <w:rFonts w:asciiTheme="minorHAnsi" w:hAnsiTheme="minorHAnsi" w:cstheme="minorHAnsi"/>
          <w:sz w:val="24"/>
          <w:szCs w:val="24"/>
          <w:lang w:val="es-ES_tradnl"/>
        </w:rPr>
        <w:t xml:space="preserve">5G, </w:t>
      </w:r>
      <w:r w:rsidR="00471CE1" w:rsidRPr="00D229C5">
        <w:rPr>
          <w:rFonts w:asciiTheme="minorHAnsi" w:hAnsiTheme="minorHAnsi" w:cstheme="minorHAnsi"/>
          <w:sz w:val="24"/>
          <w:szCs w:val="24"/>
          <w:lang w:val="es-ES_tradnl"/>
        </w:rPr>
        <w:t xml:space="preserve">la </w:t>
      </w:r>
      <w:r w:rsidRPr="00D229C5">
        <w:rPr>
          <w:rFonts w:asciiTheme="minorHAnsi" w:hAnsiTheme="minorHAnsi" w:cstheme="minorHAnsi"/>
          <w:sz w:val="24"/>
          <w:szCs w:val="24"/>
          <w:lang w:val="es-ES_tradnl"/>
        </w:rPr>
        <w:t xml:space="preserve">fabricación inteligente, </w:t>
      </w:r>
      <w:r w:rsidR="00471CE1" w:rsidRPr="00D229C5">
        <w:rPr>
          <w:rFonts w:asciiTheme="minorHAnsi" w:hAnsiTheme="minorHAnsi" w:cstheme="minorHAnsi"/>
          <w:sz w:val="24"/>
          <w:szCs w:val="24"/>
          <w:lang w:val="es-ES_tradnl"/>
        </w:rPr>
        <w:t xml:space="preserve">la </w:t>
      </w:r>
      <w:r w:rsidRPr="00D229C5">
        <w:rPr>
          <w:rFonts w:asciiTheme="minorHAnsi" w:hAnsiTheme="minorHAnsi" w:cstheme="minorHAnsi"/>
          <w:sz w:val="24"/>
          <w:szCs w:val="24"/>
          <w:lang w:val="es-ES_tradnl"/>
        </w:rPr>
        <w:t>industria 5.0</w:t>
      </w:r>
      <w:r w:rsidRPr="00D229C5">
        <w:rPr>
          <w:rStyle w:val="FootnoteReference"/>
          <w:rFonts w:asciiTheme="minorHAnsi" w:hAnsiTheme="minorHAnsi" w:cstheme="minorHAnsi"/>
          <w:sz w:val="18"/>
          <w:lang w:val="es-ES_tradnl"/>
        </w:rPr>
        <w:footnoteReference w:id="2"/>
      </w:r>
      <w:r w:rsidRPr="00D229C5">
        <w:rPr>
          <w:rFonts w:asciiTheme="minorHAnsi" w:hAnsiTheme="minorHAnsi" w:cstheme="minorHAnsi"/>
          <w:sz w:val="24"/>
          <w:szCs w:val="24"/>
          <w:lang w:val="es-ES_tradnl"/>
        </w:rPr>
        <w:t xml:space="preserve">, </w:t>
      </w:r>
      <w:r w:rsidR="00471CE1" w:rsidRPr="00D229C5">
        <w:rPr>
          <w:rFonts w:asciiTheme="minorHAnsi" w:hAnsiTheme="minorHAnsi" w:cstheme="minorHAnsi"/>
          <w:sz w:val="24"/>
          <w:szCs w:val="24"/>
          <w:lang w:val="es-ES_tradnl"/>
        </w:rPr>
        <w:t>la computación en la nube</w:t>
      </w:r>
      <w:r w:rsidRPr="00D229C5">
        <w:rPr>
          <w:rFonts w:asciiTheme="minorHAnsi" w:hAnsiTheme="minorHAnsi" w:cstheme="minorHAnsi"/>
          <w:sz w:val="24"/>
          <w:szCs w:val="24"/>
          <w:lang w:val="es-ES_tradnl"/>
        </w:rPr>
        <w:t>/</w:t>
      </w:r>
      <w:r w:rsidR="00471CE1" w:rsidRPr="00D229C5">
        <w:rPr>
          <w:rFonts w:asciiTheme="minorHAnsi" w:hAnsiTheme="minorHAnsi" w:cstheme="minorHAnsi"/>
          <w:sz w:val="24"/>
          <w:szCs w:val="24"/>
          <w:lang w:val="es-ES_tradnl"/>
        </w:rPr>
        <w:t>periférica</w:t>
      </w:r>
      <w:r w:rsidRPr="00D229C5">
        <w:rPr>
          <w:rFonts w:asciiTheme="minorHAnsi" w:hAnsiTheme="minorHAnsi" w:cstheme="minorHAnsi"/>
          <w:sz w:val="24"/>
          <w:szCs w:val="24"/>
          <w:lang w:val="es-ES_tradnl"/>
        </w:rPr>
        <w:t xml:space="preserve">, </w:t>
      </w:r>
      <w:r w:rsidR="00471CE1" w:rsidRPr="00D229C5">
        <w:rPr>
          <w:rFonts w:asciiTheme="minorHAnsi" w:hAnsiTheme="minorHAnsi" w:cstheme="minorHAnsi"/>
          <w:sz w:val="24"/>
          <w:szCs w:val="24"/>
          <w:lang w:val="es-ES_tradnl"/>
        </w:rPr>
        <w:t xml:space="preserve">la </w:t>
      </w:r>
      <w:r w:rsidRPr="00D229C5">
        <w:rPr>
          <w:rFonts w:asciiTheme="minorHAnsi" w:hAnsiTheme="minorHAnsi" w:cstheme="minorHAnsi"/>
          <w:sz w:val="24"/>
          <w:szCs w:val="24"/>
          <w:lang w:val="es-ES_tradnl"/>
        </w:rPr>
        <w:t xml:space="preserve">nanotecnología, </w:t>
      </w:r>
      <w:r w:rsidR="00471CE1" w:rsidRPr="00D229C5">
        <w:rPr>
          <w:rFonts w:asciiTheme="minorHAnsi" w:hAnsiTheme="minorHAnsi" w:cstheme="minorHAnsi"/>
          <w:sz w:val="24"/>
          <w:szCs w:val="24"/>
          <w:lang w:val="es-ES_tradnl"/>
        </w:rPr>
        <w:t>etc</w:t>
      </w:r>
      <w:r w:rsidRPr="00D229C5">
        <w:rPr>
          <w:rFonts w:asciiTheme="minorHAnsi" w:hAnsiTheme="minorHAnsi" w:cstheme="minorHAnsi"/>
          <w:sz w:val="24"/>
          <w:szCs w:val="24"/>
          <w:lang w:val="es-ES_tradnl"/>
        </w:rPr>
        <w:t>.</w:t>
      </w:r>
    </w:p>
    <w:p w14:paraId="7BC6EA4E" w14:textId="57BE1572" w:rsidR="007411D2" w:rsidRPr="00D229C5" w:rsidRDefault="007411D2" w:rsidP="007411D2">
      <w:pPr>
        <w:pStyle w:val="NormalWeb"/>
        <w:rPr>
          <w:rFonts w:asciiTheme="minorHAnsi" w:hAnsiTheme="minorHAnsi" w:cstheme="minorHAnsi"/>
          <w:sz w:val="24"/>
          <w:szCs w:val="24"/>
          <w:lang w:val="es-ES_tradnl"/>
        </w:rPr>
      </w:pPr>
      <w:r w:rsidRPr="00D229C5">
        <w:rPr>
          <w:rFonts w:asciiTheme="minorHAnsi" w:hAnsiTheme="minorHAnsi" w:cstheme="minorHAnsi"/>
          <w:sz w:val="24"/>
          <w:szCs w:val="24"/>
          <w:lang w:val="es-ES_tradnl"/>
        </w:rPr>
        <w:t>Sin embargo, es posible que</w:t>
      </w:r>
      <w:r w:rsidR="0045687D">
        <w:rPr>
          <w:rFonts w:asciiTheme="minorHAnsi" w:hAnsiTheme="minorHAnsi" w:cstheme="minorHAnsi"/>
          <w:sz w:val="24"/>
          <w:szCs w:val="24"/>
          <w:lang w:val="es-ES_tradnl"/>
        </w:rPr>
        <w:t>,</w:t>
      </w:r>
      <w:r w:rsidRPr="00D229C5">
        <w:rPr>
          <w:rFonts w:asciiTheme="minorHAnsi" w:hAnsiTheme="minorHAnsi" w:cstheme="minorHAnsi"/>
          <w:sz w:val="24"/>
          <w:szCs w:val="24"/>
          <w:lang w:val="es-ES_tradnl"/>
        </w:rPr>
        <w:t xml:space="preserve"> </w:t>
      </w:r>
      <w:r w:rsidR="00471CE1" w:rsidRPr="00D229C5">
        <w:rPr>
          <w:rFonts w:asciiTheme="minorHAnsi" w:hAnsiTheme="minorHAnsi" w:cstheme="minorHAnsi"/>
          <w:sz w:val="24"/>
          <w:szCs w:val="24"/>
          <w:lang w:val="es-ES_tradnl"/>
        </w:rPr>
        <w:t xml:space="preserve">al desarrollar </w:t>
      </w:r>
      <w:r w:rsidRPr="00D229C5">
        <w:rPr>
          <w:rFonts w:asciiTheme="minorHAnsi" w:hAnsiTheme="minorHAnsi" w:cstheme="minorHAnsi"/>
          <w:sz w:val="24"/>
          <w:szCs w:val="24"/>
          <w:lang w:val="es-ES_tradnl"/>
        </w:rPr>
        <w:t>algunas tecnologías emergentes, la IA</w:t>
      </w:r>
      <w:r w:rsidR="00471CE1" w:rsidRPr="00D229C5">
        <w:rPr>
          <w:rFonts w:asciiTheme="minorHAnsi" w:hAnsiTheme="minorHAnsi" w:cstheme="minorHAnsi"/>
          <w:sz w:val="24"/>
          <w:szCs w:val="24"/>
          <w:lang w:val="es-ES_tradnl"/>
        </w:rPr>
        <w:t xml:space="preserve"> inclusive</w:t>
      </w:r>
      <w:r w:rsidRPr="00D229C5">
        <w:rPr>
          <w:rFonts w:asciiTheme="minorHAnsi" w:hAnsiTheme="minorHAnsi" w:cstheme="minorHAnsi"/>
          <w:sz w:val="24"/>
          <w:szCs w:val="24"/>
          <w:lang w:val="es-ES_tradnl"/>
        </w:rPr>
        <w:t xml:space="preserve">, no </w:t>
      </w:r>
      <w:r w:rsidR="00471CE1" w:rsidRPr="00D229C5">
        <w:rPr>
          <w:rFonts w:asciiTheme="minorHAnsi" w:hAnsiTheme="minorHAnsi" w:cstheme="minorHAnsi"/>
          <w:sz w:val="24"/>
          <w:szCs w:val="24"/>
          <w:lang w:val="es-ES_tradnl"/>
        </w:rPr>
        <w:t xml:space="preserve">se tome en consideración su </w:t>
      </w:r>
      <w:r w:rsidRPr="00D229C5">
        <w:rPr>
          <w:rFonts w:asciiTheme="minorHAnsi" w:hAnsiTheme="minorHAnsi" w:cstheme="minorHAnsi"/>
          <w:sz w:val="24"/>
          <w:szCs w:val="24"/>
          <w:lang w:val="es-ES_tradnl"/>
        </w:rPr>
        <w:t xml:space="preserve">sostenibilidad. Estas tecnologías a menudo consumen una gran cantidad de energía, </w:t>
      </w:r>
      <w:r w:rsidR="00471CE1" w:rsidRPr="00D229C5">
        <w:rPr>
          <w:rFonts w:asciiTheme="minorHAnsi" w:hAnsiTheme="minorHAnsi" w:cstheme="minorHAnsi"/>
          <w:sz w:val="24"/>
          <w:szCs w:val="24"/>
          <w:lang w:val="es-ES_tradnl"/>
        </w:rPr>
        <w:t xml:space="preserve">por lo que su </w:t>
      </w:r>
      <w:r w:rsidRPr="00D229C5">
        <w:rPr>
          <w:rFonts w:asciiTheme="minorHAnsi" w:hAnsiTheme="minorHAnsi" w:cstheme="minorHAnsi"/>
          <w:sz w:val="24"/>
          <w:szCs w:val="24"/>
          <w:lang w:val="es-ES_tradnl"/>
        </w:rPr>
        <w:t xml:space="preserve">huella ambiental </w:t>
      </w:r>
      <w:r w:rsidR="00471CE1" w:rsidRPr="00D229C5">
        <w:rPr>
          <w:rFonts w:asciiTheme="minorHAnsi" w:hAnsiTheme="minorHAnsi" w:cstheme="minorHAnsi"/>
          <w:sz w:val="24"/>
          <w:szCs w:val="24"/>
          <w:lang w:val="es-ES_tradnl"/>
        </w:rPr>
        <w:t>es considerable</w:t>
      </w:r>
      <w:r w:rsidRPr="00D229C5">
        <w:rPr>
          <w:rFonts w:asciiTheme="minorHAnsi" w:hAnsiTheme="minorHAnsi" w:cstheme="minorHAnsi"/>
          <w:sz w:val="24"/>
          <w:szCs w:val="24"/>
          <w:lang w:val="es-ES_tradnl"/>
        </w:rPr>
        <w:t xml:space="preserve">. Por ejemplo, </w:t>
      </w:r>
      <w:r w:rsidR="00471CE1" w:rsidRPr="00D229C5">
        <w:rPr>
          <w:rFonts w:asciiTheme="minorHAnsi" w:hAnsiTheme="minorHAnsi" w:cstheme="minorHAnsi"/>
          <w:sz w:val="24"/>
          <w:szCs w:val="24"/>
          <w:lang w:val="es-ES_tradnl"/>
        </w:rPr>
        <w:t xml:space="preserve">actualmente </w:t>
      </w:r>
      <w:r w:rsidRPr="00D229C5">
        <w:rPr>
          <w:rFonts w:asciiTheme="minorHAnsi" w:hAnsiTheme="minorHAnsi" w:cstheme="minorHAnsi"/>
          <w:sz w:val="24"/>
          <w:szCs w:val="24"/>
          <w:lang w:val="es-ES_tradnl"/>
        </w:rPr>
        <w:t xml:space="preserve">el consumo anual de electricidad </w:t>
      </w:r>
      <w:r w:rsidR="00471CE1" w:rsidRPr="00D229C5">
        <w:rPr>
          <w:rFonts w:asciiTheme="minorHAnsi" w:hAnsiTheme="minorHAnsi" w:cstheme="minorHAnsi"/>
          <w:sz w:val="24"/>
          <w:szCs w:val="24"/>
          <w:lang w:val="es-ES_tradnl"/>
        </w:rPr>
        <w:t xml:space="preserve">para minar </w:t>
      </w:r>
      <w:r w:rsidR="00231401" w:rsidRPr="00D229C5">
        <w:rPr>
          <w:rFonts w:asciiTheme="minorHAnsi" w:hAnsiTheme="minorHAnsi" w:cstheme="minorHAnsi"/>
          <w:sz w:val="24"/>
          <w:szCs w:val="24"/>
          <w:lang w:val="es-ES_tradnl"/>
        </w:rPr>
        <w:t>B</w:t>
      </w:r>
      <w:r w:rsidRPr="00D229C5">
        <w:rPr>
          <w:rFonts w:asciiTheme="minorHAnsi" w:hAnsiTheme="minorHAnsi" w:cstheme="minorHAnsi"/>
          <w:sz w:val="24"/>
          <w:szCs w:val="24"/>
          <w:lang w:val="es-ES_tradnl"/>
        </w:rPr>
        <w:t xml:space="preserve">itcoin </w:t>
      </w:r>
      <w:r w:rsidR="00471CE1" w:rsidRPr="00D229C5">
        <w:rPr>
          <w:rFonts w:asciiTheme="minorHAnsi" w:hAnsiTheme="minorHAnsi" w:cstheme="minorHAnsi"/>
          <w:sz w:val="24"/>
          <w:szCs w:val="24"/>
          <w:lang w:val="es-ES_tradnl"/>
        </w:rPr>
        <w:t>es equiparable a</w:t>
      </w:r>
      <w:r w:rsidRPr="00D229C5">
        <w:rPr>
          <w:rFonts w:asciiTheme="minorHAnsi" w:hAnsiTheme="minorHAnsi" w:cstheme="minorHAnsi"/>
          <w:sz w:val="24"/>
          <w:szCs w:val="24"/>
          <w:lang w:val="es-ES_tradnl"/>
        </w:rPr>
        <w:t xml:space="preserve">l consumo de electricidad de Suiza </w:t>
      </w:r>
      <w:r w:rsidR="00471CE1" w:rsidRPr="00D229C5">
        <w:rPr>
          <w:rFonts w:asciiTheme="minorHAnsi" w:hAnsiTheme="minorHAnsi" w:cstheme="minorHAnsi"/>
          <w:sz w:val="24"/>
          <w:szCs w:val="24"/>
          <w:lang w:val="es-ES_tradnl"/>
        </w:rPr>
        <w:t xml:space="preserve">durante todo </w:t>
      </w:r>
      <w:r w:rsidRPr="00D229C5">
        <w:rPr>
          <w:rFonts w:asciiTheme="minorHAnsi" w:hAnsiTheme="minorHAnsi" w:cstheme="minorHAnsi"/>
          <w:sz w:val="24"/>
          <w:szCs w:val="24"/>
          <w:lang w:val="es-ES_tradnl"/>
        </w:rPr>
        <w:t>un año</w:t>
      </w:r>
      <w:r w:rsidRPr="00D229C5">
        <w:rPr>
          <w:rStyle w:val="FootnoteReference"/>
          <w:rFonts w:asciiTheme="minorHAnsi" w:hAnsiTheme="minorHAnsi" w:cstheme="minorHAnsi"/>
          <w:sz w:val="18"/>
          <w:lang w:val="es-ES_tradnl"/>
        </w:rPr>
        <w:footnoteReference w:id="3"/>
      </w:r>
      <w:r w:rsidR="007665A8" w:rsidRPr="00D229C5">
        <w:rPr>
          <w:rFonts w:asciiTheme="minorHAnsi" w:hAnsiTheme="minorHAnsi" w:cstheme="minorHAnsi"/>
          <w:sz w:val="24"/>
          <w:szCs w:val="24"/>
          <w:lang w:val="es-ES_tradnl"/>
        </w:rPr>
        <w:t>.</w:t>
      </w:r>
      <w:r w:rsidRPr="00D229C5">
        <w:rPr>
          <w:rFonts w:asciiTheme="minorHAnsi" w:hAnsiTheme="minorHAnsi" w:cstheme="minorHAnsi"/>
          <w:sz w:val="24"/>
          <w:szCs w:val="24"/>
          <w:lang w:val="es-ES_tradnl"/>
        </w:rPr>
        <w:t xml:space="preserve"> Es importante entender cómo reducir la huella ambiental de estas tecnologías, ya que contribuirá al bienestar de la economía de mercado y mejorará la calidad de vida </w:t>
      </w:r>
      <w:r w:rsidR="00471CE1" w:rsidRPr="00D229C5">
        <w:rPr>
          <w:rFonts w:asciiTheme="minorHAnsi" w:hAnsiTheme="minorHAnsi" w:cstheme="minorHAnsi"/>
          <w:sz w:val="24"/>
          <w:szCs w:val="24"/>
          <w:lang w:val="es-ES_tradnl"/>
        </w:rPr>
        <w:t xml:space="preserve">tanto </w:t>
      </w:r>
      <w:r w:rsidRPr="00D229C5">
        <w:rPr>
          <w:rFonts w:asciiTheme="minorHAnsi" w:hAnsiTheme="minorHAnsi" w:cstheme="minorHAnsi"/>
          <w:sz w:val="24"/>
          <w:szCs w:val="24"/>
          <w:lang w:val="es-ES_tradnl"/>
        </w:rPr>
        <w:t xml:space="preserve">de los ciudadanos </w:t>
      </w:r>
      <w:r w:rsidR="00471CE1" w:rsidRPr="00D229C5">
        <w:rPr>
          <w:rFonts w:asciiTheme="minorHAnsi" w:hAnsiTheme="minorHAnsi" w:cstheme="minorHAnsi"/>
          <w:sz w:val="24"/>
          <w:szCs w:val="24"/>
          <w:lang w:val="es-ES_tradnl"/>
        </w:rPr>
        <w:t xml:space="preserve">como </w:t>
      </w:r>
      <w:r w:rsidRPr="00D229C5">
        <w:rPr>
          <w:rFonts w:asciiTheme="minorHAnsi" w:hAnsiTheme="minorHAnsi" w:cstheme="minorHAnsi"/>
          <w:sz w:val="24"/>
          <w:szCs w:val="24"/>
          <w:lang w:val="es-ES_tradnl"/>
        </w:rPr>
        <w:t>de los usuarios de es</w:t>
      </w:r>
      <w:r w:rsidR="00210E70" w:rsidRPr="00D229C5">
        <w:rPr>
          <w:rFonts w:asciiTheme="minorHAnsi" w:hAnsiTheme="minorHAnsi" w:cstheme="minorHAnsi"/>
          <w:sz w:val="24"/>
          <w:szCs w:val="24"/>
          <w:lang w:val="es-ES_tradnl"/>
        </w:rPr>
        <w:t>t</w:t>
      </w:r>
      <w:r w:rsidRPr="00D229C5">
        <w:rPr>
          <w:rFonts w:asciiTheme="minorHAnsi" w:hAnsiTheme="minorHAnsi" w:cstheme="minorHAnsi"/>
          <w:sz w:val="24"/>
          <w:szCs w:val="24"/>
          <w:lang w:val="es-ES_tradnl"/>
        </w:rPr>
        <w:t>as tecnologías.</w:t>
      </w:r>
    </w:p>
    <w:p w14:paraId="43D87496" w14:textId="0443426F" w:rsidR="007411D2" w:rsidRPr="00D229C5" w:rsidRDefault="007411D2" w:rsidP="00352149">
      <w:pPr>
        <w:pStyle w:val="NormalWeb"/>
        <w:keepLines/>
        <w:spacing w:line="240" w:lineRule="auto"/>
        <w:rPr>
          <w:rFonts w:asciiTheme="minorHAnsi" w:hAnsiTheme="minorHAnsi" w:cstheme="minorHAnsi"/>
          <w:sz w:val="24"/>
          <w:szCs w:val="24"/>
          <w:lang w:val="es-ES_tradnl"/>
        </w:rPr>
      </w:pPr>
      <w:r w:rsidRPr="00D229C5">
        <w:rPr>
          <w:rFonts w:asciiTheme="minorHAnsi" w:hAnsiTheme="minorHAnsi" w:cstheme="minorHAnsi"/>
          <w:sz w:val="24"/>
          <w:szCs w:val="24"/>
          <w:lang w:val="es-ES_tradnl"/>
        </w:rPr>
        <w:lastRenderedPageBreak/>
        <w:t xml:space="preserve">Sigue </w:t>
      </w:r>
      <w:r w:rsidR="00210E70" w:rsidRPr="00D229C5">
        <w:rPr>
          <w:rFonts w:asciiTheme="minorHAnsi" w:hAnsiTheme="minorHAnsi" w:cstheme="minorHAnsi"/>
          <w:sz w:val="24"/>
          <w:szCs w:val="24"/>
          <w:lang w:val="es-ES_tradnl"/>
        </w:rPr>
        <w:t>habiendo una carencia de</w:t>
      </w:r>
      <w:r w:rsidRPr="00D229C5">
        <w:rPr>
          <w:rFonts w:asciiTheme="minorHAnsi" w:hAnsiTheme="minorHAnsi" w:cstheme="minorHAnsi"/>
          <w:sz w:val="24"/>
          <w:szCs w:val="24"/>
          <w:lang w:val="es-ES_tradnl"/>
        </w:rPr>
        <w:t xml:space="preserve"> normas y </w:t>
      </w:r>
      <w:r w:rsidR="00210E70" w:rsidRPr="00D229C5">
        <w:rPr>
          <w:rFonts w:asciiTheme="minorHAnsi" w:hAnsiTheme="minorHAnsi" w:cstheme="minorHAnsi"/>
          <w:sz w:val="24"/>
          <w:szCs w:val="24"/>
          <w:lang w:val="es-ES_tradnl"/>
        </w:rPr>
        <w:t xml:space="preserve">recomendaciones </w:t>
      </w:r>
      <w:r w:rsidRPr="00D229C5">
        <w:rPr>
          <w:rFonts w:asciiTheme="minorHAnsi" w:hAnsiTheme="minorHAnsi" w:cstheme="minorHAnsi"/>
          <w:sz w:val="24"/>
          <w:szCs w:val="24"/>
          <w:lang w:val="es-ES_tradnl"/>
        </w:rPr>
        <w:t xml:space="preserve">internacionales sobre </w:t>
      </w:r>
      <w:r w:rsidR="00210E70" w:rsidRPr="00D229C5">
        <w:rPr>
          <w:rFonts w:asciiTheme="minorHAnsi" w:hAnsiTheme="minorHAnsi" w:cstheme="minorHAnsi"/>
          <w:sz w:val="24"/>
          <w:szCs w:val="24"/>
          <w:lang w:val="es-ES_tradnl"/>
        </w:rPr>
        <w:t>cómo</w:t>
      </w:r>
      <w:r w:rsidRPr="00D229C5">
        <w:rPr>
          <w:rFonts w:asciiTheme="minorHAnsi" w:hAnsiTheme="minorHAnsi" w:cstheme="minorHAnsi"/>
          <w:sz w:val="24"/>
          <w:szCs w:val="24"/>
          <w:lang w:val="es-ES_tradnl"/>
        </w:rPr>
        <w:t xml:space="preserve"> medi</w:t>
      </w:r>
      <w:r w:rsidR="00210E70" w:rsidRPr="00D229C5">
        <w:rPr>
          <w:rFonts w:asciiTheme="minorHAnsi" w:hAnsiTheme="minorHAnsi" w:cstheme="minorHAnsi"/>
          <w:sz w:val="24"/>
          <w:szCs w:val="24"/>
          <w:lang w:val="es-ES_tradnl"/>
        </w:rPr>
        <w:t>r</w:t>
      </w:r>
      <w:r w:rsidRPr="00D229C5">
        <w:rPr>
          <w:rFonts w:asciiTheme="minorHAnsi" w:hAnsiTheme="minorHAnsi" w:cstheme="minorHAnsi"/>
          <w:sz w:val="24"/>
          <w:szCs w:val="24"/>
          <w:lang w:val="es-ES_tradnl"/>
        </w:rPr>
        <w:t xml:space="preserve"> la eficiencia y el rendimiento ambientales de estas nuevas tecnologías. </w:t>
      </w:r>
      <w:r w:rsidR="00210E70" w:rsidRPr="00D229C5">
        <w:rPr>
          <w:rFonts w:asciiTheme="minorHAnsi" w:hAnsiTheme="minorHAnsi" w:cstheme="minorHAnsi"/>
          <w:sz w:val="24"/>
          <w:szCs w:val="24"/>
          <w:lang w:val="es-ES_tradnl"/>
        </w:rPr>
        <w:t xml:space="preserve">La integración de cada vez más </w:t>
      </w:r>
      <w:r w:rsidRPr="00D229C5">
        <w:rPr>
          <w:rFonts w:asciiTheme="minorHAnsi" w:hAnsiTheme="minorHAnsi" w:cstheme="minorHAnsi"/>
          <w:sz w:val="24"/>
          <w:szCs w:val="24"/>
          <w:lang w:val="es-ES_tradnl"/>
        </w:rPr>
        <w:t xml:space="preserve">tecnologías emergentes en diferentes aspectos de nuestra sociedad y de nuestra vida cotidiana </w:t>
      </w:r>
      <w:r w:rsidR="00210E70" w:rsidRPr="00D229C5">
        <w:rPr>
          <w:rFonts w:asciiTheme="minorHAnsi" w:hAnsiTheme="minorHAnsi" w:cstheme="minorHAnsi"/>
          <w:sz w:val="24"/>
          <w:szCs w:val="24"/>
          <w:lang w:val="es-ES_tradnl"/>
        </w:rPr>
        <w:t xml:space="preserve">hace necesario </w:t>
      </w:r>
      <w:r w:rsidRPr="00D229C5">
        <w:rPr>
          <w:rFonts w:asciiTheme="minorHAnsi" w:hAnsiTheme="minorHAnsi" w:cstheme="minorHAnsi"/>
          <w:sz w:val="24"/>
          <w:szCs w:val="24"/>
          <w:lang w:val="es-ES_tradnl"/>
        </w:rPr>
        <w:t xml:space="preserve">desarrollar </w:t>
      </w:r>
      <w:r w:rsidR="00210E70" w:rsidRPr="00D229C5">
        <w:rPr>
          <w:rFonts w:asciiTheme="minorHAnsi" w:hAnsiTheme="minorHAnsi" w:cstheme="minorHAnsi"/>
          <w:sz w:val="24"/>
          <w:szCs w:val="24"/>
          <w:lang w:val="es-ES_tradnl"/>
        </w:rPr>
        <w:t xml:space="preserve">normas </w:t>
      </w:r>
      <w:r w:rsidRPr="00D229C5">
        <w:rPr>
          <w:rFonts w:asciiTheme="minorHAnsi" w:hAnsiTheme="minorHAnsi" w:cstheme="minorHAnsi"/>
          <w:sz w:val="24"/>
          <w:szCs w:val="24"/>
          <w:lang w:val="es-ES_tradnl"/>
        </w:rPr>
        <w:t xml:space="preserve">y métricas internacionales </w:t>
      </w:r>
      <w:r w:rsidR="00210E70" w:rsidRPr="00D229C5">
        <w:rPr>
          <w:rFonts w:asciiTheme="minorHAnsi" w:hAnsiTheme="minorHAnsi" w:cstheme="minorHAnsi"/>
          <w:sz w:val="24"/>
          <w:szCs w:val="24"/>
          <w:lang w:val="es-ES_tradnl"/>
        </w:rPr>
        <w:t xml:space="preserve">para la implantación sostenible </w:t>
      </w:r>
      <w:r w:rsidRPr="00D229C5">
        <w:rPr>
          <w:rFonts w:asciiTheme="minorHAnsi" w:hAnsiTheme="minorHAnsi" w:cstheme="minorHAnsi"/>
          <w:sz w:val="24"/>
          <w:szCs w:val="24"/>
          <w:lang w:val="es-ES_tradnl"/>
        </w:rPr>
        <w:t>de la IA y otras tecnologías emergentes.</w:t>
      </w:r>
    </w:p>
    <w:p w14:paraId="2163C277" w14:textId="1A8F1953" w:rsidR="00352149" w:rsidRPr="00D229C5" w:rsidRDefault="00210E70" w:rsidP="00352149">
      <w:pPr>
        <w:pStyle w:val="NormalWeb"/>
        <w:rPr>
          <w:rFonts w:asciiTheme="minorHAnsi" w:hAnsiTheme="minorHAnsi" w:cstheme="minorHAnsi"/>
          <w:sz w:val="24"/>
          <w:szCs w:val="24"/>
          <w:lang w:val="es-ES_tradnl"/>
        </w:rPr>
      </w:pPr>
      <w:r w:rsidRPr="00D229C5">
        <w:rPr>
          <w:rFonts w:asciiTheme="minorHAnsi" w:hAnsiTheme="minorHAnsi" w:cstheme="minorHAnsi"/>
          <w:sz w:val="24"/>
          <w:szCs w:val="24"/>
          <w:lang w:val="es-ES_tradnl"/>
        </w:rPr>
        <w:t xml:space="preserve">Por lo consiguiente, el Grupo Temático del UIT-T sobre "Eficiencia </w:t>
      </w:r>
      <w:r w:rsidR="00AD69F1" w:rsidRPr="00D229C5">
        <w:rPr>
          <w:rFonts w:asciiTheme="minorHAnsi" w:hAnsiTheme="minorHAnsi" w:cstheme="minorHAnsi"/>
          <w:sz w:val="24"/>
          <w:szCs w:val="24"/>
          <w:lang w:val="es-ES_tradnl"/>
        </w:rPr>
        <w:t xml:space="preserve">energética para inteligencia artificial </w:t>
      </w:r>
      <w:r w:rsidRPr="00D229C5">
        <w:rPr>
          <w:rFonts w:asciiTheme="minorHAnsi" w:hAnsiTheme="minorHAnsi" w:cstheme="minorHAnsi"/>
          <w:sz w:val="24"/>
          <w:szCs w:val="24"/>
          <w:lang w:val="es-ES_tradnl"/>
        </w:rPr>
        <w:t xml:space="preserve">y otras tecnologías emergentes" (FG-AI4EE) determinará las lagunas de normalización en materia de eficiencia energética de la IA y otras tecnologías emergentes, entre las que se cuentan la automatización, la realidad aumentada, la realidad virtual, la realidad extendida, la 5G, la fabricación inteligente, la industria 5.0, la computación en la nube/periférica, la nanotecnología, etc. El Grupo Temático preparará informes técnicos y especificaciones técnicas relativos a la eficiencia ambiental, así como el consumo de agua y energía de las tecnologías emergentes. También identificará las necesidades de normalización para crear un enfoque sostenible de la IA y otras tecnologías emergentes. Este Grupo Temático proporcionará orientación a las partes interesadas sobre la forma de utilizar estas tecnologías de manera más eficiente desde el punto de vista ambiental </w:t>
      </w:r>
      <w:r w:rsidR="00AD69F1" w:rsidRPr="00D229C5">
        <w:rPr>
          <w:rFonts w:asciiTheme="minorHAnsi" w:hAnsiTheme="minorHAnsi" w:cstheme="minorHAnsi"/>
          <w:sz w:val="24"/>
          <w:szCs w:val="24"/>
          <w:lang w:val="es-ES_tradnl"/>
        </w:rPr>
        <w:t>con el fin de</w:t>
      </w:r>
      <w:r w:rsidRPr="00D229C5">
        <w:rPr>
          <w:rFonts w:asciiTheme="minorHAnsi" w:hAnsiTheme="minorHAnsi" w:cstheme="minorHAnsi"/>
          <w:sz w:val="24"/>
          <w:szCs w:val="24"/>
          <w:lang w:val="es-ES_tradnl"/>
        </w:rPr>
        <w:t xml:space="preserve"> cumplir </w:t>
      </w:r>
      <w:r w:rsidR="00AD69F1" w:rsidRPr="00D229C5">
        <w:rPr>
          <w:rFonts w:asciiTheme="minorHAnsi" w:hAnsiTheme="minorHAnsi" w:cstheme="minorHAnsi"/>
          <w:sz w:val="24"/>
          <w:szCs w:val="24"/>
          <w:lang w:val="es-ES_tradnl"/>
        </w:rPr>
        <w:t>la Agenda para el</w:t>
      </w:r>
      <w:r w:rsidRPr="00D229C5">
        <w:rPr>
          <w:rFonts w:asciiTheme="minorHAnsi" w:hAnsiTheme="minorHAnsi" w:cstheme="minorHAnsi"/>
          <w:sz w:val="24"/>
          <w:szCs w:val="24"/>
          <w:lang w:val="es-ES_tradnl"/>
        </w:rPr>
        <w:t xml:space="preserve"> de Desarrollo Sostenible de 2030 y sus 17 </w:t>
      </w:r>
      <w:r w:rsidR="00AD69F1" w:rsidRPr="00D229C5">
        <w:rPr>
          <w:rFonts w:asciiTheme="minorHAnsi" w:hAnsiTheme="minorHAnsi" w:cstheme="minorHAnsi"/>
          <w:sz w:val="24"/>
          <w:szCs w:val="24"/>
          <w:lang w:val="es-ES_tradnl"/>
        </w:rPr>
        <w:t xml:space="preserve">objetivos </w:t>
      </w:r>
      <w:r w:rsidRPr="00D229C5">
        <w:rPr>
          <w:rFonts w:asciiTheme="minorHAnsi" w:hAnsiTheme="minorHAnsi" w:cstheme="minorHAnsi"/>
          <w:sz w:val="24"/>
          <w:szCs w:val="24"/>
          <w:lang w:val="es-ES_tradnl"/>
        </w:rPr>
        <w:t>de desarrollo sostenible</w:t>
      </w:r>
      <w:r w:rsidR="00352149" w:rsidRPr="00D229C5">
        <w:rPr>
          <w:rStyle w:val="FootnoteReference"/>
          <w:rFonts w:asciiTheme="minorHAnsi" w:hAnsiTheme="minorHAnsi" w:cstheme="minorHAnsi"/>
          <w:sz w:val="18"/>
          <w:lang w:val="es-ES_tradnl"/>
        </w:rPr>
        <w:footnoteReference w:id="4"/>
      </w:r>
      <w:r w:rsidR="00352149" w:rsidRPr="00D229C5">
        <w:rPr>
          <w:rFonts w:asciiTheme="minorHAnsi" w:hAnsiTheme="minorHAnsi" w:cstheme="minorHAnsi"/>
          <w:sz w:val="24"/>
          <w:szCs w:val="24"/>
          <w:lang w:val="es-ES_tradnl"/>
        </w:rPr>
        <w:t>.</w:t>
      </w:r>
    </w:p>
    <w:p w14:paraId="2E61B9CB" w14:textId="4C883B9D" w:rsidR="00210E70" w:rsidRPr="00D229C5" w:rsidRDefault="00210E70" w:rsidP="00210E70">
      <w:pPr>
        <w:pStyle w:val="NormalWeb"/>
        <w:spacing w:line="240" w:lineRule="auto"/>
        <w:rPr>
          <w:rFonts w:asciiTheme="minorHAnsi" w:hAnsiTheme="minorHAnsi" w:cstheme="minorHAnsi"/>
          <w:sz w:val="24"/>
          <w:szCs w:val="24"/>
          <w:lang w:val="es-ES_tradnl"/>
        </w:rPr>
      </w:pPr>
      <w:r w:rsidRPr="00D229C5">
        <w:rPr>
          <w:rFonts w:asciiTheme="minorHAnsi" w:hAnsiTheme="minorHAnsi" w:cstheme="minorHAnsi"/>
          <w:sz w:val="24"/>
          <w:szCs w:val="24"/>
          <w:lang w:val="es-ES_tradnl"/>
        </w:rPr>
        <w:t>El Grupo Temático del UIT-T sobre "</w:t>
      </w:r>
      <w:r w:rsidR="00AD69F1" w:rsidRPr="00D229C5">
        <w:rPr>
          <w:rFonts w:asciiTheme="minorHAnsi" w:hAnsiTheme="minorHAnsi" w:cstheme="minorHAnsi"/>
          <w:sz w:val="24"/>
          <w:szCs w:val="24"/>
          <w:lang w:val="es-ES_tradnl"/>
        </w:rPr>
        <w:t xml:space="preserve"> Eficiencia energética para inteligencia artificial y otras tecnologías emergentes</w:t>
      </w:r>
      <w:r w:rsidRPr="00D229C5">
        <w:rPr>
          <w:rFonts w:asciiTheme="minorHAnsi" w:hAnsiTheme="minorHAnsi" w:cstheme="minorHAnsi"/>
          <w:sz w:val="24"/>
          <w:szCs w:val="24"/>
          <w:lang w:val="es-ES_tradnl"/>
        </w:rPr>
        <w:t xml:space="preserve"> (FG-AI4EE)" será una plataforma para </w:t>
      </w:r>
      <w:r w:rsidR="00AD69F1" w:rsidRPr="00D229C5">
        <w:rPr>
          <w:rFonts w:asciiTheme="minorHAnsi" w:hAnsiTheme="minorHAnsi" w:cstheme="minorHAnsi"/>
          <w:sz w:val="24"/>
          <w:szCs w:val="24"/>
          <w:lang w:val="es-ES_tradnl"/>
        </w:rPr>
        <w:t xml:space="preserve">el intercambio de conocimientos, prácticas idóneas y lecciones extraídas en este campo, abierta a </w:t>
      </w:r>
      <w:r w:rsidRPr="00D229C5">
        <w:rPr>
          <w:rFonts w:asciiTheme="minorHAnsi" w:hAnsiTheme="minorHAnsi" w:cstheme="minorHAnsi"/>
          <w:sz w:val="24"/>
          <w:szCs w:val="24"/>
          <w:lang w:val="es-ES_tradnl"/>
        </w:rPr>
        <w:t>las partes interesadas pertinentes</w:t>
      </w:r>
      <w:r w:rsidR="00AD69F1" w:rsidRPr="00D229C5">
        <w:rPr>
          <w:rFonts w:asciiTheme="minorHAnsi" w:hAnsiTheme="minorHAnsi" w:cstheme="minorHAnsi"/>
          <w:sz w:val="24"/>
          <w:szCs w:val="24"/>
          <w:lang w:val="es-ES_tradnl"/>
        </w:rPr>
        <w:t xml:space="preserve">, a saber, </w:t>
      </w:r>
      <w:r w:rsidRPr="00D229C5">
        <w:rPr>
          <w:rFonts w:asciiTheme="minorHAnsi" w:hAnsiTheme="minorHAnsi" w:cstheme="minorHAnsi"/>
          <w:sz w:val="24"/>
          <w:szCs w:val="24"/>
          <w:lang w:val="es-ES_tradnl"/>
        </w:rPr>
        <w:t>representantes de industrias verticales, reguladores, responsables polític</w:t>
      </w:r>
      <w:r w:rsidR="00AD69F1" w:rsidRPr="00D229C5">
        <w:rPr>
          <w:rFonts w:asciiTheme="minorHAnsi" w:hAnsiTheme="minorHAnsi" w:cstheme="minorHAnsi"/>
          <w:sz w:val="24"/>
          <w:szCs w:val="24"/>
          <w:lang w:val="es-ES_tradnl"/>
        </w:rPr>
        <w:t>o</w:t>
      </w:r>
      <w:r w:rsidRPr="00D229C5">
        <w:rPr>
          <w:rFonts w:asciiTheme="minorHAnsi" w:hAnsiTheme="minorHAnsi" w:cstheme="minorHAnsi"/>
          <w:sz w:val="24"/>
          <w:szCs w:val="24"/>
          <w:lang w:val="es-ES_tradnl"/>
        </w:rPr>
        <w:t>s, investigadores, ingenieros, profesionales, empresarios, proveedores de servicios, proveedores de plataformas, operadores de redes, organizaciones internacionales, foros industriales y consorcios.</w:t>
      </w:r>
    </w:p>
    <w:p w14:paraId="71A5EC27" w14:textId="1E3A8D4A" w:rsidR="002F45CD" w:rsidRPr="00D229C5" w:rsidRDefault="002F45CD" w:rsidP="007C5503">
      <w:pPr>
        <w:pStyle w:val="Heading1"/>
        <w:rPr>
          <w:rFonts w:eastAsia="Microsoft YaHei"/>
          <w:lang w:eastAsia="zh-CN"/>
        </w:rPr>
      </w:pPr>
      <w:r w:rsidRPr="00D229C5">
        <w:t>2</w:t>
      </w:r>
      <w:r w:rsidR="000557B1" w:rsidRPr="00D229C5">
        <w:tab/>
      </w:r>
      <w:r w:rsidR="00AD69F1" w:rsidRPr="00D229C5">
        <w:rPr>
          <w:bCs/>
        </w:rPr>
        <w:t xml:space="preserve">Metas y objetivos del </w:t>
      </w:r>
      <w:r w:rsidR="0079483F" w:rsidRPr="00D229C5">
        <w:t>FG-AI4EE</w:t>
      </w:r>
    </w:p>
    <w:p w14:paraId="5014FED1" w14:textId="747EEBE6" w:rsidR="0079483F" w:rsidRPr="00D229C5" w:rsidRDefault="00AD69F1" w:rsidP="007C5503">
      <w:r w:rsidRPr="00D229C5">
        <w:t>Entre los principal</w:t>
      </w:r>
      <w:r w:rsidR="00FA1186" w:rsidRPr="00D229C5">
        <w:t>e</w:t>
      </w:r>
      <w:r w:rsidRPr="00D229C5">
        <w:t xml:space="preserve">s objetivos del </w:t>
      </w:r>
      <w:r w:rsidR="0079483F" w:rsidRPr="00D229C5">
        <w:t xml:space="preserve">FG-AI4EE </w:t>
      </w:r>
      <w:r w:rsidRPr="00D229C5">
        <w:t>cabe citar los siguientes</w:t>
      </w:r>
      <w:r w:rsidR="0079483F" w:rsidRPr="00D229C5">
        <w:t>:</w:t>
      </w:r>
    </w:p>
    <w:p w14:paraId="04E0B6A2" w14:textId="36C25A86" w:rsidR="00AD69F1" w:rsidRPr="00D229C5" w:rsidRDefault="00F57D13" w:rsidP="00F57D13">
      <w:pPr>
        <w:pStyle w:val="enumlev1"/>
      </w:pPr>
      <w:r w:rsidRPr="00D229C5">
        <w:t>–</w:t>
      </w:r>
      <w:r w:rsidRPr="00D229C5">
        <w:tab/>
      </w:r>
      <w:r w:rsidR="00AD69F1" w:rsidRPr="00D229C5">
        <w:t>Identificar y analizar el impacto ambiental (negativo y positivo) del despliegue e implantación de la IA y otras tecnologías emergentes, como la cadena de bloques.</w:t>
      </w:r>
    </w:p>
    <w:p w14:paraId="7678A513" w14:textId="13643422" w:rsidR="00AD69F1" w:rsidRPr="00D229C5" w:rsidRDefault="00F57D13" w:rsidP="00F57D13">
      <w:pPr>
        <w:pStyle w:val="enumlev1"/>
      </w:pPr>
      <w:r w:rsidRPr="00D229C5">
        <w:t>–</w:t>
      </w:r>
      <w:r w:rsidRPr="00D229C5">
        <w:tab/>
      </w:r>
      <w:r w:rsidR="00AD69F1" w:rsidRPr="00D229C5">
        <w:t>Servir de plataforma para facilitar el diálogo global y concienciar acerca del impacto ambiental de la IA y otras tecnologías emergentes.</w:t>
      </w:r>
    </w:p>
    <w:p w14:paraId="6DB355F7" w14:textId="70045D8F" w:rsidR="00AD69F1" w:rsidRPr="00D229C5" w:rsidRDefault="00F57D13" w:rsidP="00F57D13">
      <w:pPr>
        <w:pStyle w:val="enumlev1"/>
      </w:pPr>
      <w:r w:rsidRPr="00D229C5">
        <w:t>–</w:t>
      </w:r>
      <w:r w:rsidRPr="00D229C5">
        <w:tab/>
      </w:r>
      <w:r w:rsidR="00AD69F1" w:rsidRPr="00D229C5">
        <w:t>Ayudar a las partes interesadas pertinentes a reducir al mínimo los efectos ambientales mundiales resultantes de la inteligencia artificial y otras tecnologías emergentes mediante la elaboración de informes técnicos y especificaciones técnicas, según sea necesario.</w:t>
      </w:r>
    </w:p>
    <w:p w14:paraId="13F5E3E3" w14:textId="5B7CE476" w:rsidR="00AD69F1" w:rsidRPr="00D229C5" w:rsidRDefault="00F57D13" w:rsidP="00F57D13">
      <w:pPr>
        <w:pStyle w:val="enumlev1"/>
      </w:pPr>
      <w:r w:rsidRPr="00D229C5">
        <w:t>–</w:t>
      </w:r>
      <w:r w:rsidRPr="00D229C5">
        <w:tab/>
      </w:r>
      <w:r w:rsidR="00AD69F1" w:rsidRPr="00D229C5">
        <w:t>Elaborar un marco y una normativa para adoptar la IA y otras tecnologías emergentes de manera inocua para el medio ambiente.</w:t>
      </w:r>
    </w:p>
    <w:p w14:paraId="5B343861" w14:textId="444274FA" w:rsidR="00AD69F1" w:rsidRPr="00D229C5" w:rsidRDefault="00F57D13" w:rsidP="00F57D13">
      <w:pPr>
        <w:pStyle w:val="enumlev1"/>
      </w:pPr>
      <w:r w:rsidRPr="00D229C5">
        <w:t>–</w:t>
      </w:r>
      <w:r w:rsidRPr="00D229C5">
        <w:tab/>
      </w:r>
      <w:r w:rsidR="00AD69F1" w:rsidRPr="00D229C5">
        <w:t>Evaluar las prácticas idóneas y describir la forma de convertirlas en normas internacionales, y servir de orientación para el funcionamiento de la IA y otras tecnologías emergentes en el futuro.</w:t>
      </w:r>
    </w:p>
    <w:p w14:paraId="7D63D4ED" w14:textId="21699668" w:rsidR="00AD69F1" w:rsidRPr="00D229C5" w:rsidRDefault="00F57D13" w:rsidP="00F57D13">
      <w:pPr>
        <w:pStyle w:val="enumlev1"/>
      </w:pPr>
      <w:r w:rsidRPr="00D229C5">
        <w:t>–</w:t>
      </w:r>
      <w:r w:rsidRPr="00D229C5">
        <w:tab/>
      </w:r>
      <w:r w:rsidR="00AD69F1" w:rsidRPr="00D229C5">
        <w:t>Colaborar con las partes interesadas, incluidos los responsables políticos, los investigadores, los ingenieros, los economistas, los diseñadores, las organizaciones internacionales y regionales y las instituciones académica</w:t>
      </w:r>
      <w:r w:rsidR="00DA527D" w:rsidRPr="00D229C5">
        <w:t>s</w:t>
      </w:r>
      <w:r w:rsidR="00AD69F1" w:rsidRPr="00D229C5">
        <w:t xml:space="preserve">, </w:t>
      </w:r>
      <w:r w:rsidR="00FA1186" w:rsidRPr="00D229C5">
        <w:t xml:space="preserve">con el fin de evaluar </w:t>
      </w:r>
      <w:r w:rsidR="00AD69F1" w:rsidRPr="00D229C5">
        <w:t>la sostenibilidad de las diferentes tecnologías emergentes. En los resultados se describirán las orientaciones estratégicas de las futuras actividades de normalización para hacer frente a los efectos ambientales de estas tecnologías.</w:t>
      </w:r>
    </w:p>
    <w:p w14:paraId="469E78E4" w14:textId="719CF1EB" w:rsidR="00AD69F1" w:rsidRPr="00D229C5" w:rsidRDefault="00F57D13" w:rsidP="00F57D13">
      <w:pPr>
        <w:pStyle w:val="enumlev1"/>
      </w:pPr>
      <w:r w:rsidRPr="00D229C5">
        <w:lastRenderedPageBreak/>
        <w:t>–</w:t>
      </w:r>
      <w:r w:rsidRPr="00D229C5">
        <w:tab/>
      </w:r>
      <w:r w:rsidR="00AD69F1" w:rsidRPr="00D229C5">
        <w:t xml:space="preserve">Redactar informes </w:t>
      </w:r>
      <w:r w:rsidR="00FA1186" w:rsidRPr="00D229C5">
        <w:t xml:space="preserve">sobre </w:t>
      </w:r>
      <w:r w:rsidR="00AD69F1" w:rsidRPr="00D229C5">
        <w:t xml:space="preserve">las actividades </w:t>
      </w:r>
      <w:r w:rsidR="00FA1186" w:rsidRPr="00D229C5">
        <w:t xml:space="preserve">del Grupo Temático relativas a la implantación </w:t>
      </w:r>
      <w:r w:rsidR="00AD69F1" w:rsidRPr="00D229C5">
        <w:t xml:space="preserve">de la IA y otras tecnologías emergentes de manera sostenible </w:t>
      </w:r>
      <w:r w:rsidR="00FA1186" w:rsidRPr="00D229C5">
        <w:t>una vez concluida la labor que se le ha encomendado</w:t>
      </w:r>
      <w:r w:rsidR="00AD69F1" w:rsidRPr="00D229C5">
        <w:t>.</w:t>
      </w:r>
    </w:p>
    <w:p w14:paraId="59C9931A" w14:textId="77777777" w:rsidR="002F45CD" w:rsidRPr="00D229C5" w:rsidRDefault="002F45CD" w:rsidP="007C5503">
      <w:pPr>
        <w:pStyle w:val="Heading1"/>
        <w:rPr>
          <w:highlight w:val="yellow"/>
          <w:lang w:eastAsia="zh-CN"/>
        </w:rPr>
      </w:pPr>
      <w:r w:rsidRPr="00D229C5">
        <w:t>3</w:t>
      </w:r>
      <w:r w:rsidR="000557B1" w:rsidRPr="00D229C5">
        <w:tab/>
      </w:r>
      <w:r w:rsidRPr="00D229C5">
        <w:t>Estructura</w:t>
      </w:r>
    </w:p>
    <w:p w14:paraId="251D332D" w14:textId="38AAFFAA" w:rsidR="002F45CD" w:rsidRPr="00D229C5" w:rsidRDefault="0079483F" w:rsidP="007C5503">
      <w:pPr>
        <w:rPr>
          <w:rFonts w:eastAsia="MS Mincho"/>
        </w:rPr>
      </w:pPr>
      <w:r w:rsidRPr="00D229C5">
        <w:rPr>
          <w:rFonts w:eastAsia="MS Mincho"/>
        </w:rPr>
        <w:t xml:space="preserve">En caso de necesidad, el </w:t>
      </w:r>
      <w:r w:rsidR="00FA1186" w:rsidRPr="00D229C5">
        <w:t xml:space="preserve">FG-AI4EE </w:t>
      </w:r>
      <w:r w:rsidRPr="00D229C5">
        <w:rPr>
          <w:rFonts w:eastAsia="MS Mincho"/>
        </w:rPr>
        <w:t>podrá establecer varios subgrupos.</w:t>
      </w:r>
    </w:p>
    <w:p w14:paraId="6C40F9F2" w14:textId="77777777" w:rsidR="002F45CD" w:rsidRPr="00D229C5" w:rsidRDefault="002F45CD" w:rsidP="007C5503">
      <w:pPr>
        <w:pStyle w:val="Heading1"/>
      </w:pPr>
      <w:r w:rsidRPr="00D229C5">
        <w:t>4</w:t>
      </w:r>
      <w:r w:rsidR="000557B1" w:rsidRPr="00D229C5">
        <w:tab/>
      </w:r>
      <w:r w:rsidRPr="00D229C5">
        <w:t>Tareas específicas y productos finales</w:t>
      </w:r>
    </w:p>
    <w:p w14:paraId="7389BB11" w14:textId="2CF9C027" w:rsidR="0079483F" w:rsidRPr="00D229C5" w:rsidRDefault="0079483F" w:rsidP="007C5503">
      <w:pPr>
        <w:rPr>
          <w:lang w:eastAsia="fr-FR"/>
        </w:rPr>
      </w:pPr>
      <w:r w:rsidRPr="00D229C5">
        <w:rPr>
          <w:lang w:eastAsia="fr-FR"/>
        </w:rPr>
        <w:t xml:space="preserve">Entre las tareas y los productos del </w:t>
      </w:r>
      <w:r w:rsidR="00FA1186" w:rsidRPr="00D229C5">
        <w:t xml:space="preserve">FG-AI4EE </w:t>
      </w:r>
      <w:r w:rsidRPr="00D229C5">
        <w:rPr>
          <w:lang w:eastAsia="fr-FR"/>
        </w:rPr>
        <w:t>cabe destacar, en particular:</w:t>
      </w:r>
    </w:p>
    <w:p w14:paraId="1F208D99" w14:textId="2EBFC823" w:rsidR="00FA1186" w:rsidRPr="00D229C5" w:rsidRDefault="00F57D13" w:rsidP="00F57D13">
      <w:pPr>
        <w:pStyle w:val="enumlev1"/>
      </w:pPr>
      <w:r w:rsidRPr="00D229C5">
        <w:rPr>
          <w:lang w:eastAsia="fr-FR"/>
        </w:rPr>
        <w:t>–</w:t>
      </w:r>
      <w:r w:rsidRPr="00D229C5">
        <w:rPr>
          <w:lang w:eastAsia="fr-FR"/>
        </w:rPr>
        <w:tab/>
      </w:r>
      <w:r w:rsidR="00FA1186" w:rsidRPr="00D229C5">
        <w:t>Recopilar información sobre las iniciativas y normas existentes relativas a al impacto ambiental de la IA y otras tecnologías emergentes.</w:t>
      </w:r>
    </w:p>
    <w:p w14:paraId="3EE4DA6F" w14:textId="3AC6DD4A" w:rsidR="00FA1186" w:rsidRPr="00D229C5" w:rsidRDefault="00F57D13" w:rsidP="00F57D13">
      <w:pPr>
        <w:pStyle w:val="enumlev1"/>
      </w:pPr>
      <w:r w:rsidRPr="00D229C5">
        <w:t>–</w:t>
      </w:r>
      <w:r w:rsidRPr="00D229C5">
        <w:tab/>
      </w:r>
      <w:r w:rsidR="00FA1186" w:rsidRPr="00D229C5">
        <w:t>Elaborar informes técnicos y especificaciones técnicas sobre el impacto ambiental de la IA y otras tecnologías emergentes.</w:t>
      </w:r>
    </w:p>
    <w:p w14:paraId="6C9CA279" w14:textId="2033D634" w:rsidR="00FA1186" w:rsidRPr="00D229C5" w:rsidRDefault="00F57D13" w:rsidP="00F57D13">
      <w:pPr>
        <w:pStyle w:val="enumlev1"/>
      </w:pPr>
      <w:r w:rsidRPr="00D229C5">
        <w:t>–</w:t>
      </w:r>
      <w:r w:rsidRPr="00D229C5">
        <w:tab/>
      </w:r>
      <w:r w:rsidR="00FA1186" w:rsidRPr="00D229C5">
        <w:t>Determinar casos de utilización y prácticas idóneas en la implantación de la IA y otras tecnologías emergentes de manera inocua para el medio ambiente.</w:t>
      </w:r>
    </w:p>
    <w:p w14:paraId="5011E71B" w14:textId="6A81D4BF" w:rsidR="00FA1186" w:rsidRPr="00D229C5" w:rsidRDefault="00F57D13" w:rsidP="00F57D13">
      <w:pPr>
        <w:pStyle w:val="enumlev1"/>
      </w:pPr>
      <w:r w:rsidRPr="00D229C5">
        <w:t>–</w:t>
      </w:r>
      <w:r w:rsidRPr="00D229C5">
        <w:tab/>
      </w:r>
      <w:r w:rsidR="00FA1186" w:rsidRPr="00D229C5">
        <w:t>Elaborar estrategias y conjuntos de herramientas que reduzcan al mínimo la huella ambiental de las tecnologías emergentes</w:t>
      </w:r>
      <w:r w:rsidR="008751D0" w:rsidRPr="00D229C5">
        <w:t xml:space="preserve"> y </w:t>
      </w:r>
      <w:r w:rsidR="00FA1186" w:rsidRPr="00D229C5">
        <w:t>que</w:t>
      </w:r>
      <w:r w:rsidR="008751D0" w:rsidRPr="00D229C5">
        <w:t xml:space="preserve">, a </w:t>
      </w:r>
      <w:r w:rsidR="00C90716" w:rsidRPr="00D229C5">
        <w:t>su vez</w:t>
      </w:r>
      <w:r w:rsidR="008751D0" w:rsidRPr="00D229C5">
        <w:t>,</w:t>
      </w:r>
      <w:r w:rsidR="00FA1186" w:rsidRPr="00D229C5">
        <w:t xml:space="preserve"> maximi</w:t>
      </w:r>
      <w:r w:rsidR="008751D0" w:rsidRPr="00D229C5">
        <w:t>cen</w:t>
      </w:r>
      <w:r w:rsidR="00FA1186" w:rsidRPr="00D229C5">
        <w:t xml:space="preserve"> la eficiencia energética y aprovech</w:t>
      </w:r>
      <w:r w:rsidR="008751D0" w:rsidRPr="00D229C5">
        <w:t>en</w:t>
      </w:r>
      <w:r w:rsidR="00FA1186" w:rsidRPr="00D229C5">
        <w:t xml:space="preserve"> el potencial de una economía circular para las partes interesadas.</w:t>
      </w:r>
    </w:p>
    <w:p w14:paraId="59DBC70E" w14:textId="6932330C" w:rsidR="00FA1186" w:rsidRPr="00D229C5" w:rsidRDefault="00F57D13" w:rsidP="00F57D13">
      <w:pPr>
        <w:pStyle w:val="enumlev1"/>
      </w:pPr>
      <w:r w:rsidRPr="00D229C5">
        <w:t>–</w:t>
      </w:r>
      <w:r w:rsidRPr="00D229C5">
        <w:tab/>
      </w:r>
      <w:r w:rsidR="008751D0" w:rsidRPr="00D229C5">
        <w:t xml:space="preserve">Preparar </w:t>
      </w:r>
      <w:r w:rsidR="00FA1186" w:rsidRPr="00D229C5">
        <w:t xml:space="preserve">informes técnicos y especificaciones para </w:t>
      </w:r>
      <w:r w:rsidR="008751D0" w:rsidRPr="00D229C5">
        <w:t xml:space="preserve">crear </w:t>
      </w:r>
      <w:r w:rsidR="00FA1186" w:rsidRPr="00D229C5">
        <w:t xml:space="preserve">un marco </w:t>
      </w:r>
      <w:r w:rsidR="008751D0" w:rsidRPr="00D229C5">
        <w:t xml:space="preserve">normativo que permita </w:t>
      </w:r>
      <w:r w:rsidR="00FA1186" w:rsidRPr="00D229C5">
        <w:t xml:space="preserve">evaluar los aspectos ambientales del despliegue de la IA y otras tecnologías emergentes (por ejemplo, un conjunto de indicadores </w:t>
      </w:r>
      <w:r w:rsidR="008751D0" w:rsidRPr="00D229C5">
        <w:t xml:space="preserve">fundamentales </w:t>
      </w:r>
      <w:r w:rsidR="00FA1186" w:rsidRPr="00D229C5">
        <w:t>de rendimiento).</w:t>
      </w:r>
    </w:p>
    <w:p w14:paraId="5F705287" w14:textId="23773935" w:rsidR="00FA1186" w:rsidRPr="00D229C5" w:rsidRDefault="00F57D13" w:rsidP="00F57D13">
      <w:pPr>
        <w:pStyle w:val="enumlev1"/>
      </w:pPr>
      <w:r w:rsidRPr="00D229C5">
        <w:t>–</w:t>
      </w:r>
      <w:r w:rsidRPr="00D229C5">
        <w:tab/>
      </w:r>
      <w:r w:rsidR="00FA1186" w:rsidRPr="00D229C5">
        <w:t xml:space="preserve">Estudiar los beneficios que aportan la IA y otras tecnologías emergentes para lograr, entre otras cosas, </w:t>
      </w:r>
      <w:r w:rsidR="008751D0" w:rsidRPr="00D229C5">
        <w:t xml:space="preserve">la Agenda para el </w:t>
      </w:r>
      <w:r w:rsidR="00FA1186" w:rsidRPr="00D229C5">
        <w:t>Desarrollo Sostenible de 2030 y sus 17 objetivos de desarrollo sostenible, el Acuerdo de París de la CMNUCC y la protección de la biodiversidad.</w:t>
      </w:r>
    </w:p>
    <w:p w14:paraId="4456FDCA" w14:textId="79AC352A" w:rsidR="008751D0" w:rsidRPr="00D229C5" w:rsidRDefault="00F57D13" w:rsidP="00F57D13">
      <w:pPr>
        <w:pStyle w:val="enumlev1"/>
      </w:pPr>
      <w:r w:rsidRPr="00D229C5">
        <w:t>–</w:t>
      </w:r>
      <w:r w:rsidRPr="00D229C5">
        <w:tab/>
      </w:r>
      <w:r w:rsidR="00FA1186" w:rsidRPr="00D229C5">
        <w:t>Servir de enlace con las partes interesadas pertinentes, como el FEM y la CMNUCC, entre otras, sobre cómo mejorar el rendimiento medioambiental de la IA y otras tecnologías emergentes, así como con la CEPE-ONU/CEFACT para la armonización semántica de los requisitos de datos.</w:t>
      </w:r>
    </w:p>
    <w:p w14:paraId="50F43236" w14:textId="5BE343E2" w:rsidR="0079483F" w:rsidRPr="00D229C5" w:rsidRDefault="00F57D13" w:rsidP="00F57D13">
      <w:pPr>
        <w:pStyle w:val="enumlev1"/>
      </w:pPr>
      <w:r w:rsidRPr="00D229C5">
        <w:t>–</w:t>
      </w:r>
      <w:r w:rsidRPr="00D229C5">
        <w:tab/>
      </w:r>
      <w:r w:rsidR="0079483F" w:rsidRPr="00D229C5">
        <w:t xml:space="preserve">Organización de talleres y foros temáticos sobre </w:t>
      </w:r>
      <w:r w:rsidR="008751D0" w:rsidRPr="00D229C5">
        <w:t>la eficiencia energética</w:t>
      </w:r>
      <w:r w:rsidR="0079483F" w:rsidRPr="00D229C5">
        <w:t xml:space="preserve"> de la IA </w:t>
      </w:r>
      <w:r w:rsidR="008751D0" w:rsidRPr="00D229C5">
        <w:t>y otras tecnologías emergentes</w:t>
      </w:r>
      <w:r w:rsidR="0079483F" w:rsidRPr="00D229C5">
        <w:t xml:space="preserve">, </w:t>
      </w:r>
      <w:r w:rsidR="008751D0" w:rsidRPr="00D229C5">
        <w:t xml:space="preserve">con el </w:t>
      </w:r>
      <w:r w:rsidR="0079483F" w:rsidRPr="00D229C5">
        <w:t xml:space="preserve">fin de </w:t>
      </w:r>
      <w:r w:rsidR="008751D0" w:rsidRPr="00D229C5">
        <w:t xml:space="preserve">reunir a las partes interesadas pertinentes, </w:t>
      </w:r>
      <w:r w:rsidR="0079483F" w:rsidRPr="00D229C5">
        <w:t>promover las actividades del Grupo Temático y alentar a los miembros de la UIT y a entidades ajenas a la organización a participar en su labor.</w:t>
      </w:r>
    </w:p>
    <w:p w14:paraId="0284872D" w14:textId="36A4F6E6" w:rsidR="0079483F" w:rsidRPr="00D229C5" w:rsidRDefault="00F57D13" w:rsidP="00F57D13">
      <w:pPr>
        <w:pStyle w:val="enumlev1"/>
      </w:pPr>
      <w:r w:rsidRPr="00D229C5">
        <w:t>–</w:t>
      </w:r>
      <w:r w:rsidRPr="00D229C5">
        <w:tab/>
      </w:r>
      <w:r w:rsidR="0079483F" w:rsidRPr="00D229C5">
        <w:t xml:space="preserve">Enviar los resultados finales al grupo tutor, como mínimo cuatro semanas naturales antes de la reunión </w:t>
      </w:r>
      <w:r w:rsidR="008751D0" w:rsidRPr="00D229C5">
        <w:t>de la Comisión rectora</w:t>
      </w:r>
      <w:r w:rsidR="0079483F" w:rsidRPr="00D229C5">
        <w:t>.</w:t>
      </w:r>
    </w:p>
    <w:p w14:paraId="11569316" w14:textId="6B85AE81" w:rsidR="002F45CD" w:rsidRPr="00D229C5" w:rsidRDefault="002F45CD" w:rsidP="007C5503">
      <w:pPr>
        <w:pStyle w:val="Heading1"/>
        <w:rPr>
          <w:lang w:eastAsia="zh-CN"/>
        </w:rPr>
      </w:pPr>
      <w:r w:rsidRPr="00D229C5">
        <w:rPr>
          <w:lang w:eastAsia="zh-CN"/>
        </w:rPr>
        <w:t>5</w:t>
      </w:r>
      <w:r w:rsidR="000557B1" w:rsidRPr="00D229C5">
        <w:rPr>
          <w:lang w:eastAsia="zh-CN"/>
        </w:rPr>
        <w:tab/>
      </w:r>
      <w:r w:rsidRPr="00D229C5">
        <w:t>Relaciones</w:t>
      </w:r>
    </w:p>
    <w:p w14:paraId="06302159" w14:textId="23D52232" w:rsidR="0079483F" w:rsidRPr="00D229C5" w:rsidRDefault="0079483F" w:rsidP="007C5503">
      <w:pPr>
        <w:keepLines/>
      </w:pPr>
      <w:r w:rsidRPr="00D229C5">
        <w:t>Este Grupo Temático colaborará estrechamente con las Comisiones de Estudio pertinentes de la UIT (UIT-R, UIT-T y UIT-D) en particular en el marco de reuniones organizadas en el mismo lugar, de ser posible. También establecerá y mantendrá acuerdos de colaboración respecto de tareas específicas con otros grupos de la UIT.</w:t>
      </w:r>
    </w:p>
    <w:p w14:paraId="0CB9DF9C" w14:textId="1CD30218" w:rsidR="002F45CD" w:rsidRPr="00D229C5" w:rsidRDefault="0079483F" w:rsidP="00F57D13">
      <w:pPr>
        <w:keepLines/>
      </w:pPr>
      <w:r w:rsidRPr="00D229C5">
        <w:lastRenderedPageBreak/>
        <w:t xml:space="preserve">Por otro lado, </w:t>
      </w:r>
      <w:r w:rsidR="008751D0" w:rsidRPr="00D229C5">
        <w:rPr>
          <w:rFonts w:cstheme="minorHAnsi"/>
          <w:szCs w:val="24"/>
        </w:rPr>
        <w:t xml:space="preserve">FG-AI4EE </w:t>
      </w:r>
      <w:r w:rsidRPr="00D229C5">
        <w:t>también colaborará (según proceda) con otros grupos y entidades pertinentes, de conformidad con la Recomendación UIT-T A.7. Entre esos grupos y entidades figuran gobiernos, organizaciones no gubernamentales (ONG), responsables de la elaboración de políticas, organizaciones de normalización, foros y consorcios industriales, empresas, instituciones académicas, instituciones de investigación y otras organizaciones pertinentes.</w:t>
      </w:r>
    </w:p>
    <w:p w14:paraId="51C42801" w14:textId="38A988D6" w:rsidR="002F45CD" w:rsidRPr="00D229C5" w:rsidRDefault="002F45CD" w:rsidP="007C5503">
      <w:pPr>
        <w:pStyle w:val="Heading1"/>
        <w:rPr>
          <w:lang w:eastAsia="zh-CN"/>
        </w:rPr>
      </w:pPr>
      <w:r w:rsidRPr="00D229C5">
        <w:rPr>
          <w:lang w:eastAsia="zh-CN"/>
        </w:rPr>
        <w:t>6</w:t>
      </w:r>
      <w:r w:rsidR="000557B1" w:rsidRPr="00D229C5">
        <w:rPr>
          <w:lang w:eastAsia="zh-CN"/>
        </w:rPr>
        <w:tab/>
      </w:r>
      <w:r w:rsidRPr="00D229C5">
        <w:rPr>
          <w:lang w:eastAsia="zh-CN"/>
        </w:rPr>
        <w:t xml:space="preserve">Comisión </w:t>
      </w:r>
      <w:r w:rsidR="0079483F" w:rsidRPr="00D229C5">
        <w:rPr>
          <w:lang w:eastAsia="zh-CN"/>
        </w:rPr>
        <w:t>rectora</w:t>
      </w:r>
    </w:p>
    <w:p w14:paraId="173FDBD2" w14:textId="53AF2F8E" w:rsidR="0079483F" w:rsidRPr="00D229C5" w:rsidRDefault="008751D0" w:rsidP="008751D0">
      <w:pPr>
        <w:rPr>
          <w:rFonts w:cstheme="minorHAnsi"/>
          <w:szCs w:val="24"/>
        </w:rPr>
      </w:pPr>
      <w:r w:rsidRPr="00D229C5">
        <w:rPr>
          <w:rFonts w:cstheme="minorHAnsi"/>
          <w:szCs w:val="24"/>
        </w:rPr>
        <w:t xml:space="preserve">La Comisión rectora del </w:t>
      </w:r>
      <w:r w:rsidR="0079483F" w:rsidRPr="00D229C5">
        <w:rPr>
          <w:rFonts w:cstheme="minorHAnsi"/>
          <w:szCs w:val="24"/>
        </w:rPr>
        <w:t xml:space="preserve">FG-AI4EE </w:t>
      </w:r>
      <w:r w:rsidRPr="00D229C5">
        <w:rPr>
          <w:rFonts w:cstheme="minorHAnsi"/>
          <w:szCs w:val="24"/>
        </w:rPr>
        <w:t xml:space="preserve">es </w:t>
      </w:r>
      <w:bookmarkStart w:id="2" w:name="_Hlk17726009"/>
      <w:r w:rsidRPr="00D229C5">
        <w:rPr>
          <w:rFonts w:cstheme="minorHAnsi"/>
          <w:szCs w:val="24"/>
        </w:rPr>
        <w:t xml:space="preserve">la </w:t>
      </w:r>
      <w:r w:rsidRPr="00D229C5">
        <w:rPr>
          <w:rFonts w:cstheme="minorHAnsi"/>
          <w:b/>
          <w:bCs/>
          <w:szCs w:val="24"/>
        </w:rPr>
        <w:t>Comisión de Estudio 5 del U</w:t>
      </w:r>
      <w:r w:rsidR="0079483F" w:rsidRPr="00D229C5">
        <w:rPr>
          <w:rFonts w:cstheme="minorHAnsi"/>
          <w:b/>
          <w:bCs/>
          <w:szCs w:val="24"/>
        </w:rPr>
        <w:t>IT-T</w:t>
      </w:r>
      <w:r w:rsidR="0079483F" w:rsidRPr="00D229C5">
        <w:rPr>
          <w:rFonts w:cstheme="minorHAnsi"/>
          <w:b/>
          <w:szCs w:val="24"/>
        </w:rPr>
        <w:t xml:space="preserve"> </w:t>
      </w:r>
      <w:bookmarkEnd w:id="2"/>
      <w:r w:rsidR="0079483F" w:rsidRPr="00D229C5">
        <w:rPr>
          <w:rFonts w:cstheme="minorHAnsi"/>
          <w:szCs w:val="24"/>
        </w:rPr>
        <w:t>"</w:t>
      </w:r>
      <w:r w:rsidRPr="00D229C5">
        <w:rPr>
          <w:rFonts w:cstheme="minorHAnsi"/>
          <w:szCs w:val="24"/>
        </w:rPr>
        <w:t>Medio ambiente, cambio climático y economía circular</w:t>
      </w:r>
      <w:r w:rsidR="0079483F" w:rsidRPr="00D229C5">
        <w:rPr>
          <w:rFonts w:cstheme="minorHAnsi"/>
          <w:szCs w:val="24"/>
        </w:rPr>
        <w:t>".</w:t>
      </w:r>
    </w:p>
    <w:p w14:paraId="6D3FA160" w14:textId="0FE5E7C0" w:rsidR="002F45CD" w:rsidRPr="00D229C5" w:rsidRDefault="008751D0" w:rsidP="007C5503">
      <w:r w:rsidRPr="00D229C5">
        <w:rPr>
          <w:rFonts w:cstheme="minorHAnsi"/>
          <w:szCs w:val="24"/>
        </w:rPr>
        <w:t>la Comisión de Estudio 5 del UIT-T lidera los trabajos de normalización en la UIT y el estudio de temas relacionados con el medio ambiente, el cambio climático y la economía circular, en particular la coordinación de los estudios afines entre las diversas CE del UIT-T</w:t>
      </w:r>
      <w:r w:rsidR="0079483F" w:rsidRPr="00D229C5">
        <w:rPr>
          <w:rFonts w:cstheme="minorHAnsi"/>
          <w:szCs w:val="24"/>
        </w:rPr>
        <w:t>.</w:t>
      </w:r>
    </w:p>
    <w:p w14:paraId="3AB19351" w14:textId="77777777" w:rsidR="0001728B" w:rsidRPr="00D229C5" w:rsidRDefault="0001728B" w:rsidP="007C5503">
      <w:pPr>
        <w:pStyle w:val="Heading1"/>
      </w:pPr>
      <w:r w:rsidRPr="00D229C5">
        <w:t>7</w:t>
      </w:r>
      <w:r w:rsidRPr="00D229C5">
        <w:tab/>
        <w:t>Dirección</w:t>
      </w:r>
    </w:p>
    <w:p w14:paraId="496D6DA1" w14:textId="77777777" w:rsidR="0001728B" w:rsidRPr="00D229C5" w:rsidRDefault="0001728B" w:rsidP="007C5503">
      <w:r w:rsidRPr="00D229C5">
        <w:t>Véase el apartado 2.3 de la Recomendación UIT-T A.7.</w:t>
      </w:r>
    </w:p>
    <w:p w14:paraId="0613A637" w14:textId="77777777" w:rsidR="0001728B" w:rsidRPr="00D229C5" w:rsidRDefault="0001728B" w:rsidP="007C5503">
      <w:pPr>
        <w:pStyle w:val="Heading1"/>
      </w:pPr>
      <w:r w:rsidRPr="00D229C5">
        <w:t>8</w:t>
      </w:r>
      <w:r w:rsidRPr="00D229C5">
        <w:tab/>
        <w:t>Participación</w:t>
      </w:r>
    </w:p>
    <w:p w14:paraId="3ADC2E99" w14:textId="77777777" w:rsidR="0001728B" w:rsidRPr="00D229C5" w:rsidRDefault="0001728B" w:rsidP="007C5503">
      <w:pPr>
        <w:rPr>
          <w:rFonts w:eastAsiaTheme="minorEastAsia"/>
        </w:rPr>
      </w:pPr>
      <w:r w:rsidRPr="00D229C5">
        <w:t>Véase el apartado 3 de la Recomendación UIT-T A.7. Se mantendrá a efectos de referencia una lista de participantes que se comunicará a la Comisión Rectora.</w:t>
      </w:r>
    </w:p>
    <w:p w14:paraId="2BF47A47" w14:textId="77777777" w:rsidR="0001728B" w:rsidRPr="00D229C5" w:rsidRDefault="0001728B" w:rsidP="007C5503">
      <w:r w:rsidRPr="00D229C5">
        <w:t>Cabe señalar que la participación en este Grupo Temático ha de articularse en torno a las contribuciones y a la activa participación.</w:t>
      </w:r>
    </w:p>
    <w:p w14:paraId="5D03AF56" w14:textId="77777777" w:rsidR="0001728B" w:rsidRPr="00D229C5" w:rsidRDefault="0001728B" w:rsidP="007C5503">
      <w:pPr>
        <w:pStyle w:val="Heading1"/>
      </w:pPr>
      <w:r w:rsidRPr="00D229C5">
        <w:t>9</w:t>
      </w:r>
      <w:r w:rsidRPr="00D229C5">
        <w:tab/>
        <w:t>Apoyo administrativo</w:t>
      </w:r>
    </w:p>
    <w:p w14:paraId="716A6343" w14:textId="77777777" w:rsidR="0001728B" w:rsidRPr="00D229C5" w:rsidRDefault="0001728B" w:rsidP="007C5503">
      <w:pPr>
        <w:rPr>
          <w:rFonts w:eastAsiaTheme="minorEastAsia"/>
        </w:rPr>
      </w:pPr>
      <w:r w:rsidRPr="00D229C5">
        <w:t>Véase el apartado 5 de la Recomendación UIT-T A.7.</w:t>
      </w:r>
    </w:p>
    <w:p w14:paraId="196EE632" w14:textId="77777777" w:rsidR="0001728B" w:rsidRPr="00D229C5" w:rsidRDefault="0001728B" w:rsidP="007C5503">
      <w:pPr>
        <w:pStyle w:val="Heading1"/>
      </w:pPr>
      <w:r w:rsidRPr="00D229C5">
        <w:t>10</w:t>
      </w:r>
      <w:r w:rsidRPr="00D229C5">
        <w:tab/>
        <w:t>Financiación general</w:t>
      </w:r>
    </w:p>
    <w:p w14:paraId="4E81D285" w14:textId="77777777" w:rsidR="0001728B" w:rsidRPr="00D229C5" w:rsidRDefault="0001728B" w:rsidP="007C5503">
      <w:pPr>
        <w:rPr>
          <w:rFonts w:eastAsiaTheme="minorEastAsia"/>
        </w:rPr>
      </w:pPr>
      <w:r w:rsidRPr="00D229C5">
        <w:t>Véanse los apartados 4 y 10.2 de la Recomendación UIT-T A.7.</w:t>
      </w:r>
    </w:p>
    <w:p w14:paraId="657627A8" w14:textId="77777777" w:rsidR="0001728B" w:rsidRPr="00D229C5" w:rsidRDefault="0001728B" w:rsidP="007C5503">
      <w:pPr>
        <w:pStyle w:val="Heading1"/>
      </w:pPr>
      <w:r w:rsidRPr="00D229C5">
        <w:t>11</w:t>
      </w:r>
      <w:r w:rsidRPr="00D229C5">
        <w:tab/>
        <w:t>Reuniones</w:t>
      </w:r>
    </w:p>
    <w:p w14:paraId="00DC5517" w14:textId="77777777" w:rsidR="0001728B" w:rsidRPr="00D229C5" w:rsidRDefault="0001728B" w:rsidP="007C5503">
      <w:r w:rsidRPr="00D229C5">
        <w:t>El Grupo Temático celebrará reuniones periódicas. La dirección del Grupo determinará la frecuencia y</w:t>
      </w:r>
      <w:r w:rsidRPr="00D229C5">
        <w:rPr>
          <w:sz w:val="28"/>
          <w:szCs w:val="22"/>
        </w:rPr>
        <w:t xml:space="preserve"> </w:t>
      </w:r>
      <w:r w:rsidRPr="00D229C5">
        <w:t>el lugar de las reuniones. El plan general de estas se anunciará una vez que se haya aprobado el mandato.</w:t>
      </w:r>
    </w:p>
    <w:p w14:paraId="1FB90CE7" w14:textId="77777777" w:rsidR="0001728B" w:rsidRPr="00D229C5" w:rsidRDefault="0001728B" w:rsidP="007C5503">
      <w:pPr>
        <w:rPr>
          <w:rFonts w:eastAsiaTheme="minorEastAsia"/>
        </w:rPr>
      </w:pPr>
      <w:r w:rsidRPr="00D229C5">
        <w:t>El Grupo Temático utilizará herramientas de colaboración a distancia en la medida de lo posible, y se recomienda que el Grupo celebre sus reuniones en el mismo lugar que las Comisiones de Estudio del UIT.</w:t>
      </w:r>
    </w:p>
    <w:p w14:paraId="1930C094" w14:textId="77777777" w:rsidR="0001728B" w:rsidRPr="00D229C5" w:rsidRDefault="0001728B" w:rsidP="007C5503">
      <w:pPr>
        <w:rPr>
          <w:rFonts w:eastAsiaTheme="minorEastAsia"/>
        </w:rPr>
      </w:pPr>
      <w:r w:rsidRPr="00D229C5">
        <w:t>La fecha de las reuniones se anunciará por medios electrónicos (por ejemplo, correos electrónicos y páginas web) al menos con cuatro semanas de antelación.</w:t>
      </w:r>
    </w:p>
    <w:p w14:paraId="7E58B7C1" w14:textId="77777777" w:rsidR="0001728B" w:rsidRPr="00D229C5" w:rsidRDefault="0001728B" w:rsidP="007C5503">
      <w:pPr>
        <w:pStyle w:val="Heading1"/>
      </w:pPr>
      <w:r w:rsidRPr="00D229C5">
        <w:lastRenderedPageBreak/>
        <w:t>12</w:t>
      </w:r>
      <w:r w:rsidRPr="00D229C5">
        <w:tab/>
        <w:t>Contribuciones técnicas</w:t>
      </w:r>
    </w:p>
    <w:p w14:paraId="2C8E6256" w14:textId="77777777" w:rsidR="0001728B" w:rsidRPr="00D229C5" w:rsidRDefault="0001728B" w:rsidP="00F57D13">
      <w:pPr>
        <w:keepNext/>
        <w:keepLines/>
        <w:rPr>
          <w:rFonts w:eastAsiaTheme="minorEastAsia"/>
        </w:rPr>
      </w:pPr>
      <w:r w:rsidRPr="00D229C5">
        <w:t>Véase el apartado 8 de la Recomendación UIT-T A.7.</w:t>
      </w:r>
    </w:p>
    <w:p w14:paraId="6D5F38CF" w14:textId="77777777" w:rsidR="0001728B" w:rsidRPr="00D229C5" w:rsidRDefault="0001728B" w:rsidP="007C5503">
      <w:pPr>
        <w:pStyle w:val="Heading1"/>
      </w:pPr>
      <w:r w:rsidRPr="00D229C5">
        <w:t>13</w:t>
      </w:r>
      <w:r w:rsidRPr="00D229C5">
        <w:tab/>
        <w:t>Idioma de trabajo</w:t>
      </w:r>
    </w:p>
    <w:p w14:paraId="7913468C" w14:textId="77777777" w:rsidR="0001728B" w:rsidRPr="00D229C5" w:rsidRDefault="0001728B" w:rsidP="007C5503">
      <w:pPr>
        <w:rPr>
          <w:rFonts w:eastAsiaTheme="minorEastAsia"/>
        </w:rPr>
      </w:pPr>
      <w:r w:rsidRPr="00D229C5">
        <w:t>El idioma de trabajo es el inglés.</w:t>
      </w:r>
    </w:p>
    <w:p w14:paraId="738651AE" w14:textId="77777777" w:rsidR="0001728B" w:rsidRPr="00D229C5" w:rsidRDefault="0001728B" w:rsidP="007C5503">
      <w:pPr>
        <w:pStyle w:val="Heading1"/>
      </w:pPr>
      <w:r w:rsidRPr="00D229C5">
        <w:t>14</w:t>
      </w:r>
      <w:r w:rsidRPr="00D229C5">
        <w:tab/>
        <w:t>Aprobación de los resultados</w:t>
      </w:r>
    </w:p>
    <w:p w14:paraId="02F884EA" w14:textId="77777777" w:rsidR="0001728B" w:rsidRPr="00D229C5" w:rsidRDefault="0001728B" w:rsidP="007C5503">
      <w:pPr>
        <w:rPr>
          <w:rFonts w:eastAsiaTheme="minorEastAsia"/>
        </w:rPr>
      </w:pPr>
      <w:r w:rsidRPr="00D229C5">
        <w:t>Los resultados se aprobarán por consenso.</w:t>
      </w:r>
    </w:p>
    <w:p w14:paraId="130FAC80" w14:textId="77777777" w:rsidR="0001728B" w:rsidRPr="00D229C5" w:rsidRDefault="0001728B" w:rsidP="007C5503">
      <w:pPr>
        <w:pStyle w:val="Heading1"/>
        <w:rPr>
          <w:rFonts w:eastAsiaTheme="minorEastAsia"/>
        </w:rPr>
      </w:pPr>
      <w:r w:rsidRPr="00D229C5">
        <w:t>15</w:t>
      </w:r>
      <w:r w:rsidRPr="00D229C5">
        <w:tab/>
        <w:t>Directrices relativas a los trabajos</w:t>
      </w:r>
    </w:p>
    <w:p w14:paraId="5B595369" w14:textId="77777777" w:rsidR="0001728B" w:rsidRPr="00D229C5" w:rsidRDefault="0001728B" w:rsidP="007C5503">
      <w:r w:rsidRPr="00D229C5">
        <w:t>Los procedimientos de trabajo se ajustarán a los procedimientos de las reuniones de</w:t>
      </w:r>
      <w:r w:rsidRPr="00D229C5">
        <w:rPr>
          <w:rFonts w:ascii="Calibri" w:hAnsi="Calibri"/>
        </w:rPr>
        <w:t>l Grupo de</w:t>
      </w:r>
      <w:r w:rsidRPr="00D229C5">
        <w:t xml:space="preserve"> Relator. </w:t>
      </w:r>
    </w:p>
    <w:p w14:paraId="0CE1DABC" w14:textId="77777777" w:rsidR="0001728B" w:rsidRPr="00D229C5" w:rsidRDefault="0001728B" w:rsidP="007C5503">
      <w:r w:rsidRPr="00D229C5">
        <w:t>El GT intercambiará proyectos de productos finales, entre otros resultados, de forma periódica con su Comisión rectora con objeto de velar por la entrega oportuna de productos finales para racionalizar la labor de normalización en el futuro (véase el Apéndice I de la Recomendación UIT</w:t>
      </w:r>
      <w:r w:rsidRPr="00D229C5">
        <w:noBreakHyphen/>
        <w:t>T A.7).</w:t>
      </w:r>
    </w:p>
    <w:p w14:paraId="4F910DE0" w14:textId="77777777" w:rsidR="0001728B" w:rsidRPr="00D229C5" w:rsidRDefault="0001728B" w:rsidP="007C5503">
      <w:pPr>
        <w:rPr>
          <w:rFonts w:eastAsiaTheme="minorEastAsia"/>
        </w:rPr>
      </w:pPr>
      <w:r w:rsidRPr="00D229C5">
        <w:t>No se definen directrices de trabajo adicionales.</w:t>
      </w:r>
    </w:p>
    <w:p w14:paraId="0ACE3154" w14:textId="77777777" w:rsidR="0001728B" w:rsidRPr="00D229C5" w:rsidRDefault="0001728B" w:rsidP="007C5503">
      <w:pPr>
        <w:pStyle w:val="Heading1"/>
        <w:rPr>
          <w:rFonts w:eastAsiaTheme="minorEastAsia"/>
        </w:rPr>
      </w:pPr>
      <w:r w:rsidRPr="00D229C5">
        <w:t>16</w:t>
      </w:r>
      <w:r w:rsidRPr="00D229C5">
        <w:tab/>
        <w:t>Informes sobre la marcha de los trabajos</w:t>
      </w:r>
    </w:p>
    <w:p w14:paraId="23472D06" w14:textId="77777777" w:rsidR="0001728B" w:rsidRPr="00D229C5" w:rsidRDefault="0001728B" w:rsidP="007C5503">
      <w:pPr>
        <w:rPr>
          <w:rFonts w:eastAsiaTheme="minorEastAsia"/>
        </w:rPr>
      </w:pPr>
      <w:r w:rsidRPr="00D229C5">
        <w:t>Véase el apartado 11 de la Recomendación UIT-T A.7.</w:t>
      </w:r>
    </w:p>
    <w:p w14:paraId="7C96F9EC" w14:textId="77777777" w:rsidR="0001728B" w:rsidRPr="00D229C5" w:rsidRDefault="0001728B" w:rsidP="007C5503">
      <w:pPr>
        <w:pStyle w:val="Heading1"/>
        <w:rPr>
          <w:rFonts w:eastAsiaTheme="minorEastAsia"/>
        </w:rPr>
      </w:pPr>
      <w:r w:rsidRPr="00D229C5">
        <w:t>17</w:t>
      </w:r>
      <w:r w:rsidRPr="00D229C5">
        <w:tab/>
        <w:t>Anuncio de constitución de Grupo Temático</w:t>
      </w:r>
    </w:p>
    <w:p w14:paraId="46FEBC29" w14:textId="77777777" w:rsidR="0001728B" w:rsidRPr="00D229C5" w:rsidRDefault="0001728B" w:rsidP="007C5503">
      <w:pPr>
        <w:rPr>
          <w:rFonts w:eastAsiaTheme="minorEastAsia"/>
        </w:rPr>
      </w:pPr>
      <w:r w:rsidRPr="00D229C5">
        <w:t xml:space="preserve">La constitución del Grupo Temático se anunciará a través de una Circular TSB dirigida a todos los miembros de la UIT, a través del </w:t>
      </w:r>
      <w:proofErr w:type="spellStart"/>
      <w:r w:rsidRPr="00D229C5">
        <w:t>Newslog</w:t>
      </w:r>
      <w:proofErr w:type="spellEnd"/>
      <w:r w:rsidRPr="00D229C5">
        <w:t xml:space="preserve"> del UIT-T, comunicados de prensa y otros medios, incluida la comunicación con otras organizaciones colaboradoras.</w:t>
      </w:r>
    </w:p>
    <w:p w14:paraId="35853A40" w14:textId="77777777" w:rsidR="0001728B" w:rsidRPr="00D229C5" w:rsidRDefault="0001728B" w:rsidP="007C5503">
      <w:pPr>
        <w:pStyle w:val="Heading1"/>
        <w:rPr>
          <w:rFonts w:eastAsiaTheme="minorEastAsia"/>
        </w:rPr>
      </w:pPr>
      <w:r w:rsidRPr="00D229C5">
        <w:t>18</w:t>
      </w:r>
      <w:r w:rsidRPr="00D229C5">
        <w:tab/>
        <w:t>Etapas y duración del Grupo Temático</w:t>
      </w:r>
    </w:p>
    <w:p w14:paraId="53187C6B" w14:textId="77777777" w:rsidR="0001728B" w:rsidRPr="00D229C5" w:rsidRDefault="0001728B" w:rsidP="007C5503">
      <w:r w:rsidRPr="00D229C5">
        <w:t>Se ha previsto mantener el Grupo Temático durante los dos años posteriores a su primera reunión, si bien ese periodo de tiempo podría ampliarse, si fuese necesario, por decisión de la Comisión rectora (véase el apartado 2.2 de la Recomendación UIT-T A.7).</w:t>
      </w:r>
    </w:p>
    <w:p w14:paraId="6D6A0689" w14:textId="77777777" w:rsidR="0001728B" w:rsidRPr="00D229C5" w:rsidRDefault="0001728B" w:rsidP="007C5503">
      <w:pPr>
        <w:pStyle w:val="Heading1"/>
        <w:rPr>
          <w:rFonts w:eastAsiaTheme="minorEastAsia"/>
        </w:rPr>
      </w:pPr>
      <w:r w:rsidRPr="00D229C5">
        <w:t>19</w:t>
      </w:r>
      <w:r w:rsidRPr="00D229C5">
        <w:tab/>
        <w:t>Política de patentes</w:t>
      </w:r>
    </w:p>
    <w:p w14:paraId="72B1C642" w14:textId="1789A4AB" w:rsidR="002F45CD" w:rsidRPr="00D229C5" w:rsidRDefault="0001728B" w:rsidP="007C5503">
      <w:pPr>
        <w:pStyle w:val="Reftext0"/>
        <w:rPr>
          <w:lang w:eastAsia="ja-JP"/>
        </w:rPr>
      </w:pPr>
      <w:r w:rsidRPr="00D229C5">
        <w:t>Véase el apartado 9 de la Recomendación UIT-T A.7.</w:t>
      </w:r>
    </w:p>
    <w:p w14:paraId="290FD7BA" w14:textId="77777777" w:rsidR="000557B1" w:rsidRPr="00D229C5" w:rsidRDefault="000557B1" w:rsidP="007C5503">
      <w:r w:rsidRPr="00D229C5">
        <w:br w:type="page"/>
      </w:r>
    </w:p>
    <w:p w14:paraId="394B9203" w14:textId="071505CB" w:rsidR="0001728B" w:rsidRPr="00D229C5" w:rsidRDefault="0001728B" w:rsidP="007C5503">
      <w:pPr>
        <w:pStyle w:val="AnnexNo"/>
        <w:rPr>
          <w:rFonts w:ascii="Times New Roman" w:eastAsiaTheme="minorEastAsia" w:hAnsi="Times New Roman"/>
          <w:caps w:val="0"/>
          <w:szCs w:val="24"/>
          <w:lang w:val="es-ES_tradnl"/>
        </w:rPr>
      </w:pPr>
      <w:r w:rsidRPr="00D229C5">
        <w:rPr>
          <w:lang w:val="es-ES_tradnl"/>
        </w:rPr>
        <w:lastRenderedPageBreak/>
        <w:t>ANEXO 2</w:t>
      </w:r>
      <w:r w:rsidRPr="00D229C5">
        <w:rPr>
          <w:lang w:val="es-ES_tradnl"/>
        </w:rPr>
        <w:br/>
      </w:r>
      <w:r w:rsidRPr="00D229C5">
        <w:rPr>
          <w:lang w:val="es-ES_tradnl"/>
        </w:rPr>
        <w:br/>
        <w:t>I</w:t>
      </w:r>
      <w:r w:rsidR="004E0944" w:rsidRPr="00D229C5">
        <w:rPr>
          <w:caps w:val="0"/>
          <w:lang w:val="es-ES_tradnl"/>
        </w:rPr>
        <w:t>nformación práctica sobre la reunión destinada a los participantes</w:t>
      </w:r>
    </w:p>
    <w:p w14:paraId="232D526F" w14:textId="77777777" w:rsidR="0001728B" w:rsidRPr="00D229C5" w:rsidRDefault="0001728B" w:rsidP="007C5503">
      <w:pPr>
        <w:tabs>
          <w:tab w:val="left" w:pos="1418"/>
          <w:tab w:val="left" w:pos="1702"/>
          <w:tab w:val="left" w:pos="2160"/>
        </w:tabs>
        <w:spacing w:before="360" w:after="360"/>
        <w:ind w:right="91"/>
        <w:jc w:val="center"/>
        <w:rPr>
          <w:b/>
          <w:bCs/>
          <w:szCs w:val="24"/>
        </w:rPr>
      </w:pPr>
      <w:r w:rsidRPr="00D229C5">
        <w:rPr>
          <w:b/>
          <w:bCs/>
          <w:szCs w:val="24"/>
        </w:rPr>
        <w:t>MÉTODO DE TRABAJO E INSTALACIONES</w:t>
      </w:r>
    </w:p>
    <w:p w14:paraId="1CC041E5" w14:textId="119100F1" w:rsidR="0001728B" w:rsidRPr="00D229C5" w:rsidRDefault="0001728B" w:rsidP="007C5503">
      <w:pPr>
        <w:spacing w:after="120"/>
        <w:rPr>
          <w:rFonts w:eastAsia="SimSun"/>
          <w:szCs w:val="24"/>
          <w:lang w:eastAsia="zh-CN"/>
        </w:rPr>
      </w:pPr>
      <w:r w:rsidRPr="00D229C5">
        <w:rPr>
          <w:rFonts w:eastAsia="SimSun"/>
          <w:b/>
          <w:bCs/>
          <w:szCs w:val="24"/>
          <w:lang w:eastAsia="zh-CN"/>
        </w:rPr>
        <w:t>PRESENTACIÓN DE DOCUMENTOS Y ACCESO</w:t>
      </w:r>
      <w:r w:rsidRPr="00D229C5">
        <w:rPr>
          <w:rFonts w:eastAsia="SimSun"/>
          <w:szCs w:val="24"/>
          <w:lang w:eastAsia="zh-CN"/>
        </w:rPr>
        <w:t>: La reunión se celebrarán sin papel. Se recomienda remitir contribuciones por escrito a las reuniones del Grupo de Trabajo por correo electrónico (</w:t>
      </w:r>
      <w:hyperlink r:id="rId18" w:history="1">
        <w:r w:rsidRPr="00D229C5">
          <w:rPr>
            <w:rStyle w:val="Hyperlink"/>
          </w:rPr>
          <w:t>tsbfgai4ee@itu.int</w:t>
        </w:r>
      </w:hyperlink>
      <w:r w:rsidRPr="00D229C5">
        <w:rPr>
          <w:rFonts w:eastAsia="SimSun"/>
          <w:szCs w:val="24"/>
          <w:lang w:eastAsia="zh-CN"/>
        </w:rPr>
        <w:t xml:space="preserve">) a más tardar el </w:t>
      </w:r>
      <w:r w:rsidRPr="00D229C5">
        <w:rPr>
          <w:rFonts w:eastAsia="SimSun"/>
          <w:b/>
          <w:bCs/>
          <w:szCs w:val="24"/>
          <w:lang w:eastAsia="zh-CN"/>
        </w:rPr>
        <w:t>2 de octubre de 2019</w:t>
      </w:r>
      <w:r w:rsidRPr="00D229C5">
        <w:rPr>
          <w:rFonts w:eastAsia="SimSun"/>
          <w:szCs w:val="24"/>
          <w:lang w:eastAsia="zh-CN"/>
        </w:rPr>
        <w:t xml:space="preserve">, y utilizar la </w:t>
      </w:r>
      <w:hyperlink r:id="rId19" w:history="1">
        <w:r w:rsidRPr="00D229C5">
          <w:rPr>
            <w:rStyle w:val="Hyperlink"/>
            <w:rFonts w:eastAsia="SimSun"/>
            <w:szCs w:val="24"/>
            <w:lang w:eastAsia="zh-CN"/>
          </w:rPr>
          <w:t>plantilla</w:t>
        </w:r>
      </w:hyperlink>
      <w:r w:rsidRPr="00D229C5">
        <w:rPr>
          <w:rFonts w:eastAsia="SimSun"/>
          <w:szCs w:val="24"/>
          <w:lang w:eastAsia="zh-CN"/>
        </w:rPr>
        <w:t xml:space="preserve"> de documento disponible en la </w:t>
      </w:r>
      <w:hyperlink r:id="rId20" w:history="1">
        <w:r w:rsidRPr="00D229C5">
          <w:rPr>
            <w:rStyle w:val="Hyperlink"/>
            <w:rFonts w:eastAsia="SimSun"/>
            <w:szCs w:val="24"/>
            <w:lang w:eastAsia="zh-CN"/>
          </w:rPr>
          <w:t xml:space="preserve">página web del </w:t>
        </w:r>
        <w:r w:rsidR="008751D0" w:rsidRPr="00D229C5">
          <w:rPr>
            <w:rStyle w:val="Hyperlink"/>
            <w:rFonts w:eastAsia="SimSun"/>
            <w:szCs w:val="24"/>
            <w:lang w:eastAsia="zh-CN"/>
          </w:rPr>
          <w:t>F</w:t>
        </w:r>
        <w:r w:rsidRPr="00D229C5">
          <w:rPr>
            <w:rStyle w:val="Hyperlink"/>
            <w:rFonts w:eastAsia="SimSun"/>
            <w:szCs w:val="24"/>
            <w:lang w:eastAsia="zh-CN"/>
          </w:rPr>
          <w:t>G-AI4EE</w:t>
        </w:r>
      </w:hyperlink>
      <w:r w:rsidRPr="00D229C5">
        <w:rPr>
          <w:rFonts w:eastAsia="SimSun"/>
          <w:szCs w:val="24"/>
          <w:lang w:eastAsia="zh-CN"/>
        </w:rPr>
        <w:t xml:space="preserve">. Es posible consultar los documentos recibidos y los finales </w:t>
      </w:r>
      <w:hyperlink r:id="rId21" w:history="1">
        <w:r w:rsidRPr="00D229C5">
          <w:rPr>
            <w:rStyle w:val="Hyperlink"/>
            <w:rFonts w:eastAsia="SimSun"/>
            <w:szCs w:val="24"/>
            <w:lang w:eastAsia="zh-CN"/>
          </w:rPr>
          <w:t xml:space="preserve">a través del sitio web colaborativo del </w:t>
        </w:r>
        <w:r w:rsidR="008751D0" w:rsidRPr="00D229C5">
          <w:rPr>
            <w:rStyle w:val="Hyperlink"/>
            <w:rFonts w:eastAsia="SimSun"/>
            <w:szCs w:val="24"/>
            <w:lang w:eastAsia="zh-CN"/>
          </w:rPr>
          <w:t>F</w:t>
        </w:r>
        <w:r w:rsidRPr="00D229C5">
          <w:rPr>
            <w:rStyle w:val="Hyperlink"/>
            <w:rFonts w:eastAsia="SimSun"/>
            <w:szCs w:val="24"/>
            <w:lang w:eastAsia="zh-CN"/>
          </w:rPr>
          <w:t>G-AI4EE</w:t>
        </w:r>
        <w:r w:rsidRPr="00D229C5">
          <w:rPr>
            <w:rStyle w:val="Hyperlink"/>
            <w:rFonts w:eastAsia="SimSun"/>
            <w:szCs w:val="24"/>
            <w:u w:val="none"/>
            <w:lang w:eastAsia="zh-CN"/>
          </w:rPr>
          <w:t xml:space="preserve"> </w:t>
        </w:r>
      </w:hyperlink>
      <w:r w:rsidRPr="00D229C5">
        <w:rPr>
          <w:rFonts w:eastAsia="SimSun"/>
          <w:szCs w:val="24"/>
          <w:lang w:eastAsia="zh-CN"/>
        </w:rPr>
        <w:t xml:space="preserve">(es necesario tener una </w:t>
      </w:r>
      <w:hyperlink r:id="rId22" w:history="1">
        <w:r w:rsidRPr="00D229C5">
          <w:rPr>
            <w:rStyle w:val="Hyperlink"/>
            <w:rFonts w:eastAsia="SimSun"/>
            <w:szCs w:val="24"/>
            <w:lang w:eastAsia="zh-CN"/>
          </w:rPr>
          <w:t>cuenta gratuita en la UIT</w:t>
        </w:r>
      </w:hyperlink>
      <w:r w:rsidRPr="00D229C5">
        <w:rPr>
          <w:rFonts w:eastAsia="SimSun"/>
          <w:szCs w:val="24"/>
          <w:lang w:eastAsia="zh-CN"/>
        </w:rPr>
        <w:t>).</w:t>
      </w:r>
    </w:p>
    <w:p w14:paraId="16ACB24E" w14:textId="77777777" w:rsidR="0001728B" w:rsidRPr="00D229C5" w:rsidRDefault="0001728B" w:rsidP="007C5503">
      <w:pPr>
        <w:rPr>
          <w:rFonts w:eastAsia="SimSun"/>
          <w:szCs w:val="24"/>
        </w:rPr>
      </w:pPr>
      <w:r w:rsidRPr="00D229C5">
        <w:rPr>
          <w:b/>
          <w:szCs w:val="24"/>
        </w:rPr>
        <w:t>LAN INALÁMBRICA</w:t>
      </w:r>
      <w:r w:rsidRPr="00D229C5">
        <w:rPr>
          <w:szCs w:val="24"/>
        </w:rPr>
        <w:t>: Los participantes disponen de instalaciones de red de área local inalámbrica en el lugar de la reunión.</w:t>
      </w:r>
    </w:p>
    <w:p w14:paraId="7A411214" w14:textId="77777777" w:rsidR="0001728B" w:rsidRPr="00D229C5" w:rsidRDefault="0001728B" w:rsidP="007C5503">
      <w:pPr>
        <w:tabs>
          <w:tab w:val="left" w:pos="1418"/>
          <w:tab w:val="left" w:pos="1702"/>
          <w:tab w:val="left" w:pos="2160"/>
        </w:tabs>
        <w:spacing w:before="240" w:after="120"/>
        <w:ind w:right="91"/>
        <w:jc w:val="center"/>
        <w:rPr>
          <w:b/>
          <w:bCs/>
          <w:szCs w:val="24"/>
        </w:rPr>
      </w:pPr>
      <w:r w:rsidRPr="00D229C5">
        <w:rPr>
          <w:b/>
          <w:bCs/>
          <w:szCs w:val="24"/>
        </w:rPr>
        <w:t>PREINSCRIPCIÓN</w:t>
      </w:r>
    </w:p>
    <w:p w14:paraId="2D5F8EDD" w14:textId="2A21F668" w:rsidR="0001728B" w:rsidRPr="00D229C5" w:rsidRDefault="0001728B" w:rsidP="007C5503">
      <w:pPr>
        <w:rPr>
          <w:b/>
          <w:bCs/>
          <w:szCs w:val="24"/>
        </w:rPr>
      </w:pPr>
      <w:r w:rsidRPr="00D229C5">
        <w:rPr>
          <w:b/>
          <w:bCs/>
          <w:szCs w:val="24"/>
        </w:rPr>
        <w:t>PREINSCRIPCIÓN</w:t>
      </w:r>
      <w:r w:rsidRPr="00D229C5">
        <w:rPr>
          <w:szCs w:val="24"/>
        </w:rPr>
        <w:t xml:space="preserve">: La preinscripción para asistir a la reunión o participar en ella a distancia se realizará a través de la </w:t>
      </w:r>
      <w:r w:rsidRPr="00D229C5">
        <w:rPr>
          <w:rFonts w:eastAsia="SimSun"/>
          <w:szCs w:val="24"/>
          <w:lang w:eastAsia="zh-CN"/>
        </w:rPr>
        <w:t>página web del GT-AI4EE</w:t>
      </w:r>
      <w:r w:rsidRPr="00D229C5">
        <w:t>,</w:t>
      </w:r>
      <w:r w:rsidRPr="00D229C5">
        <w:rPr>
          <w:szCs w:val="24"/>
        </w:rPr>
        <w:t xml:space="preserve"> </w:t>
      </w:r>
      <w:r w:rsidRPr="00D229C5">
        <w:rPr>
          <w:b/>
          <w:bCs/>
          <w:szCs w:val="24"/>
        </w:rPr>
        <w:t>a más tardar el</w:t>
      </w:r>
      <w:r w:rsidRPr="00D229C5">
        <w:rPr>
          <w:szCs w:val="24"/>
        </w:rPr>
        <w:t xml:space="preserve"> </w:t>
      </w:r>
      <w:r w:rsidRPr="00D229C5">
        <w:rPr>
          <w:b/>
          <w:bCs/>
          <w:szCs w:val="24"/>
        </w:rPr>
        <w:t>2 de octubre de 2019</w:t>
      </w:r>
      <w:r w:rsidRPr="00D229C5">
        <w:rPr>
          <w:szCs w:val="24"/>
        </w:rPr>
        <w:t>.</w:t>
      </w:r>
    </w:p>
    <w:p w14:paraId="15671BBA" w14:textId="77777777" w:rsidR="008D6913" w:rsidRPr="00D229C5" w:rsidRDefault="008D6913" w:rsidP="00411C49">
      <w:pPr>
        <w:pStyle w:val="Reasons"/>
        <w:rPr>
          <w:lang w:val="es-ES_tradnl"/>
        </w:rPr>
      </w:pPr>
    </w:p>
    <w:p w14:paraId="2F9F6472" w14:textId="77777777" w:rsidR="008D6913" w:rsidRPr="00D229C5" w:rsidRDefault="008D6913">
      <w:pPr>
        <w:jc w:val="center"/>
      </w:pPr>
      <w:r w:rsidRPr="00D229C5">
        <w:t>______________</w:t>
      </w:r>
    </w:p>
    <w:sectPr w:rsidR="008D6913" w:rsidRPr="00D229C5" w:rsidSect="000848CB">
      <w:headerReference w:type="default" r:id="rId23"/>
      <w:footerReference w:type="first" r:id="rId24"/>
      <w:pgSz w:w="11907" w:h="16840" w:code="9"/>
      <w:pgMar w:top="1134" w:right="1134" w:bottom="851" w:left="1134" w:header="567" w:footer="432"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16788" w14:textId="77777777" w:rsidR="009F0250" w:rsidRDefault="009F0250">
      <w:r>
        <w:separator/>
      </w:r>
    </w:p>
  </w:endnote>
  <w:endnote w:type="continuationSeparator" w:id="0">
    <w:p w14:paraId="7989DD1E" w14:textId="77777777" w:rsidR="009F0250" w:rsidRDefault="009F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692A" w14:textId="77777777" w:rsidR="0014464D" w:rsidRPr="002F45CD" w:rsidRDefault="0014464D" w:rsidP="00FC416A">
    <w:pPr>
      <w:pStyle w:val="FirstFooter"/>
      <w:ind w:left="-397" w:right="-397"/>
      <w:jc w:val="center"/>
      <w:rPr>
        <w:szCs w:val="18"/>
        <w:lang w:val="es-ES"/>
      </w:rPr>
    </w:pPr>
    <w:r w:rsidRPr="002F45CD">
      <w:rPr>
        <w:szCs w:val="18"/>
        <w:lang w:val="es-ES"/>
      </w:rPr>
      <w:t xml:space="preserve">Unión Internacional de Telecomunicaciones • Place des </w:t>
    </w:r>
    <w:proofErr w:type="spellStart"/>
    <w:r w:rsidRPr="002F45CD">
      <w:rPr>
        <w:szCs w:val="18"/>
        <w:lang w:val="es-ES"/>
      </w:rPr>
      <w:t>Nations</w:t>
    </w:r>
    <w:proofErr w:type="spellEnd"/>
    <w:r w:rsidRPr="002F45CD">
      <w:rPr>
        <w:szCs w:val="18"/>
        <w:lang w:val="es-ES"/>
      </w:rPr>
      <w:t>, CH</w:t>
    </w:r>
    <w:r w:rsidRPr="002F45CD">
      <w:rPr>
        <w:szCs w:val="18"/>
        <w:lang w:val="es-ES"/>
      </w:rPr>
      <w:noBreakHyphen/>
      <w:t xml:space="preserve">1211 Ginebra 20, Suiza </w:t>
    </w:r>
    <w:r w:rsidRPr="002F45CD">
      <w:rPr>
        <w:szCs w:val="18"/>
        <w:lang w:val="es-ES"/>
      </w:rPr>
      <w:br/>
      <w:t>Tel</w:t>
    </w:r>
    <w:r w:rsidR="0065459C">
      <w:rPr>
        <w:szCs w:val="18"/>
        <w:lang w:val="es-ES"/>
      </w:rPr>
      <w:t>.</w:t>
    </w:r>
    <w:r w:rsidRPr="002F45CD">
      <w:rPr>
        <w:szCs w:val="18"/>
        <w:lang w:val="es-ES"/>
      </w:rPr>
      <w:t xml:space="preserve">: +41 22 730 5111 • Fax: +41 22 733 7256 • Correo-e: </w:t>
    </w:r>
    <w:hyperlink r:id="rId1" w:history="1">
      <w:r w:rsidRPr="002F45CD">
        <w:rPr>
          <w:rStyle w:val="Hyperlink"/>
          <w:lang w:val="es-ES"/>
        </w:rPr>
        <w:t>itumail@itu.int</w:t>
      </w:r>
    </w:hyperlink>
    <w:r w:rsidRPr="002F45CD">
      <w:rPr>
        <w:szCs w:val="18"/>
        <w:lang w:val="es-ES"/>
      </w:rPr>
      <w:t xml:space="preserve"> • </w:t>
    </w:r>
    <w:hyperlink r:id="rId2" w:history="1">
      <w:r w:rsidRPr="002F45CD">
        <w:rPr>
          <w:rStyle w:val="Hyperlink"/>
          <w:lang w:val="es-ES"/>
        </w:rPr>
        <w:t>www.itu.int</w:t>
      </w:r>
    </w:hyperlink>
    <w:r w:rsidRPr="002F45CD">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E02BB" w14:textId="77777777" w:rsidR="009F0250" w:rsidRDefault="009F0250">
      <w:r>
        <w:t>____________________</w:t>
      </w:r>
    </w:p>
  </w:footnote>
  <w:footnote w:type="continuationSeparator" w:id="0">
    <w:p w14:paraId="5205BE92" w14:textId="77777777" w:rsidR="009F0250" w:rsidRDefault="009F0250">
      <w:r>
        <w:continuationSeparator/>
      </w:r>
    </w:p>
  </w:footnote>
  <w:footnote w:id="1">
    <w:p w14:paraId="7B1355E0" w14:textId="5F255996" w:rsidR="007411D2" w:rsidRPr="00900909" w:rsidRDefault="007411D2" w:rsidP="007411D2">
      <w:pPr>
        <w:pStyle w:val="FootnoteText"/>
        <w:rPr>
          <w:lang w:val="en-US"/>
        </w:rPr>
      </w:pPr>
      <w:r w:rsidRPr="007665A8">
        <w:rPr>
          <w:rStyle w:val="FootnoteReference"/>
          <w:sz w:val="18"/>
          <w:szCs w:val="18"/>
        </w:rPr>
        <w:footnoteRef/>
      </w:r>
      <w:r>
        <w:rPr>
          <w:lang w:val="en-US"/>
        </w:rPr>
        <w:tab/>
      </w:r>
      <w:hyperlink r:id="rId1" w:anchor=".W5i4EiQzbIU" w:history="1">
        <w:r w:rsidR="009334E9" w:rsidRPr="009334E9">
          <w:rPr>
            <w:rStyle w:val="Hyperlink"/>
            <w:lang w:val="en-US"/>
          </w:rPr>
          <w:t>https://www.circle-economy.com/the-fourth-industrial-revolution-and-the-circular-economy/#.W5i4EiQzbIU</w:t>
        </w:r>
      </w:hyperlink>
    </w:p>
  </w:footnote>
  <w:footnote w:id="2">
    <w:p w14:paraId="2ECB92F6" w14:textId="066C4E2A" w:rsidR="007411D2" w:rsidRPr="004E0944" w:rsidRDefault="007411D2" w:rsidP="007411D2">
      <w:pPr>
        <w:pStyle w:val="FootnoteText"/>
        <w:rPr>
          <w:lang w:val="es-ES"/>
        </w:rPr>
      </w:pPr>
      <w:r w:rsidRPr="007665A8">
        <w:rPr>
          <w:rStyle w:val="FootnoteReference"/>
          <w:sz w:val="18"/>
          <w:szCs w:val="18"/>
        </w:rPr>
        <w:footnoteRef/>
      </w:r>
      <w:r w:rsidRPr="00DE4D48">
        <w:rPr>
          <w:lang w:val="es-ES"/>
        </w:rPr>
        <w:tab/>
      </w:r>
      <w:r w:rsidR="00DE4D48">
        <w:rPr>
          <w:lang w:val="es-ES"/>
        </w:rPr>
        <w:t>La industria 5.0 consiste en combinar la creatividad y la artesanía de los seres humanos con la velocidad, productividad y fiabilidad de los robots. Industria 5.0 significa apreciar mejor la cooperación entre la robótica y los seres humanos combinando sus puntos fuertes divergentes, con el fin de crear un futuro más inclusivo y centrado en el ser humano</w:t>
      </w:r>
      <w:r w:rsidRPr="004E0944">
        <w:rPr>
          <w:lang w:val="es-ES"/>
        </w:rPr>
        <w:t>.</w:t>
      </w:r>
    </w:p>
  </w:footnote>
  <w:footnote w:id="3">
    <w:p w14:paraId="33F96D7C" w14:textId="66EF2E5B" w:rsidR="007411D2" w:rsidRPr="00C83668" w:rsidRDefault="007411D2" w:rsidP="007411D2">
      <w:pPr>
        <w:pStyle w:val="FootnoteText"/>
        <w:rPr>
          <w:szCs w:val="24"/>
          <w:lang w:val="es-ES"/>
        </w:rPr>
      </w:pPr>
      <w:r w:rsidRPr="007665A8">
        <w:rPr>
          <w:rStyle w:val="FootnoteReference"/>
          <w:sz w:val="18"/>
          <w:szCs w:val="18"/>
        </w:rPr>
        <w:footnoteRef/>
      </w:r>
      <w:r w:rsidRPr="00C83668">
        <w:rPr>
          <w:lang w:val="es-ES"/>
        </w:rPr>
        <w:tab/>
      </w:r>
      <w:hyperlink r:id="rId2" w:anchor="69152d711bc8" w:history="1">
        <w:r w:rsidR="009334E9" w:rsidRPr="00C83668">
          <w:rPr>
            <w:rStyle w:val="Hyperlink"/>
            <w:szCs w:val="24"/>
            <w:lang w:val="es-ES"/>
          </w:rPr>
          <w:t>https://www.forbes.com/sites/shermanlee/2018/04/19/bitcoins-energy-consumption-can-power-an-entire-country-but-eos-is-trying-to-fix-that/#69152d711bc8</w:t>
        </w:r>
      </w:hyperlink>
    </w:p>
  </w:footnote>
  <w:footnote w:id="4">
    <w:p w14:paraId="224E0734" w14:textId="18D490C1" w:rsidR="00352149" w:rsidRPr="00C83668" w:rsidRDefault="00352149" w:rsidP="00B46146">
      <w:pPr>
        <w:pStyle w:val="FootnoteText"/>
        <w:rPr>
          <w:lang w:val="es-ES"/>
        </w:rPr>
      </w:pPr>
      <w:r w:rsidRPr="007665A8">
        <w:rPr>
          <w:rStyle w:val="FootnoteReference"/>
          <w:sz w:val="18"/>
          <w:szCs w:val="18"/>
        </w:rPr>
        <w:footnoteRef/>
      </w:r>
      <w:r w:rsidR="003B43C1" w:rsidRPr="00C83668">
        <w:rPr>
          <w:lang w:val="es-ES"/>
        </w:rPr>
        <w:tab/>
      </w:r>
      <w:hyperlink r:id="rId3" w:history="1">
        <w:r w:rsidR="00836F29" w:rsidRPr="00C83668">
          <w:rPr>
            <w:rStyle w:val="Hyperlink"/>
            <w:lang w:val="es-ES"/>
          </w:rPr>
          <w:t>https://www.un.org/sustainabledevelopment/development-agenda/</w:t>
        </w:r>
      </w:hyperlink>
      <w:r w:rsidR="00836F29" w:rsidRPr="00C83668">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056229"/>
      <w:docPartObj>
        <w:docPartGallery w:val="Page Numbers (Top of Page)"/>
        <w:docPartUnique/>
      </w:docPartObj>
    </w:sdtPr>
    <w:sdtEndPr>
      <w:rPr>
        <w:noProof/>
        <w:sz w:val="18"/>
        <w:szCs w:val="18"/>
      </w:rPr>
    </w:sdtEndPr>
    <w:sdtContent>
      <w:p w14:paraId="62C54850" w14:textId="69E6C424" w:rsidR="00C83668" w:rsidRPr="00C83668" w:rsidRDefault="00C83668">
        <w:pPr>
          <w:pStyle w:val="Header"/>
          <w:rPr>
            <w:sz w:val="18"/>
            <w:szCs w:val="18"/>
          </w:rPr>
        </w:pPr>
        <w:r w:rsidRPr="00C83668">
          <w:rPr>
            <w:sz w:val="18"/>
            <w:szCs w:val="18"/>
          </w:rPr>
          <w:fldChar w:fldCharType="begin"/>
        </w:r>
        <w:r w:rsidRPr="00C83668">
          <w:rPr>
            <w:sz w:val="18"/>
            <w:szCs w:val="18"/>
          </w:rPr>
          <w:instrText xml:space="preserve"> PAGE   \* MERGEFORMAT </w:instrText>
        </w:r>
        <w:r w:rsidRPr="00C83668">
          <w:rPr>
            <w:sz w:val="18"/>
            <w:szCs w:val="18"/>
          </w:rPr>
          <w:fldChar w:fldCharType="separate"/>
        </w:r>
        <w:r w:rsidR="00EF26AB">
          <w:rPr>
            <w:noProof/>
            <w:sz w:val="18"/>
            <w:szCs w:val="18"/>
          </w:rPr>
          <w:t>9</w:t>
        </w:r>
        <w:r w:rsidRPr="00C83668">
          <w:rPr>
            <w:noProof/>
            <w:sz w:val="18"/>
            <w:szCs w:val="18"/>
          </w:rPr>
          <w:fldChar w:fldCharType="end"/>
        </w:r>
      </w:p>
    </w:sdtContent>
  </w:sdt>
  <w:p w14:paraId="644D368E" w14:textId="05043AE5" w:rsidR="0065459C" w:rsidRPr="00C83668" w:rsidRDefault="00C83668" w:rsidP="00C83668">
    <w:pPr>
      <w:spacing w:before="0" w:after="240"/>
      <w:jc w:val="center"/>
      <w:rPr>
        <w:sz w:val="18"/>
        <w:szCs w:val="18"/>
      </w:rPr>
    </w:pPr>
    <w:r w:rsidRPr="00DC2C1E">
      <w:rPr>
        <w:noProof/>
        <w:sz w:val="18"/>
      </w:rPr>
      <w:t>C</w:t>
    </w:r>
    <w:r>
      <w:rPr>
        <w:noProof/>
        <w:sz w:val="18"/>
      </w:rPr>
      <w:t>ircular TSB 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209"/>
    <w:multiLevelType w:val="hybridMultilevel"/>
    <w:tmpl w:val="6430EF8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9048C"/>
    <w:multiLevelType w:val="hybridMultilevel"/>
    <w:tmpl w:val="9F16B914"/>
    <w:lvl w:ilvl="0" w:tplc="9056A5F8">
      <w:numFmt w:val="bullet"/>
      <w:lvlText w:val="•"/>
      <w:lvlJc w:val="left"/>
      <w:pPr>
        <w:ind w:left="1155" w:hanging="79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D2044"/>
    <w:multiLevelType w:val="hybridMultilevel"/>
    <w:tmpl w:val="12547CFA"/>
    <w:lvl w:ilvl="0" w:tplc="04090001">
      <w:start w:val="1"/>
      <w:numFmt w:val="bullet"/>
      <w:lvlText w:val=""/>
      <w:lvlJc w:val="left"/>
      <w:pPr>
        <w:ind w:left="360" w:hanging="360"/>
      </w:pPr>
      <w:rPr>
        <w:rFonts w:ascii="Symbol" w:hAnsi="Symbol" w:hint="default"/>
      </w:rPr>
    </w:lvl>
    <w:lvl w:ilvl="1" w:tplc="E6F2801C">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735BD1"/>
    <w:multiLevelType w:val="hybridMultilevel"/>
    <w:tmpl w:val="43E86C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5"/>
  </w:num>
  <w:num w:numId="2">
    <w:abstractNumId w:val="9"/>
  </w:num>
  <w:num w:numId="3">
    <w:abstractNumId w:val="7"/>
  </w:num>
  <w:num w:numId="4">
    <w:abstractNumId w:val="6"/>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D4"/>
    <w:rsid w:val="00002529"/>
    <w:rsid w:val="0001728B"/>
    <w:rsid w:val="00047F68"/>
    <w:rsid w:val="000557B1"/>
    <w:rsid w:val="000848CB"/>
    <w:rsid w:val="00085662"/>
    <w:rsid w:val="000B3A4A"/>
    <w:rsid w:val="000C37D8"/>
    <w:rsid w:val="000C382F"/>
    <w:rsid w:val="000F77EC"/>
    <w:rsid w:val="001173CC"/>
    <w:rsid w:val="0014464D"/>
    <w:rsid w:val="001A54CC"/>
    <w:rsid w:val="00210E70"/>
    <w:rsid w:val="00231401"/>
    <w:rsid w:val="00232395"/>
    <w:rsid w:val="0025594F"/>
    <w:rsid w:val="00257FB4"/>
    <w:rsid w:val="002A7755"/>
    <w:rsid w:val="002E496E"/>
    <w:rsid w:val="002F29EC"/>
    <w:rsid w:val="002F45CD"/>
    <w:rsid w:val="00303D62"/>
    <w:rsid w:val="00335367"/>
    <w:rsid w:val="00352149"/>
    <w:rsid w:val="00370C2D"/>
    <w:rsid w:val="003B43C1"/>
    <w:rsid w:val="003D0B83"/>
    <w:rsid w:val="003D1E8D"/>
    <w:rsid w:val="003D673B"/>
    <w:rsid w:val="003F2855"/>
    <w:rsid w:val="00401C20"/>
    <w:rsid w:val="004449C9"/>
    <w:rsid w:val="0045687D"/>
    <w:rsid w:val="00471CE1"/>
    <w:rsid w:val="004A7957"/>
    <w:rsid w:val="004C4144"/>
    <w:rsid w:val="004E0944"/>
    <w:rsid w:val="004E5403"/>
    <w:rsid w:val="004F3D2A"/>
    <w:rsid w:val="00501D34"/>
    <w:rsid w:val="00515D80"/>
    <w:rsid w:val="00536CFF"/>
    <w:rsid w:val="00563E62"/>
    <w:rsid w:val="005774DB"/>
    <w:rsid w:val="005B4E19"/>
    <w:rsid w:val="005E58F1"/>
    <w:rsid w:val="005F3228"/>
    <w:rsid w:val="00640076"/>
    <w:rsid w:val="006519DA"/>
    <w:rsid w:val="0065459C"/>
    <w:rsid w:val="00660EC9"/>
    <w:rsid w:val="006845F3"/>
    <w:rsid w:val="00685D97"/>
    <w:rsid w:val="006969B4"/>
    <w:rsid w:val="006A29E1"/>
    <w:rsid w:val="006E4F7B"/>
    <w:rsid w:val="007411D2"/>
    <w:rsid w:val="00741384"/>
    <w:rsid w:val="00755F1C"/>
    <w:rsid w:val="007665A8"/>
    <w:rsid w:val="00781E2A"/>
    <w:rsid w:val="00786ED4"/>
    <w:rsid w:val="007933A2"/>
    <w:rsid w:val="0079483F"/>
    <w:rsid w:val="007C5503"/>
    <w:rsid w:val="00814503"/>
    <w:rsid w:val="008258C2"/>
    <w:rsid w:val="00836F29"/>
    <w:rsid w:val="008505BD"/>
    <w:rsid w:val="00850C78"/>
    <w:rsid w:val="008751D0"/>
    <w:rsid w:val="00884D12"/>
    <w:rsid w:val="008B35A7"/>
    <w:rsid w:val="008C17AD"/>
    <w:rsid w:val="008D02CD"/>
    <w:rsid w:val="008D6913"/>
    <w:rsid w:val="00900909"/>
    <w:rsid w:val="0091370C"/>
    <w:rsid w:val="009334E9"/>
    <w:rsid w:val="0095172A"/>
    <w:rsid w:val="00975292"/>
    <w:rsid w:val="00997850"/>
    <w:rsid w:val="009A0BA0"/>
    <w:rsid w:val="009F0250"/>
    <w:rsid w:val="00A22BCD"/>
    <w:rsid w:val="00A2760E"/>
    <w:rsid w:val="00A3534F"/>
    <w:rsid w:val="00A45EC1"/>
    <w:rsid w:val="00A54E47"/>
    <w:rsid w:val="00A635D4"/>
    <w:rsid w:val="00A92AA5"/>
    <w:rsid w:val="00AB6E3A"/>
    <w:rsid w:val="00AC6FC3"/>
    <w:rsid w:val="00AD69F1"/>
    <w:rsid w:val="00AE7093"/>
    <w:rsid w:val="00AF6BF4"/>
    <w:rsid w:val="00B422BC"/>
    <w:rsid w:val="00B43F77"/>
    <w:rsid w:val="00B46146"/>
    <w:rsid w:val="00B55A3E"/>
    <w:rsid w:val="00B87E9E"/>
    <w:rsid w:val="00B95F0A"/>
    <w:rsid w:val="00B96180"/>
    <w:rsid w:val="00BA0B2B"/>
    <w:rsid w:val="00BC5A4C"/>
    <w:rsid w:val="00BC70F5"/>
    <w:rsid w:val="00BF1771"/>
    <w:rsid w:val="00BF529B"/>
    <w:rsid w:val="00C116FE"/>
    <w:rsid w:val="00C17AC0"/>
    <w:rsid w:val="00C34772"/>
    <w:rsid w:val="00C5465A"/>
    <w:rsid w:val="00C83668"/>
    <w:rsid w:val="00C90716"/>
    <w:rsid w:val="00CD3523"/>
    <w:rsid w:val="00D229C5"/>
    <w:rsid w:val="00D5055F"/>
    <w:rsid w:val="00D54642"/>
    <w:rsid w:val="00D61EAB"/>
    <w:rsid w:val="00D75DE7"/>
    <w:rsid w:val="00DA527D"/>
    <w:rsid w:val="00DD77C9"/>
    <w:rsid w:val="00DE1A05"/>
    <w:rsid w:val="00DE4D48"/>
    <w:rsid w:val="00DF3538"/>
    <w:rsid w:val="00E50A9C"/>
    <w:rsid w:val="00E839B0"/>
    <w:rsid w:val="00E92C09"/>
    <w:rsid w:val="00EA7B39"/>
    <w:rsid w:val="00EF26AB"/>
    <w:rsid w:val="00F14380"/>
    <w:rsid w:val="00F329C6"/>
    <w:rsid w:val="00F47DFD"/>
    <w:rsid w:val="00F57D13"/>
    <w:rsid w:val="00F6461F"/>
    <w:rsid w:val="00FA1186"/>
    <w:rsid w:val="00FB3905"/>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C7E0F1F"/>
  <w15:docId w15:val="{D1A98F25-1BB8-435F-9726-FD9C5449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table" w:styleId="TableGrid">
    <w:name w:val="Table Grid"/>
    <w:basedOn w:val="TableNormal"/>
    <w:rsid w:val="002F4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2F45CD"/>
    <w:pPr>
      <w:keepNext/>
      <w:keepLines/>
      <w:spacing w:before="480" w:after="80"/>
      <w:jc w:val="center"/>
    </w:pPr>
    <w:rPr>
      <w:rFonts w:ascii="Calibri" w:hAnsi="Calibri"/>
      <w:b/>
      <w:caps/>
      <w:sz w:val="28"/>
      <w:lang w:val="en-GB"/>
    </w:rPr>
  </w:style>
  <w:style w:type="paragraph" w:styleId="ListParagraph">
    <w:name w:val="List Paragraph"/>
    <w:basedOn w:val="Normal"/>
    <w:uiPriority w:val="99"/>
    <w:qFormat/>
    <w:rsid w:val="002F45CD"/>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paragraph" w:styleId="BodyText0">
    <w:name w:val="Body Text"/>
    <w:basedOn w:val="Normal"/>
    <w:link w:val="BodyTextChar"/>
    <w:rsid w:val="002F45CD"/>
    <w:pPr>
      <w:spacing w:after="120"/>
    </w:pPr>
    <w:rPr>
      <w:rFonts w:ascii="Calibri" w:hAnsi="Calibri"/>
      <w:lang w:val="en-GB"/>
    </w:rPr>
  </w:style>
  <w:style w:type="character" w:customStyle="1" w:styleId="BodyTextChar">
    <w:name w:val="Body Text Char"/>
    <w:basedOn w:val="DefaultParagraphFont"/>
    <w:link w:val="BodyText0"/>
    <w:rsid w:val="002F45CD"/>
    <w:rPr>
      <w:rFonts w:ascii="Calibri" w:hAnsi="Calibri"/>
      <w:sz w:val="24"/>
      <w:lang w:val="en-GB" w:eastAsia="en-US"/>
    </w:rPr>
  </w:style>
  <w:style w:type="paragraph" w:styleId="NormalWeb">
    <w:name w:val="Normal (Web)"/>
    <w:basedOn w:val="Normal"/>
    <w:uiPriority w:val="99"/>
    <w:rsid w:val="002F45C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2F45CD"/>
    <w:pPr>
      <w:autoSpaceDE w:val="0"/>
      <w:autoSpaceDN w:val="0"/>
      <w:adjustRightInd w:val="0"/>
    </w:pPr>
    <w:rPr>
      <w:rFonts w:ascii="Times New Roman" w:eastAsiaTheme="minorEastAsia" w:hAnsi="Times New Roman"/>
      <w:color w:val="000000"/>
      <w:sz w:val="24"/>
      <w:szCs w:val="24"/>
    </w:rPr>
  </w:style>
  <w:style w:type="character" w:customStyle="1" w:styleId="moduletitlelink">
    <w:name w:val="module__title__link"/>
    <w:basedOn w:val="DefaultParagraphFont"/>
    <w:rsid w:val="002F45CD"/>
  </w:style>
  <w:style w:type="character" w:customStyle="1" w:styleId="Heading1Char">
    <w:name w:val="Heading 1 Char"/>
    <w:basedOn w:val="DefaultParagraphFont"/>
    <w:link w:val="Heading1"/>
    <w:rsid w:val="002F45CD"/>
    <w:rPr>
      <w:rFonts w:asciiTheme="minorHAnsi" w:hAnsiTheme="minorHAnsi"/>
      <w:b/>
      <w:sz w:val="24"/>
      <w:lang w:val="es-ES_tradnl" w:eastAsia="en-US"/>
    </w:rPr>
  </w:style>
  <w:style w:type="character" w:customStyle="1" w:styleId="widget-pane-link">
    <w:name w:val="widget-pane-link"/>
    <w:basedOn w:val="DefaultParagraphFont"/>
    <w:rsid w:val="002F45CD"/>
  </w:style>
  <w:style w:type="paragraph" w:styleId="NoSpacing">
    <w:name w:val="No Spacing"/>
    <w:uiPriority w:val="1"/>
    <w:qFormat/>
    <w:rsid w:val="002F45CD"/>
    <w:pPr>
      <w:tabs>
        <w:tab w:val="left" w:pos="794"/>
        <w:tab w:val="left" w:pos="1191"/>
        <w:tab w:val="left" w:pos="1588"/>
        <w:tab w:val="left" w:pos="1985"/>
      </w:tabs>
      <w:overflowPunct w:val="0"/>
      <w:autoSpaceDE w:val="0"/>
      <w:autoSpaceDN w:val="0"/>
      <w:adjustRightInd w:val="0"/>
      <w:textAlignment w:val="baseline"/>
    </w:pPr>
    <w:rPr>
      <w:rFonts w:ascii="Calibri" w:hAnsi="Calibri"/>
      <w:sz w:val="24"/>
      <w:lang w:val="en-GB" w:eastAsia="en-US"/>
    </w:rPr>
  </w:style>
  <w:style w:type="paragraph" w:customStyle="1" w:styleId="Reasons">
    <w:name w:val="Reasons"/>
    <w:basedOn w:val="Normal"/>
    <w:qFormat/>
    <w:rsid w:val="000557B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0">
    <w:name w:val="Annex"/>
    <w:basedOn w:val="Annex"/>
    <w:rsid w:val="0065459C"/>
    <w:rPr>
      <w:bCs/>
      <w:lang w:val="es-ES"/>
    </w:rPr>
  </w:style>
  <w:style w:type="character" w:customStyle="1" w:styleId="UnresolvedMention1">
    <w:name w:val="Unresolved Mention1"/>
    <w:basedOn w:val="DefaultParagraphFont"/>
    <w:uiPriority w:val="99"/>
    <w:semiHidden/>
    <w:unhideWhenUsed/>
    <w:rsid w:val="00A92AA5"/>
    <w:rPr>
      <w:color w:val="605E5C"/>
      <w:shd w:val="clear" w:color="auto" w:fill="E1DFDD"/>
    </w:rPr>
  </w:style>
  <w:style w:type="character" w:customStyle="1" w:styleId="FootnoteTextChar">
    <w:name w:val="Footnote Text Char"/>
    <w:basedOn w:val="DefaultParagraphFont"/>
    <w:link w:val="FootnoteText"/>
    <w:uiPriority w:val="99"/>
    <w:rsid w:val="00900909"/>
    <w:rPr>
      <w:rFonts w:asciiTheme="minorHAnsi" w:hAnsiTheme="minorHAnsi"/>
      <w:sz w:val="24"/>
      <w:lang w:val="es-ES_tradnl" w:eastAsia="en-US"/>
    </w:rPr>
  </w:style>
  <w:style w:type="paragraph" w:customStyle="1" w:styleId="Annextitle0">
    <w:name w:val="Annex_title"/>
    <w:basedOn w:val="Normal"/>
    <w:next w:val="Normal"/>
    <w:rsid w:val="0001728B"/>
    <w:pPr>
      <w:keepNext/>
      <w:keepLines/>
      <w:spacing w:before="240" w:after="280"/>
      <w:jc w:val="center"/>
    </w:pPr>
    <w:rPr>
      <w:rFonts w:ascii="Calibri" w:hAnsi="Calibr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778716">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ee@itu.int" TargetMode="External"/><Relationship Id="rId18" Type="http://schemas.openxmlformats.org/officeDocument/2006/relationships/hyperlink" Target="mailto:tsbfgai4ee@itu.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xtranet.itu.int/sites/itu-t/focusgroups/ai4ee/SitePages/Home.aspx" TargetMode="External"/><Relationship Id="rId7" Type="http://schemas.openxmlformats.org/officeDocument/2006/relationships/endnotes" Target="endnotes.xml"/><Relationship Id="rId12" Type="http://schemas.openxmlformats.org/officeDocument/2006/relationships/hyperlink" Target="https://itu.int/go/fgai4ee"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fgai4ee@itu.int" TargetMode="External"/><Relationship Id="rId20" Type="http://schemas.openxmlformats.org/officeDocument/2006/relationships/hyperlink" Target="https://www.itu.int/en/ITU-T/focusgroups/ai4ee/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A.7/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focusgroups/ai4ee/Pages/default.aspx" TargetMode="External"/><Relationship Id="rId23" Type="http://schemas.openxmlformats.org/officeDocument/2006/relationships/header" Target="header1.xml"/><Relationship Id="rId10" Type="http://schemas.openxmlformats.org/officeDocument/2006/relationships/hyperlink" Target="https://itu.int/go/fgai4ee" TargetMode="External"/><Relationship Id="rId19" Type="http://schemas.openxmlformats.org/officeDocument/2006/relationships/hyperlink" Target="https://staging.itu.int/en/ITU-T/focusgroups/ai4ee/Documents/FG-AI4EE-I-template-Vienna-Austria-October2019.docx" TargetMode="External"/><Relationship Id="rId4" Type="http://schemas.openxmlformats.org/officeDocument/2006/relationships/settings" Target="settings.xml"/><Relationship Id="rId9" Type="http://schemas.openxmlformats.org/officeDocument/2006/relationships/hyperlink" Target="mailto:tsbfgai4ee@itu.int" TargetMode="External"/><Relationship Id="rId14" Type="http://schemas.openxmlformats.org/officeDocument/2006/relationships/hyperlink" Target="https://staging.itu.int/en/ITU-T/focusgroups/ai4ee/Documents/FG-AI4EE-I-template-Vienna-Austria-October2019.docx" TargetMode="External"/><Relationship Id="rId22" Type="http://schemas.openxmlformats.org/officeDocument/2006/relationships/hyperlink" Target="https://www.itu.int/en/ties-services/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org/sustainabledevelopment/es/" TargetMode="External"/><Relationship Id="rId2" Type="http://schemas.openxmlformats.org/officeDocument/2006/relationships/hyperlink" Target="https://www.forbes.com/sites/shermanlee/2018/04/19/bitcoins-energy-consumption-can-power-an-entire-country-but-eos-is-trying-to-fix-that/" TargetMode="External"/><Relationship Id="rId1" Type="http://schemas.openxmlformats.org/officeDocument/2006/relationships/hyperlink" Target="https://www.circle-economy.com/the-fourth-industrial-revolution-and-the-circular-econom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D9975-88E4-472A-84D2-082FB961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60</TotalTime>
  <Pages>9</Pages>
  <Words>3174</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21867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Jenkins, Lia</cp:lastModifiedBy>
  <cp:revision>10</cp:revision>
  <cp:lastPrinted>2019-09-23T13:49:00Z</cp:lastPrinted>
  <dcterms:created xsi:type="dcterms:W3CDTF">2019-09-10T15:04:00Z</dcterms:created>
  <dcterms:modified xsi:type="dcterms:W3CDTF">2019-09-23T13:49:00Z</dcterms:modified>
</cp:coreProperties>
</file>