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835"/>
        <w:gridCol w:w="2977"/>
        <w:gridCol w:w="2126"/>
        <w:gridCol w:w="8"/>
      </w:tblGrid>
      <w:tr w:rsidR="00036F4F" w:rsidRPr="00170D27" w14:paraId="31E0A8E6" w14:textId="77777777" w:rsidTr="008D35F1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DE81727" w14:textId="77777777" w:rsidR="00036F4F" w:rsidRPr="00170D27" w:rsidRDefault="00036F4F" w:rsidP="00FC08B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1F6B56F1" wp14:editId="73F3146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3BCCEE10" w14:textId="77777777" w:rsidR="00036F4F" w:rsidRPr="00170D27" w:rsidRDefault="00036F4F" w:rsidP="00FC08B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3FD5ACCF" w14:textId="77777777" w:rsidR="00036F4F" w:rsidRPr="00170D27" w:rsidRDefault="00036F4F" w:rsidP="00FC08B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0353689B" w14:textId="77777777" w:rsidR="00036F4F" w:rsidRPr="00170D27" w:rsidRDefault="00036F4F" w:rsidP="00FC08B1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14:paraId="01ECDFC4" w14:textId="77777777" w:rsidTr="008D35F1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12BC47F1" w14:textId="77777777" w:rsidR="00036F4F" w:rsidRPr="00697BC1" w:rsidRDefault="00036F4F" w:rsidP="00FC08B1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5C209E7F" w14:textId="77777777" w:rsidR="00036F4F" w:rsidRPr="00697BC1" w:rsidRDefault="00036F4F" w:rsidP="00FC08B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6A6D65F2" w14:textId="4A8D42A8" w:rsidR="00036F4F" w:rsidRPr="00697BC1" w:rsidRDefault="00036F4F" w:rsidP="00FC0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97BC1">
              <w:t>Genève, le</w:t>
            </w:r>
            <w:r w:rsidR="00966140">
              <w:t xml:space="preserve"> 5 septembre 2019</w:t>
            </w:r>
          </w:p>
        </w:tc>
      </w:tr>
      <w:tr w:rsidR="00036F4F" w:rsidRPr="00697BC1" w14:paraId="6B6075B5" w14:textId="77777777" w:rsidTr="00C9352B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7751166D" w14:textId="77777777" w:rsidR="00036F4F" w:rsidRPr="00C9352B" w:rsidRDefault="00036F4F" w:rsidP="00FC08B1">
            <w:pPr>
              <w:tabs>
                <w:tab w:val="left" w:pos="4111"/>
              </w:tabs>
              <w:spacing w:before="10"/>
              <w:ind w:left="57"/>
            </w:pPr>
            <w:r w:rsidRPr="00C9352B">
              <w:t>Réf.:</w:t>
            </w:r>
          </w:p>
          <w:p w14:paraId="7CD64497" w14:textId="77777777" w:rsidR="00036F4F" w:rsidRPr="00C9352B" w:rsidRDefault="00036F4F" w:rsidP="00FC08B1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686" w:type="dxa"/>
            <w:gridSpan w:val="3"/>
          </w:tcPr>
          <w:p w14:paraId="4312427A" w14:textId="7AF80D0A" w:rsidR="00036F4F" w:rsidRPr="00697BC1" w:rsidRDefault="00036F4F" w:rsidP="00FC08B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97BC1">
              <w:rPr>
                <w:b/>
              </w:rPr>
              <w:t xml:space="preserve">Circulaire TSB </w:t>
            </w:r>
            <w:r w:rsidR="00966140">
              <w:rPr>
                <w:b/>
              </w:rPr>
              <w:t>192</w:t>
            </w:r>
          </w:p>
          <w:p w14:paraId="2E8D1245" w14:textId="13F797B9" w:rsidR="00036F4F" w:rsidRPr="00036F4F" w:rsidRDefault="003705A2" w:rsidP="00FC08B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>Manifestations du TSB</w:t>
            </w:r>
            <w:r w:rsidR="00036F4F" w:rsidRPr="00697BC1">
              <w:t>/</w:t>
            </w:r>
            <w:r w:rsidR="00966140">
              <w:t>VM</w:t>
            </w:r>
          </w:p>
        </w:tc>
        <w:tc>
          <w:tcPr>
            <w:tcW w:w="5111" w:type="dxa"/>
            <w:gridSpan w:val="3"/>
            <w:vMerge w:val="restart"/>
          </w:tcPr>
          <w:p w14:paraId="7BE373D0" w14:textId="40D8BC14" w:rsidR="00966140" w:rsidRDefault="00C9352B" w:rsidP="00FC0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–</w:t>
            </w:r>
            <w:r w:rsidR="00036F4F" w:rsidRPr="00697BC1">
              <w:tab/>
            </w:r>
            <w:r w:rsidR="00966140">
              <w:t xml:space="preserve">Aux </w:t>
            </w:r>
            <w:r>
              <w:t>A</w:t>
            </w:r>
            <w:r w:rsidR="00966140">
              <w:t>dministrations des États Membres</w:t>
            </w:r>
            <w:r w:rsidR="00621214">
              <w:br/>
            </w:r>
            <w:r w:rsidR="00966140">
              <w:t xml:space="preserve">de </w:t>
            </w:r>
            <w:proofErr w:type="gramStart"/>
            <w:r w:rsidR="00966140">
              <w:t>l</w:t>
            </w:r>
            <w:r w:rsidR="00FC08B1">
              <w:t>'</w:t>
            </w:r>
            <w:r w:rsidR="00966140">
              <w:t>Union;</w:t>
            </w:r>
            <w:proofErr w:type="gramEnd"/>
          </w:p>
          <w:p w14:paraId="5FDEF8E8" w14:textId="79024F64" w:rsidR="00966140" w:rsidRDefault="00C9352B" w:rsidP="00FC0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66140">
              <w:tab/>
              <w:t>Aux Membres du Secteur</w:t>
            </w:r>
            <w:r w:rsidR="00F23DE3">
              <w:t xml:space="preserve"> de l</w:t>
            </w:r>
            <w:r w:rsidR="00FC08B1">
              <w:t>'</w:t>
            </w:r>
            <w:r w:rsidR="00966140">
              <w:t>UIT-T;</w:t>
            </w:r>
          </w:p>
          <w:p w14:paraId="07FFD059" w14:textId="4010FF65" w:rsidR="00966140" w:rsidRDefault="00C9352B" w:rsidP="00FC0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66140">
              <w:tab/>
              <w:t>Aux Associés de l</w:t>
            </w:r>
            <w:r w:rsidR="00FC08B1">
              <w:t>'</w:t>
            </w:r>
            <w:r w:rsidR="00966140">
              <w:t>UIT-T;</w:t>
            </w:r>
          </w:p>
          <w:p w14:paraId="03B25480" w14:textId="34802AE7" w:rsidR="00036F4F" w:rsidRPr="00697BC1" w:rsidRDefault="00C9352B" w:rsidP="00FC0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66140">
              <w:tab/>
              <w:t>Aux établissements universitaires participant aux travaux de l</w:t>
            </w:r>
            <w:r w:rsidR="00FC08B1">
              <w:t>'</w:t>
            </w:r>
            <w:r w:rsidR="00966140">
              <w:t>UIT</w:t>
            </w:r>
            <w:r w:rsidR="00966140" w:rsidRPr="00697BC1">
              <w:t xml:space="preserve"> </w:t>
            </w:r>
          </w:p>
        </w:tc>
      </w:tr>
      <w:tr w:rsidR="009B557F" w:rsidRPr="00697BC1" w14:paraId="379562B7" w14:textId="77777777" w:rsidTr="00C9352B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1D2E4DA0" w14:textId="15DF56E6" w:rsidR="009B557F" w:rsidRPr="00C9352B" w:rsidRDefault="009B557F" w:rsidP="00FC08B1">
            <w:pPr>
              <w:tabs>
                <w:tab w:val="left" w:pos="4111"/>
              </w:tabs>
              <w:spacing w:before="10"/>
              <w:ind w:left="57"/>
            </w:pPr>
            <w:r w:rsidRPr="00C9352B">
              <w:t>Contact:</w:t>
            </w:r>
          </w:p>
        </w:tc>
        <w:tc>
          <w:tcPr>
            <w:tcW w:w="3686" w:type="dxa"/>
            <w:gridSpan w:val="3"/>
          </w:tcPr>
          <w:p w14:paraId="1464ACD3" w14:textId="565E82B7" w:rsidR="009B557F" w:rsidRPr="00697BC1" w:rsidRDefault="009B557F" w:rsidP="00FC08B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Vijay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Mauree</w:t>
            </w:r>
            <w:proofErr w:type="spellEnd"/>
          </w:p>
        </w:tc>
        <w:tc>
          <w:tcPr>
            <w:tcW w:w="5111" w:type="dxa"/>
            <w:gridSpan w:val="3"/>
            <w:vMerge/>
          </w:tcPr>
          <w:p w14:paraId="7546C8E1" w14:textId="77777777" w:rsidR="009B557F" w:rsidRPr="00697BC1" w:rsidRDefault="009B557F" w:rsidP="00FC0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36F4F" w:rsidRPr="00697BC1" w14:paraId="2F42B129" w14:textId="77777777" w:rsidTr="00C9352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6E909E55" w14:textId="77777777" w:rsidR="00036F4F" w:rsidRPr="00C9352B" w:rsidRDefault="00036F4F" w:rsidP="00FC08B1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C9352B">
              <w:t>Tél.:</w:t>
            </w:r>
          </w:p>
        </w:tc>
        <w:tc>
          <w:tcPr>
            <w:tcW w:w="3686" w:type="dxa"/>
            <w:gridSpan w:val="3"/>
          </w:tcPr>
          <w:p w14:paraId="3D170D34" w14:textId="0080E398" w:rsidR="00036F4F" w:rsidRPr="00697BC1" w:rsidRDefault="00036F4F" w:rsidP="00FC08B1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966140">
              <w:t xml:space="preserve"> 5591</w:t>
            </w:r>
          </w:p>
        </w:tc>
        <w:tc>
          <w:tcPr>
            <w:tcW w:w="5111" w:type="dxa"/>
            <w:gridSpan w:val="3"/>
            <w:vMerge/>
          </w:tcPr>
          <w:p w14:paraId="38625424" w14:textId="77777777" w:rsidR="00036F4F" w:rsidRPr="00697BC1" w:rsidRDefault="00036F4F" w:rsidP="00FC08B1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14:paraId="4A3A9B1A" w14:textId="77777777" w:rsidTr="00C9352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C9341B2" w14:textId="22562A8F" w:rsidR="00036F4F" w:rsidRPr="00C9352B" w:rsidRDefault="003705A2" w:rsidP="00FC08B1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C9352B">
              <w:t>Télécopie</w:t>
            </w:r>
            <w:r w:rsidR="00036F4F" w:rsidRPr="00C9352B">
              <w:t>:</w:t>
            </w:r>
          </w:p>
        </w:tc>
        <w:tc>
          <w:tcPr>
            <w:tcW w:w="3686" w:type="dxa"/>
            <w:gridSpan w:val="3"/>
          </w:tcPr>
          <w:p w14:paraId="284C0E4D" w14:textId="77777777" w:rsidR="00036F4F" w:rsidRPr="00697BC1" w:rsidRDefault="00036F4F" w:rsidP="00FC08B1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08CD6223" w14:textId="77777777" w:rsidR="00036F4F" w:rsidRPr="00697BC1" w:rsidRDefault="00036F4F" w:rsidP="00FC08B1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14:paraId="2F8803F8" w14:textId="77777777" w:rsidTr="00C9352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55D0BBD" w14:textId="71436EFF" w:rsidR="00517A03" w:rsidRPr="00C9352B" w:rsidRDefault="003705A2" w:rsidP="00FC08B1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C9352B">
              <w:t>Courriel</w:t>
            </w:r>
            <w:r w:rsidR="00036F4F" w:rsidRPr="00C9352B">
              <w:t>:</w:t>
            </w:r>
          </w:p>
        </w:tc>
        <w:tc>
          <w:tcPr>
            <w:tcW w:w="3686" w:type="dxa"/>
            <w:gridSpan w:val="3"/>
          </w:tcPr>
          <w:p w14:paraId="1D981C97" w14:textId="55FC0D89" w:rsidR="00517A03" w:rsidRPr="00697BC1" w:rsidRDefault="00585FF4" w:rsidP="00FC08B1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966140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111" w:type="dxa"/>
            <w:gridSpan w:val="3"/>
          </w:tcPr>
          <w:p w14:paraId="6F8D98E8" w14:textId="77777777" w:rsidR="00517A03" w:rsidRPr="00697BC1" w:rsidRDefault="00517A03" w:rsidP="00FC08B1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14:paraId="5620EDF1" w14:textId="3096289D" w:rsidR="00966140" w:rsidRDefault="00C9352B" w:rsidP="00FC08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 w:rsidR="00517A03" w:rsidRPr="00697BC1">
              <w:tab/>
            </w:r>
            <w:r w:rsidR="00966140">
              <w:t xml:space="preserve">Aux Présidents et Vice-Présidents des </w:t>
            </w:r>
            <w:r w:rsidR="008D35F1">
              <w:t>C</w:t>
            </w:r>
            <w:r w:rsidR="00966140">
              <w:t>ommissions d</w:t>
            </w:r>
            <w:r w:rsidR="00FC08B1">
              <w:t>'</w:t>
            </w:r>
            <w:r w:rsidR="00966140">
              <w:t>études de l</w:t>
            </w:r>
            <w:r w:rsidR="00FC08B1">
              <w:t>'</w:t>
            </w:r>
            <w:r w:rsidR="00966140">
              <w:t>UIT-T;</w:t>
            </w:r>
          </w:p>
          <w:p w14:paraId="48552A9D" w14:textId="33B171FA" w:rsidR="00966140" w:rsidRDefault="00C9352B" w:rsidP="00FC08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 w:rsidR="00966140">
              <w:tab/>
              <w:t>À la Directrice du Bureau de développement des</w:t>
            </w:r>
            <w:r w:rsidR="008D35F1">
              <w:t> </w:t>
            </w:r>
            <w:r w:rsidR="00966140">
              <w:t>télécommunications;</w:t>
            </w:r>
          </w:p>
          <w:p w14:paraId="30EA81F3" w14:textId="56267AF1" w:rsidR="00517A03" w:rsidRPr="00697BC1" w:rsidRDefault="00C9352B" w:rsidP="008D35F1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</w:pPr>
            <w:r>
              <w:t>–</w:t>
            </w:r>
            <w:r w:rsidR="00966140">
              <w:tab/>
              <w:t>Au Directeur du Bureau des</w:t>
            </w:r>
            <w:r w:rsidR="008D35F1">
              <w:t> </w:t>
            </w:r>
            <w:r w:rsidR="00966140">
              <w:t>radiocommunications</w:t>
            </w:r>
          </w:p>
        </w:tc>
      </w:tr>
      <w:tr w:rsidR="00517A03" w:rsidRPr="00AA131B" w14:paraId="4E79724F" w14:textId="77777777" w:rsidTr="00C9352B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100D1FE2" w14:textId="77777777" w:rsidR="00517A03" w:rsidRPr="00C9352B" w:rsidRDefault="00517A03" w:rsidP="008D35F1">
            <w:pPr>
              <w:tabs>
                <w:tab w:val="left" w:pos="4111"/>
              </w:tabs>
              <w:spacing w:before="360"/>
              <w:ind w:left="57"/>
              <w:rPr>
                <w:szCs w:val="22"/>
              </w:rPr>
            </w:pPr>
            <w:r w:rsidRPr="00C9352B">
              <w:rPr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628CCBF5" w14:textId="55B428A0" w:rsidR="00517A03" w:rsidRPr="003705A2" w:rsidRDefault="00FC08B1" w:rsidP="008D35F1">
            <w:pPr>
              <w:pStyle w:val="Tabletext0"/>
              <w:spacing w:before="360" w:after="0"/>
              <w:ind w:left="57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Stage intensif sur la </w:t>
            </w:r>
            <w:r w:rsidR="003705A2" w:rsidRPr="00E50618">
              <w:rPr>
                <w:b/>
                <w:bCs/>
                <w:lang w:val="fr-FR"/>
              </w:rPr>
              <w:t xml:space="preserve">sécurité </w:t>
            </w:r>
            <w:r w:rsidR="00F23DE3">
              <w:rPr>
                <w:b/>
                <w:bCs/>
                <w:lang w:val="fr-FR"/>
              </w:rPr>
              <w:t xml:space="preserve">dans le cadre </w:t>
            </w:r>
            <w:r w:rsidR="003705A2" w:rsidRPr="00E50618">
              <w:rPr>
                <w:b/>
                <w:bCs/>
                <w:lang w:val="fr-FR"/>
              </w:rPr>
              <w:t>de l</w:t>
            </w:r>
            <w:r>
              <w:rPr>
                <w:b/>
                <w:bCs/>
                <w:lang w:val="fr-FR"/>
              </w:rPr>
              <w:t>'</w:t>
            </w:r>
            <w:r w:rsidR="003705A2" w:rsidRPr="00E50618">
              <w:rPr>
                <w:b/>
                <w:bCs/>
                <w:lang w:val="fr-FR"/>
              </w:rPr>
              <w:t>Initiative mondiale en faveur de l</w:t>
            </w:r>
            <w:r>
              <w:rPr>
                <w:b/>
                <w:bCs/>
                <w:lang w:val="fr-FR"/>
              </w:rPr>
              <w:t>'</w:t>
            </w:r>
            <w:r w:rsidR="003705A2" w:rsidRPr="00E50618">
              <w:rPr>
                <w:b/>
                <w:bCs/>
                <w:lang w:val="fr-FR"/>
              </w:rPr>
              <w:t>inclusion financière</w:t>
            </w:r>
            <w:r w:rsidR="00F23DE3">
              <w:rPr>
                <w:b/>
                <w:bCs/>
                <w:lang w:val="fr-FR"/>
              </w:rPr>
              <w:t xml:space="preserve"> (FIGI</w:t>
            </w:r>
            <w:proofErr w:type="gramStart"/>
            <w:r w:rsidR="00F23DE3">
              <w:rPr>
                <w:b/>
                <w:bCs/>
                <w:lang w:val="fr-FR"/>
              </w:rPr>
              <w:t>)</w:t>
            </w:r>
            <w:r w:rsidR="003705A2" w:rsidRPr="00E50618">
              <w:rPr>
                <w:b/>
                <w:bCs/>
                <w:lang w:val="fr-FR"/>
              </w:rPr>
              <w:t>:</w:t>
            </w:r>
            <w:proofErr w:type="gramEnd"/>
            <w:r w:rsidR="003705A2" w:rsidRPr="00E50618">
              <w:rPr>
                <w:b/>
                <w:bCs/>
                <w:lang w:val="fr-FR"/>
              </w:rPr>
              <w:t xml:space="preserve"> Sécuriser l</w:t>
            </w:r>
            <w:r>
              <w:rPr>
                <w:b/>
                <w:bCs/>
                <w:lang w:val="fr-FR"/>
              </w:rPr>
              <w:t>'</w:t>
            </w:r>
            <w:r w:rsidR="003705A2" w:rsidRPr="00E50618">
              <w:rPr>
                <w:b/>
                <w:bCs/>
                <w:lang w:val="fr-FR"/>
              </w:rPr>
              <w:t>infrastructure et les applications pour les services financiers numériques (Genève, Suisse, 4</w:t>
            </w:r>
            <w:r>
              <w:rPr>
                <w:b/>
                <w:bCs/>
                <w:lang w:val="fr-FR"/>
              </w:rPr>
              <w:t xml:space="preserve"> et </w:t>
            </w:r>
            <w:r w:rsidR="003705A2" w:rsidRPr="00E50618">
              <w:rPr>
                <w:b/>
                <w:bCs/>
                <w:lang w:val="fr-FR"/>
              </w:rPr>
              <w:t>5 décembre 2019</w:t>
            </w:r>
            <w:r w:rsidR="00966140" w:rsidRPr="003705A2">
              <w:rPr>
                <w:b/>
                <w:bCs/>
                <w:szCs w:val="22"/>
                <w:lang w:val="fr-FR"/>
              </w:rPr>
              <w:t>)</w:t>
            </w:r>
          </w:p>
        </w:tc>
      </w:tr>
    </w:tbl>
    <w:p w14:paraId="242327A7" w14:textId="77777777" w:rsidR="00517A03" w:rsidRPr="00697BC1" w:rsidRDefault="00517A03" w:rsidP="008D35F1">
      <w:pPr>
        <w:spacing w:before="360"/>
      </w:pPr>
      <w:bookmarkStart w:id="1" w:name="StartTyping_F"/>
      <w:bookmarkEnd w:id="1"/>
      <w:r w:rsidRPr="00697BC1">
        <w:t>Madame, Monsieur,</w:t>
      </w:r>
    </w:p>
    <w:p w14:paraId="1C57D6D2" w14:textId="1357F264" w:rsidR="00966140" w:rsidRPr="00FC08B1" w:rsidRDefault="00966140" w:rsidP="00D75E95">
      <w:pPr>
        <w:tabs>
          <w:tab w:val="left" w:pos="567"/>
        </w:tabs>
      </w:pPr>
      <w:r w:rsidRPr="003705A2">
        <w:rPr>
          <w:bCs/>
        </w:rPr>
        <w:t>1</w:t>
      </w:r>
      <w:r w:rsidRPr="003705A2">
        <w:tab/>
      </w:r>
      <w:r w:rsidR="003705A2" w:rsidRPr="00FC08B1">
        <w:t>L</w:t>
      </w:r>
      <w:r w:rsidR="00FC08B1">
        <w:t>'</w:t>
      </w:r>
      <w:r w:rsidR="003705A2" w:rsidRPr="00FC08B1">
        <w:t xml:space="preserve">Union internationale des télécommunications, en collaboration avec la Fondation Bill et Melinda Gates, le Groupe de la Banque mondiale et la Banque des règlements internationaux, organise </w:t>
      </w:r>
      <w:r w:rsidR="00FC08B1" w:rsidRPr="00FC08B1">
        <w:t>les 4 et 5 décembre 2019 au siège de l</w:t>
      </w:r>
      <w:r w:rsidR="00FC08B1">
        <w:t>'</w:t>
      </w:r>
      <w:r w:rsidR="00FC08B1" w:rsidRPr="00FC08B1">
        <w:t>UIT (2</w:t>
      </w:r>
      <w:r w:rsidR="008D35F1">
        <w:t>, r</w:t>
      </w:r>
      <w:r w:rsidR="00FC08B1" w:rsidRPr="00FC08B1">
        <w:t xml:space="preserve">ue de </w:t>
      </w:r>
      <w:proofErr w:type="spellStart"/>
      <w:r w:rsidR="00FC08B1" w:rsidRPr="00FC08B1">
        <w:t>Varembé</w:t>
      </w:r>
      <w:proofErr w:type="spellEnd"/>
      <w:r w:rsidR="00FC08B1" w:rsidRPr="00FC08B1">
        <w:t xml:space="preserve">) à Genève (Suisse), </w:t>
      </w:r>
      <w:r w:rsidR="003705A2" w:rsidRPr="00FC08B1">
        <w:t>un</w:t>
      </w:r>
      <w:r w:rsidR="00F23DE3" w:rsidRPr="00FC08B1">
        <w:t xml:space="preserve"> </w:t>
      </w:r>
      <w:r w:rsidR="00FC08B1" w:rsidRPr="00FC08B1">
        <w:rPr>
          <w:b/>
          <w:bCs/>
        </w:rPr>
        <w:t xml:space="preserve">stage intensif sur la </w:t>
      </w:r>
      <w:r w:rsidR="003705A2" w:rsidRPr="00FC08B1">
        <w:rPr>
          <w:b/>
          <w:bCs/>
        </w:rPr>
        <w:t xml:space="preserve">sécurité </w:t>
      </w:r>
      <w:r w:rsidR="00F23DE3" w:rsidRPr="00FC08B1">
        <w:rPr>
          <w:b/>
          <w:bCs/>
        </w:rPr>
        <w:t xml:space="preserve">dans le cadre </w:t>
      </w:r>
      <w:r w:rsidR="003705A2" w:rsidRPr="00FC08B1">
        <w:rPr>
          <w:b/>
          <w:bCs/>
        </w:rPr>
        <w:t>de l</w:t>
      </w:r>
      <w:r w:rsidR="00FC08B1">
        <w:rPr>
          <w:b/>
          <w:bCs/>
        </w:rPr>
        <w:t>'</w:t>
      </w:r>
      <w:r w:rsidR="003705A2" w:rsidRPr="00FC08B1">
        <w:rPr>
          <w:b/>
          <w:bCs/>
        </w:rPr>
        <w:t>Initiative mondiale en faveur de l</w:t>
      </w:r>
      <w:r w:rsidR="00FC08B1">
        <w:rPr>
          <w:b/>
          <w:bCs/>
        </w:rPr>
        <w:t>'</w:t>
      </w:r>
      <w:r w:rsidR="003705A2" w:rsidRPr="00FC08B1">
        <w:rPr>
          <w:b/>
          <w:bCs/>
        </w:rPr>
        <w:t>inclusion financière (FIGI): Sécuriser l</w:t>
      </w:r>
      <w:r w:rsidR="00FC08B1">
        <w:rPr>
          <w:b/>
          <w:bCs/>
        </w:rPr>
        <w:t>'</w:t>
      </w:r>
      <w:r w:rsidR="003705A2" w:rsidRPr="00FC08B1">
        <w:rPr>
          <w:b/>
          <w:bCs/>
        </w:rPr>
        <w:t>infrastructure et les applications pour les services financiers numériques</w:t>
      </w:r>
      <w:r w:rsidRPr="00FC08B1">
        <w:t>.</w:t>
      </w:r>
    </w:p>
    <w:p w14:paraId="73B4FB2B" w14:textId="62DF11AF" w:rsidR="00036F4F" w:rsidRPr="00D75E95" w:rsidRDefault="00966140" w:rsidP="00D75E95">
      <w:pPr>
        <w:rPr>
          <w:bCs/>
        </w:rPr>
      </w:pPr>
      <w:r w:rsidRPr="00D75E95">
        <w:rPr>
          <w:bCs/>
          <w:lang w:val="fr-CH"/>
        </w:rPr>
        <w:t>2</w:t>
      </w:r>
      <w:r w:rsidRPr="00D75E95">
        <w:rPr>
          <w:bCs/>
          <w:lang w:val="fr-CH"/>
        </w:rPr>
        <w:tab/>
        <w:t xml:space="preserve">La participation à </w:t>
      </w:r>
      <w:r w:rsidR="00F23DE3" w:rsidRPr="00D75E95">
        <w:rPr>
          <w:bCs/>
          <w:lang w:val="fr-CH"/>
        </w:rPr>
        <w:t>cette manifestation est gratuite</w:t>
      </w:r>
      <w:r w:rsidRPr="00D75E95">
        <w:rPr>
          <w:bCs/>
          <w:lang w:val="fr-CH"/>
        </w:rPr>
        <w:t xml:space="preserve"> </w:t>
      </w:r>
      <w:r w:rsidR="00FC08B1" w:rsidRPr="00D75E95">
        <w:rPr>
          <w:bCs/>
          <w:lang w:val="fr-CH"/>
        </w:rPr>
        <w:t xml:space="preserve">et </w:t>
      </w:r>
      <w:r w:rsidRPr="00D75E95">
        <w:rPr>
          <w:bCs/>
          <w:lang w:val="fr-CH"/>
        </w:rPr>
        <w:t>ouverte aux États Membres, aux Membres de Secteur</w:t>
      </w:r>
      <w:r w:rsidR="00F23DE3" w:rsidRPr="00D75E95">
        <w:rPr>
          <w:bCs/>
          <w:lang w:val="fr-CH"/>
        </w:rPr>
        <w:t xml:space="preserve"> et</w:t>
      </w:r>
      <w:r w:rsidRPr="00D75E95">
        <w:rPr>
          <w:bCs/>
          <w:lang w:val="fr-CH"/>
        </w:rPr>
        <w:t xml:space="preserve"> aux Associés de l</w:t>
      </w:r>
      <w:r w:rsidR="00FC08B1" w:rsidRPr="00D75E95">
        <w:rPr>
          <w:bCs/>
          <w:lang w:val="fr-CH"/>
        </w:rPr>
        <w:t>'</w:t>
      </w:r>
      <w:r w:rsidRPr="00D75E95">
        <w:rPr>
          <w:bCs/>
          <w:lang w:val="fr-CH"/>
        </w:rPr>
        <w:t>UIT</w:t>
      </w:r>
      <w:r w:rsidR="00F23DE3" w:rsidRPr="00D75E95">
        <w:rPr>
          <w:bCs/>
          <w:lang w:val="fr-CH"/>
        </w:rPr>
        <w:t>,</w:t>
      </w:r>
      <w:r w:rsidR="00FC08B1" w:rsidRPr="00D75E95">
        <w:rPr>
          <w:bCs/>
          <w:lang w:val="fr-CH"/>
        </w:rPr>
        <w:t xml:space="preserve"> </w:t>
      </w:r>
      <w:r w:rsidRPr="00D75E95">
        <w:rPr>
          <w:bCs/>
          <w:lang w:val="fr-CH"/>
        </w:rPr>
        <w:t>aux établissements universitaires participant aux travaux de l</w:t>
      </w:r>
      <w:r w:rsidR="00FC08B1" w:rsidRPr="00D75E95">
        <w:rPr>
          <w:bCs/>
          <w:lang w:val="fr-CH"/>
        </w:rPr>
        <w:t>'</w:t>
      </w:r>
      <w:r w:rsidRPr="00D75E95">
        <w:rPr>
          <w:bCs/>
          <w:lang w:val="fr-CH"/>
        </w:rPr>
        <w:t>UIT, ainsi qu</w:t>
      </w:r>
      <w:r w:rsidR="00FC08B1" w:rsidRPr="00D75E95">
        <w:rPr>
          <w:bCs/>
          <w:lang w:val="fr-CH"/>
        </w:rPr>
        <w:t>'</w:t>
      </w:r>
      <w:r w:rsidRPr="00D75E95">
        <w:rPr>
          <w:bCs/>
          <w:lang w:val="fr-CH"/>
        </w:rPr>
        <w:t>à toute personne issue d</w:t>
      </w:r>
      <w:r w:rsidR="00FC08B1" w:rsidRPr="00D75E95">
        <w:rPr>
          <w:bCs/>
          <w:lang w:val="fr-CH"/>
        </w:rPr>
        <w:t>'</w:t>
      </w:r>
      <w:r w:rsidRPr="00D75E95">
        <w:rPr>
          <w:bCs/>
          <w:lang w:val="fr-CH"/>
        </w:rPr>
        <w:t>un pays Membre de l</w:t>
      </w:r>
      <w:r w:rsidR="00FC08B1" w:rsidRPr="00D75E95">
        <w:rPr>
          <w:bCs/>
          <w:lang w:val="fr-CH"/>
        </w:rPr>
        <w:t>'</w:t>
      </w:r>
      <w:r w:rsidRPr="00D75E95">
        <w:rPr>
          <w:bCs/>
          <w:lang w:val="fr-CH"/>
        </w:rPr>
        <w:t>UIT qui souhaite contribuer aux travaux</w:t>
      </w:r>
      <w:r w:rsidR="00F23DE3" w:rsidRPr="00D75E95">
        <w:rPr>
          <w:bCs/>
          <w:lang w:val="fr-CH"/>
        </w:rPr>
        <w:t xml:space="preserve">. </w:t>
      </w:r>
      <w:r w:rsidR="003705A2" w:rsidRPr="00D75E95">
        <w:t>Il peut s</w:t>
      </w:r>
      <w:r w:rsidR="00FC08B1" w:rsidRPr="00D75E95">
        <w:t>'</w:t>
      </w:r>
      <w:r w:rsidR="003705A2" w:rsidRPr="00D75E95">
        <w:t>agir de membres d</w:t>
      </w:r>
      <w:r w:rsidR="00FC08B1" w:rsidRPr="00D75E95">
        <w:t>'</w:t>
      </w:r>
      <w:r w:rsidR="003705A2" w:rsidRPr="00D75E95">
        <w:t xml:space="preserve">organisations internationales, régionales </w:t>
      </w:r>
      <w:r w:rsidR="00FC08B1" w:rsidRPr="00D75E95">
        <w:t xml:space="preserve">ou </w:t>
      </w:r>
      <w:r w:rsidR="003705A2" w:rsidRPr="00D75E95">
        <w:t>nationales, de régulateurs des télécommunications, de banques centrales, de fournisseurs de services financiers numériques, d</w:t>
      </w:r>
      <w:r w:rsidR="00FC08B1" w:rsidRPr="00D75E95">
        <w:t>'</w:t>
      </w:r>
      <w:r w:rsidR="003705A2" w:rsidRPr="00D75E95">
        <w:t>entreprises du secteur des technologies financières et de la sécurité informatique, de fournisseurs de services de paiement, de fournisseurs de plates-formes d</w:t>
      </w:r>
      <w:r w:rsidR="00FC08B1" w:rsidRPr="00D75E95">
        <w:t>'</w:t>
      </w:r>
      <w:r w:rsidR="003705A2" w:rsidRPr="00D75E95">
        <w:t xml:space="preserve">argent mobile, de fournisseurs de plates-formes de monnaie numérique </w:t>
      </w:r>
      <w:r w:rsidR="00F23DE3" w:rsidRPr="00D75E95">
        <w:t>ou</w:t>
      </w:r>
      <w:r w:rsidR="003705A2" w:rsidRPr="00D75E95">
        <w:t xml:space="preserve"> </w:t>
      </w:r>
      <w:r w:rsidR="00FC08B1" w:rsidRPr="00D75E95">
        <w:t xml:space="preserve">d'organismes </w:t>
      </w:r>
      <w:r w:rsidR="003705A2" w:rsidRPr="00D75E95">
        <w:t>chargés de l</w:t>
      </w:r>
      <w:r w:rsidR="00FC08B1" w:rsidRPr="00D75E95">
        <w:t>'</w:t>
      </w:r>
      <w:r w:rsidR="003705A2" w:rsidRPr="00D75E95">
        <w:t xml:space="preserve">application de la loi dans le domaine de la finance numérique. </w:t>
      </w:r>
      <w:r w:rsidR="00FC08B1" w:rsidRPr="00D75E95">
        <w:rPr>
          <w:b/>
          <w:bCs/>
        </w:rPr>
        <w:t xml:space="preserve">Ce stage intensif sur la </w:t>
      </w:r>
      <w:r w:rsidR="003705A2" w:rsidRPr="00D75E95">
        <w:rPr>
          <w:b/>
          <w:bCs/>
        </w:rPr>
        <w:t>sécurité</w:t>
      </w:r>
      <w:r w:rsidR="00FC08B1" w:rsidRPr="00D75E95">
        <w:rPr>
          <w:b/>
          <w:bCs/>
        </w:rPr>
        <w:t>, qui</w:t>
      </w:r>
      <w:r w:rsidR="003705A2" w:rsidRPr="00D75E95">
        <w:rPr>
          <w:b/>
          <w:bCs/>
        </w:rPr>
        <w:t xml:space="preserve"> aura un caractère hautement technique</w:t>
      </w:r>
      <w:r w:rsidR="00FC08B1" w:rsidRPr="00D75E95">
        <w:rPr>
          <w:b/>
          <w:bCs/>
        </w:rPr>
        <w:t>,</w:t>
      </w:r>
      <w:r w:rsidR="003705A2" w:rsidRPr="00D75E95">
        <w:rPr>
          <w:b/>
          <w:bCs/>
        </w:rPr>
        <w:t xml:space="preserve"> s</w:t>
      </w:r>
      <w:r w:rsidR="00FC08B1" w:rsidRPr="00D75E95">
        <w:rPr>
          <w:b/>
          <w:bCs/>
        </w:rPr>
        <w:t>'</w:t>
      </w:r>
      <w:r w:rsidR="003705A2" w:rsidRPr="00D75E95">
        <w:rPr>
          <w:b/>
          <w:bCs/>
        </w:rPr>
        <w:t xml:space="preserve">adresse avant tout aux professionnels </w:t>
      </w:r>
      <w:r w:rsidR="00FC08B1" w:rsidRPr="00D75E95">
        <w:rPr>
          <w:b/>
          <w:bCs/>
        </w:rPr>
        <w:t xml:space="preserve">qui œuvrent </w:t>
      </w:r>
      <w:r w:rsidR="003705A2" w:rsidRPr="00D75E95">
        <w:rPr>
          <w:b/>
          <w:bCs/>
        </w:rPr>
        <w:t xml:space="preserve">dans le domaine des services financiers numériques et des </w:t>
      </w:r>
      <w:r w:rsidR="00FC08B1" w:rsidRPr="00D75E95">
        <w:rPr>
          <w:b/>
          <w:bCs/>
        </w:rPr>
        <w:t xml:space="preserve">mises en œuvre et </w:t>
      </w:r>
      <w:r w:rsidR="003705A2" w:rsidRPr="00D75E95">
        <w:rPr>
          <w:b/>
          <w:bCs/>
        </w:rPr>
        <w:t>applications de sécurité des paiements mobiles</w:t>
      </w:r>
      <w:r w:rsidRPr="00D75E95">
        <w:rPr>
          <w:b/>
          <w:bCs/>
        </w:rPr>
        <w:t>.</w:t>
      </w:r>
    </w:p>
    <w:p w14:paraId="7FB582D7" w14:textId="331DA080" w:rsidR="00966140" w:rsidRPr="003705A2" w:rsidRDefault="00966140" w:rsidP="00D75E95">
      <w:pPr>
        <w:tabs>
          <w:tab w:val="left" w:pos="567"/>
        </w:tabs>
      </w:pPr>
      <w:r w:rsidRPr="003705A2">
        <w:t>3</w:t>
      </w:r>
      <w:r w:rsidRPr="003705A2">
        <w:tab/>
      </w:r>
      <w:r w:rsidR="003705A2" w:rsidRPr="00E50618">
        <w:t>La manifestation se déroulera en anglais uniquement</w:t>
      </w:r>
      <w:r w:rsidRPr="003705A2">
        <w:t>.</w:t>
      </w:r>
    </w:p>
    <w:p w14:paraId="7CB8EB63" w14:textId="77777777" w:rsidR="008D35F1" w:rsidRDefault="008D35F1" w:rsidP="00D75E95">
      <w:pPr>
        <w:tabs>
          <w:tab w:val="left" w:pos="567"/>
        </w:tabs>
        <w:spacing w:before="100"/>
      </w:pPr>
      <w:r>
        <w:br w:type="page"/>
      </w:r>
    </w:p>
    <w:p w14:paraId="5DED03E2" w14:textId="3DFF0D95" w:rsidR="003705A2" w:rsidRPr="00D75E95" w:rsidRDefault="00966140" w:rsidP="00D75E95">
      <w:pPr>
        <w:tabs>
          <w:tab w:val="left" w:pos="567"/>
        </w:tabs>
        <w:spacing w:before="100"/>
        <w:rPr>
          <w:bCs/>
          <w:iCs/>
        </w:rPr>
      </w:pPr>
      <w:r w:rsidRPr="003705A2">
        <w:lastRenderedPageBreak/>
        <w:t>4</w:t>
      </w:r>
      <w:r w:rsidRPr="003705A2">
        <w:tab/>
      </w:r>
      <w:r w:rsidR="003705A2" w:rsidRPr="00D75E95">
        <w:rPr>
          <w:bCs/>
          <w:iCs/>
        </w:rPr>
        <w:t>L</w:t>
      </w:r>
      <w:r w:rsidR="00FC08B1" w:rsidRPr="00D75E95">
        <w:rPr>
          <w:bCs/>
          <w:iCs/>
        </w:rPr>
        <w:t>'</w:t>
      </w:r>
      <w:r w:rsidR="003705A2" w:rsidRPr="00D75E95">
        <w:rPr>
          <w:bCs/>
          <w:iCs/>
        </w:rPr>
        <w:t xml:space="preserve">objectif principal </w:t>
      </w:r>
      <w:r w:rsidR="00FC08B1" w:rsidRPr="00D75E95">
        <w:rPr>
          <w:bCs/>
          <w:iCs/>
        </w:rPr>
        <w:t xml:space="preserve">du stage intensif sur la </w:t>
      </w:r>
      <w:r w:rsidR="003705A2" w:rsidRPr="00D75E95">
        <w:rPr>
          <w:bCs/>
          <w:iCs/>
        </w:rPr>
        <w:t xml:space="preserve">sécurité </w:t>
      </w:r>
      <w:r w:rsidR="00F23DE3" w:rsidRPr="00D75E95">
        <w:rPr>
          <w:bCs/>
          <w:iCs/>
        </w:rPr>
        <w:t xml:space="preserve">organisé </w:t>
      </w:r>
      <w:r w:rsidR="00FC08B1" w:rsidRPr="00D75E95">
        <w:rPr>
          <w:bCs/>
          <w:iCs/>
        </w:rPr>
        <w:t xml:space="preserve">au titre </w:t>
      </w:r>
      <w:r w:rsidR="003705A2" w:rsidRPr="00D75E95">
        <w:rPr>
          <w:bCs/>
          <w:iCs/>
        </w:rPr>
        <w:t>de l</w:t>
      </w:r>
      <w:r w:rsidR="00FC08B1" w:rsidRPr="00D75E95">
        <w:rPr>
          <w:bCs/>
          <w:iCs/>
        </w:rPr>
        <w:t>'</w:t>
      </w:r>
      <w:r w:rsidR="003705A2" w:rsidRPr="00D75E95">
        <w:rPr>
          <w:bCs/>
          <w:iCs/>
        </w:rPr>
        <w:t xml:space="preserve">Initiative FIGI est de présenter les conclusions du </w:t>
      </w:r>
      <w:hyperlink r:id="rId10" w:history="1">
        <w:r w:rsidR="003705A2" w:rsidRPr="00D75E95">
          <w:rPr>
            <w:rStyle w:val="Hyperlink"/>
            <w:bCs/>
            <w:iCs/>
          </w:rPr>
          <w:t>Groupe de travail sur la sécurité, l</w:t>
        </w:r>
        <w:r w:rsidR="00FC08B1" w:rsidRPr="00D75E95">
          <w:rPr>
            <w:rStyle w:val="Hyperlink"/>
            <w:bCs/>
            <w:iCs/>
          </w:rPr>
          <w:t>'</w:t>
        </w:r>
        <w:r w:rsidR="003705A2" w:rsidRPr="00D75E95">
          <w:rPr>
            <w:rStyle w:val="Hyperlink"/>
            <w:bCs/>
            <w:iCs/>
          </w:rPr>
          <w:t>infrastructure et la confiance</w:t>
        </w:r>
      </w:hyperlink>
      <w:r w:rsidR="00F23DE3" w:rsidRPr="00D75E95">
        <w:rPr>
          <w:bCs/>
          <w:iCs/>
        </w:rPr>
        <w:t xml:space="preserve">, </w:t>
      </w:r>
      <w:r w:rsidR="00FC08B1" w:rsidRPr="00D75E95">
        <w:rPr>
          <w:bCs/>
          <w:iCs/>
        </w:rPr>
        <w:t xml:space="preserve">dans le cadre </w:t>
      </w:r>
      <w:r w:rsidR="003705A2" w:rsidRPr="00D75E95">
        <w:rPr>
          <w:bCs/>
          <w:iCs/>
        </w:rPr>
        <w:t>d</w:t>
      </w:r>
      <w:r w:rsidR="00FC08B1" w:rsidRPr="00D75E95">
        <w:rPr>
          <w:bCs/>
          <w:iCs/>
        </w:rPr>
        <w:t>'</w:t>
      </w:r>
      <w:r w:rsidR="003705A2" w:rsidRPr="00D75E95">
        <w:rPr>
          <w:bCs/>
          <w:iCs/>
        </w:rPr>
        <w:t xml:space="preserve">une série de conférences et </w:t>
      </w:r>
      <w:r w:rsidR="00FC08B1" w:rsidRPr="00D75E95">
        <w:rPr>
          <w:bCs/>
          <w:iCs/>
        </w:rPr>
        <w:t xml:space="preserve">de stages intensifs </w:t>
      </w:r>
      <w:r w:rsidR="00F23DE3" w:rsidRPr="00D75E95">
        <w:rPr>
          <w:bCs/>
          <w:iCs/>
        </w:rPr>
        <w:t>à l</w:t>
      </w:r>
      <w:r w:rsidR="00FC08B1" w:rsidRPr="00D75E95">
        <w:rPr>
          <w:bCs/>
          <w:iCs/>
        </w:rPr>
        <w:t>'</w:t>
      </w:r>
      <w:r w:rsidR="00F23DE3" w:rsidRPr="00D75E95">
        <w:rPr>
          <w:bCs/>
          <w:iCs/>
        </w:rPr>
        <w:t>intention d</w:t>
      </w:r>
      <w:r w:rsidR="003705A2" w:rsidRPr="00D75E95">
        <w:rPr>
          <w:bCs/>
          <w:iCs/>
        </w:rPr>
        <w:t xml:space="preserve">es professionnels de la sécurité. Le premier jour </w:t>
      </w:r>
      <w:r w:rsidR="00FC08B1" w:rsidRPr="00D75E95">
        <w:rPr>
          <w:bCs/>
          <w:iCs/>
        </w:rPr>
        <w:t xml:space="preserve">sera consacré à </w:t>
      </w:r>
      <w:r w:rsidR="003705A2" w:rsidRPr="00D75E95">
        <w:rPr>
          <w:bCs/>
          <w:iCs/>
        </w:rPr>
        <w:t xml:space="preserve">une conférence </w:t>
      </w:r>
      <w:r w:rsidR="002339A7" w:rsidRPr="00D75E95">
        <w:rPr>
          <w:bCs/>
          <w:iCs/>
        </w:rPr>
        <w:t xml:space="preserve">au cours de laquelle les participants examineront </w:t>
      </w:r>
      <w:r w:rsidR="003705A2" w:rsidRPr="00D75E95">
        <w:rPr>
          <w:bCs/>
          <w:iCs/>
        </w:rPr>
        <w:t>les conclusions du Groupe de travail sur la sécurité, l</w:t>
      </w:r>
      <w:r w:rsidR="00FC08B1" w:rsidRPr="00D75E95">
        <w:rPr>
          <w:bCs/>
          <w:iCs/>
        </w:rPr>
        <w:t>'</w:t>
      </w:r>
      <w:r w:rsidR="003705A2" w:rsidRPr="00D75E95">
        <w:rPr>
          <w:bCs/>
          <w:iCs/>
        </w:rPr>
        <w:t>infrastructure et la confiance sur les sujets suivants:</w:t>
      </w:r>
    </w:p>
    <w:p w14:paraId="68BAE7F7" w14:textId="2B847267" w:rsidR="003705A2" w:rsidRPr="00E50618" w:rsidRDefault="00FC08B1" w:rsidP="00FC08B1">
      <w:pPr>
        <w:pStyle w:val="enumlev1"/>
      </w:pPr>
      <w:r>
        <w:t>a)</w:t>
      </w:r>
      <w:r>
        <w:tab/>
      </w:r>
      <w:r w:rsidR="00C9352B">
        <w:t>A</w:t>
      </w:r>
      <w:r w:rsidR="003705A2" w:rsidRPr="00E50618">
        <w:t xml:space="preserve">tténuation des failles du SS7 et menaces </w:t>
      </w:r>
      <w:r w:rsidR="002339A7">
        <w:t xml:space="preserve">pour </w:t>
      </w:r>
      <w:r w:rsidR="003705A2" w:rsidRPr="00E50618">
        <w:t>les services financiers numériques</w:t>
      </w:r>
      <w:r w:rsidR="00C9352B">
        <w:t>.</w:t>
      </w:r>
    </w:p>
    <w:p w14:paraId="6561DA07" w14:textId="24754987" w:rsidR="003705A2" w:rsidRPr="00E50618" w:rsidRDefault="00FC08B1" w:rsidP="00FC08B1">
      <w:pPr>
        <w:pStyle w:val="enumlev1"/>
      </w:pPr>
      <w:r>
        <w:t>b)</w:t>
      </w:r>
      <w:r>
        <w:tab/>
      </w:r>
      <w:r w:rsidR="00C9352B">
        <w:t>A</w:t>
      </w:r>
      <w:r w:rsidR="003705A2" w:rsidRPr="00E50618">
        <w:t>pplication de technologies d</w:t>
      </w:r>
      <w:r>
        <w:t>'</w:t>
      </w:r>
      <w:r w:rsidR="003705A2" w:rsidRPr="00E50618">
        <w:t xml:space="preserve">authentification forte </w:t>
      </w:r>
      <w:r w:rsidR="002339A7">
        <w:t xml:space="preserve">des </w:t>
      </w:r>
      <w:r w:rsidR="003705A2" w:rsidRPr="00E50618">
        <w:t>consommateurs</w:t>
      </w:r>
      <w:r w:rsidR="002339A7">
        <w:t>,</w:t>
      </w:r>
      <w:r w:rsidR="003705A2" w:rsidRPr="00E50618">
        <w:t xml:space="preserve"> afin d</w:t>
      </w:r>
      <w:r>
        <w:t>'</w:t>
      </w:r>
      <w:r w:rsidR="003705A2" w:rsidRPr="00E50618">
        <w:t xml:space="preserve">améliorer la sécurité et </w:t>
      </w:r>
      <w:r w:rsidR="00F23DE3">
        <w:t>d</w:t>
      </w:r>
      <w:r>
        <w:t>'</w:t>
      </w:r>
      <w:r w:rsidR="00F23DE3">
        <w:t>offrir</w:t>
      </w:r>
      <w:r w:rsidR="003705A2" w:rsidRPr="00E50618">
        <w:t xml:space="preserve"> une expérience utilisateur fluide </w:t>
      </w:r>
      <w:r w:rsidR="00F23DE3">
        <w:t>lors</w:t>
      </w:r>
      <w:r w:rsidR="003705A2" w:rsidRPr="00E50618">
        <w:t xml:space="preserve"> de l</w:t>
      </w:r>
      <w:r>
        <w:t>'</w:t>
      </w:r>
      <w:r w:rsidR="003705A2" w:rsidRPr="00E50618">
        <w:t xml:space="preserve">utilisation de services </w:t>
      </w:r>
      <w:r w:rsidR="002339A7">
        <w:t>DFS</w:t>
      </w:r>
      <w:r w:rsidR="00C9352B">
        <w:t>.</w:t>
      </w:r>
    </w:p>
    <w:p w14:paraId="75F61C93" w14:textId="08EA9588" w:rsidR="003705A2" w:rsidRPr="00E50618" w:rsidRDefault="00FC08B1" w:rsidP="00FC08B1">
      <w:pPr>
        <w:pStyle w:val="enumlev1"/>
      </w:pPr>
      <w:r>
        <w:t>c)</w:t>
      </w:r>
      <w:r>
        <w:tab/>
      </w:r>
      <w:r w:rsidR="00C9352B">
        <w:t>É</w:t>
      </w:r>
      <w:r w:rsidR="003705A2" w:rsidRPr="00E50618">
        <w:t>laboration d</w:t>
      </w:r>
      <w:r>
        <w:t>'</w:t>
      </w:r>
      <w:r w:rsidR="003705A2" w:rsidRPr="00E50618">
        <w:t xml:space="preserve">un cadre </w:t>
      </w:r>
      <w:r w:rsidR="002339A7">
        <w:t xml:space="preserve">de garantie </w:t>
      </w:r>
      <w:r w:rsidR="003705A2" w:rsidRPr="00E50618">
        <w:t xml:space="preserve">de la sécurité </w:t>
      </w:r>
      <w:r w:rsidR="002339A7">
        <w:t xml:space="preserve">pour que les </w:t>
      </w:r>
      <w:r w:rsidR="003705A2" w:rsidRPr="00E50618">
        <w:t xml:space="preserve">fournisseurs de services </w:t>
      </w:r>
      <w:r w:rsidR="002339A7">
        <w:t xml:space="preserve">DFS </w:t>
      </w:r>
      <w:r w:rsidR="003705A2" w:rsidRPr="00E50618">
        <w:t xml:space="preserve">et </w:t>
      </w:r>
      <w:r w:rsidR="002339A7">
        <w:t xml:space="preserve">les </w:t>
      </w:r>
      <w:r w:rsidR="003705A2" w:rsidRPr="00E50618">
        <w:t xml:space="preserve">opérateurs de télécommunication </w:t>
      </w:r>
      <w:r w:rsidR="002339A7">
        <w:t xml:space="preserve">puissent </w:t>
      </w:r>
      <w:r w:rsidR="003705A2" w:rsidRPr="00E50618">
        <w:t>mieux gérer les risques et les menaces concernant leurs systèmes</w:t>
      </w:r>
      <w:r w:rsidR="00C9352B">
        <w:t>.</w:t>
      </w:r>
    </w:p>
    <w:p w14:paraId="7DB33207" w14:textId="7A9DE732" w:rsidR="003705A2" w:rsidRPr="00E50618" w:rsidRDefault="00FC08B1" w:rsidP="00FC08B1">
      <w:pPr>
        <w:pStyle w:val="enumlev1"/>
      </w:pPr>
      <w:r>
        <w:t>d)</w:t>
      </w:r>
      <w:r>
        <w:tab/>
      </w:r>
      <w:r w:rsidR="00C9352B">
        <w:t>M</w:t>
      </w:r>
      <w:r w:rsidR="002339A7">
        <w:t xml:space="preserve">ieux comprendre </w:t>
      </w:r>
      <w:r w:rsidR="003705A2" w:rsidRPr="00E50618">
        <w:t xml:space="preserve">les failles des applications relatives aux services </w:t>
      </w:r>
      <w:r w:rsidR="002339A7">
        <w:t xml:space="preserve">DFS </w:t>
      </w:r>
      <w:r w:rsidR="003705A2" w:rsidRPr="00E50618">
        <w:t xml:space="preserve">sur </w:t>
      </w:r>
      <w:r w:rsidR="002339A7">
        <w:t xml:space="preserve">la base des </w:t>
      </w:r>
      <w:r w:rsidR="003705A2" w:rsidRPr="00E50618">
        <w:t xml:space="preserve">données de service supplémentaire non structurées (USSD) et </w:t>
      </w:r>
      <w:r w:rsidR="002339A7">
        <w:t xml:space="preserve">de </w:t>
      </w:r>
      <w:r w:rsidR="003705A2" w:rsidRPr="00E50618">
        <w:t>la boîte à outils d</w:t>
      </w:r>
      <w:r>
        <w:t>'</w:t>
      </w:r>
      <w:r w:rsidR="003705A2" w:rsidRPr="00E50618">
        <w:t xml:space="preserve">applications SIM </w:t>
      </w:r>
      <w:r w:rsidR="002339A7">
        <w:t xml:space="preserve">(STK) </w:t>
      </w:r>
      <w:r w:rsidR="003705A2" w:rsidRPr="00E50618">
        <w:t>et la façon dont ces failles peuvent être atténuées.</w:t>
      </w:r>
    </w:p>
    <w:p w14:paraId="5E9335D8" w14:textId="02CAAD20" w:rsidR="003705A2" w:rsidRPr="00E50618" w:rsidRDefault="003705A2" w:rsidP="00FC08B1">
      <w:pPr>
        <w:tabs>
          <w:tab w:val="left" w:pos="567"/>
        </w:tabs>
      </w:pPr>
      <w:r w:rsidRPr="00E50618">
        <w:rPr>
          <w:bCs/>
          <w:iCs/>
        </w:rPr>
        <w:t>5</w:t>
      </w:r>
      <w:r w:rsidRPr="00E50618">
        <w:rPr>
          <w:bCs/>
          <w:iCs/>
        </w:rPr>
        <w:tab/>
        <w:t xml:space="preserve">Le deuxième jour de la manifestation </w:t>
      </w:r>
      <w:r w:rsidR="002339A7">
        <w:rPr>
          <w:bCs/>
          <w:iCs/>
        </w:rPr>
        <w:t xml:space="preserve">sera consacré à </w:t>
      </w:r>
      <w:r w:rsidRPr="00E50618">
        <w:rPr>
          <w:bCs/>
          <w:iCs/>
        </w:rPr>
        <w:t xml:space="preserve">une série </w:t>
      </w:r>
      <w:r w:rsidR="002339A7">
        <w:rPr>
          <w:bCs/>
          <w:iCs/>
        </w:rPr>
        <w:t xml:space="preserve">de stages intensifs sur la </w:t>
      </w:r>
      <w:r w:rsidRPr="00E50618">
        <w:rPr>
          <w:bCs/>
          <w:iCs/>
        </w:rPr>
        <w:t>sécurité s</w:t>
      </w:r>
      <w:r w:rsidR="00FC08B1">
        <w:rPr>
          <w:bCs/>
          <w:iCs/>
        </w:rPr>
        <w:t>'</w:t>
      </w:r>
      <w:r w:rsidRPr="00E50618">
        <w:rPr>
          <w:bCs/>
          <w:iCs/>
        </w:rPr>
        <w:t xml:space="preserve">adressant principalement aux personnes </w:t>
      </w:r>
      <w:r w:rsidR="00F23DE3">
        <w:rPr>
          <w:bCs/>
          <w:iCs/>
        </w:rPr>
        <w:t>jouant un rôle actif</w:t>
      </w:r>
      <w:r w:rsidRPr="00E50618">
        <w:rPr>
          <w:bCs/>
          <w:iCs/>
        </w:rPr>
        <w:t xml:space="preserve"> dans la mise en œuvre </w:t>
      </w:r>
      <w:r w:rsidR="002339A7">
        <w:rPr>
          <w:bCs/>
          <w:iCs/>
        </w:rPr>
        <w:t xml:space="preserve">sur le plan </w:t>
      </w:r>
      <w:r w:rsidRPr="00E50618">
        <w:rPr>
          <w:bCs/>
          <w:iCs/>
        </w:rPr>
        <w:t xml:space="preserve">technique de la sécurité dans le domaine des services </w:t>
      </w:r>
      <w:r w:rsidR="002339A7">
        <w:rPr>
          <w:bCs/>
          <w:iCs/>
        </w:rPr>
        <w:t>DFS</w:t>
      </w:r>
      <w:r w:rsidRPr="00E50618">
        <w:rPr>
          <w:bCs/>
          <w:iCs/>
        </w:rPr>
        <w:t xml:space="preserve">. </w:t>
      </w:r>
      <w:r w:rsidRPr="00E50618">
        <w:rPr>
          <w:b/>
          <w:u w:val="single"/>
        </w:rPr>
        <w:t xml:space="preserve">Ces </w:t>
      </w:r>
      <w:r w:rsidR="002339A7">
        <w:rPr>
          <w:b/>
          <w:u w:val="single"/>
        </w:rPr>
        <w:t xml:space="preserve">stages intensifs sur la </w:t>
      </w:r>
      <w:r w:rsidRPr="00E50618">
        <w:rPr>
          <w:b/>
          <w:u w:val="single"/>
        </w:rPr>
        <w:t>sécurité se dérouleront en parallèle durant toute la journée du 5 décembre. Le nombre de places étant limité, les participants sont invités à s</w:t>
      </w:r>
      <w:r w:rsidR="00FC08B1">
        <w:rPr>
          <w:b/>
          <w:u w:val="single"/>
        </w:rPr>
        <w:t>'</w:t>
      </w:r>
      <w:r w:rsidRPr="00E50618">
        <w:rPr>
          <w:b/>
          <w:u w:val="single"/>
        </w:rPr>
        <w:t>inscrire pour un seul</w:t>
      </w:r>
      <w:r w:rsidR="00F23DE3">
        <w:rPr>
          <w:b/>
          <w:u w:val="single"/>
        </w:rPr>
        <w:t xml:space="preserve"> </w:t>
      </w:r>
      <w:r w:rsidR="002339A7">
        <w:rPr>
          <w:b/>
          <w:u w:val="single"/>
        </w:rPr>
        <w:t xml:space="preserve">stage </w:t>
      </w:r>
      <w:r w:rsidRPr="00E50618">
        <w:rPr>
          <w:b/>
          <w:u w:val="single"/>
        </w:rPr>
        <w:t xml:space="preserve">en fonction </w:t>
      </w:r>
      <w:r w:rsidR="002339A7">
        <w:rPr>
          <w:b/>
          <w:u w:val="single"/>
        </w:rPr>
        <w:t>du thème qui les intéresse</w:t>
      </w:r>
      <w:r w:rsidRPr="00C9352B">
        <w:rPr>
          <w:bCs/>
        </w:rPr>
        <w:t>.</w:t>
      </w:r>
      <w:r w:rsidRPr="00E50618">
        <w:t xml:space="preserve"> Parmi les thèmes qui seront examinés dans le cadre des </w:t>
      </w:r>
      <w:r w:rsidR="002339A7">
        <w:t xml:space="preserve">stages intensifs sur la </w:t>
      </w:r>
      <w:r w:rsidRPr="00E50618">
        <w:t xml:space="preserve">sécurité </w:t>
      </w:r>
      <w:r w:rsidR="00F23DE3">
        <w:t xml:space="preserve">organisés </w:t>
      </w:r>
      <w:r w:rsidRPr="00E50618">
        <w:t>le 5 décembre, on peut citer:</w:t>
      </w:r>
    </w:p>
    <w:p w14:paraId="508590AF" w14:textId="5F37F5DB" w:rsidR="003705A2" w:rsidRPr="00E50618" w:rsidRDefault="002339A7" w:rsidP="002339A7">
      <w:pPr>
        <w:pStyle w:val="enumlev1"/>
      </w:pPr>
      <w:r>
        <w:t>–</w:t>
      </w:r>
      <w:r>
        <w:tab/>
        <w:t>l</w:t>
      </w:r>
      <w:r w:rsidR="003705A2" w:rsidRPr="00E50618">
        <w:t>a mise en place d</w:t>
      </w:r>
      <w:r w:rsidR="00FC08B1">
        <w:t>'</w:t>
      </w:r>
      <w:r w:rsidR="003705A2" w:rsidRPr="00E50618">
        <w:t xml:space="preserve">une identité décentralisée pour les services </w:t>
      </w:r>
      <w:r>
        <w:t>DFS;</w:t>
      </w:r>
    </w:p>
    <w:p w14:paraId="2F0C7506" w14:textId="73433119" w:rsidR="003705A2" w:rsidRPr="00E50618" w:rsidRDefault="002339A7" w:rsidP="002339A7">
      <w:pPr>
        <w:pStyle w:val="enumlev1"/>
      </w:pPr>
      <w:r>
        <w:t>–</w:t>
      </w:r>
      <w:r>
        <w:tab/>
        <w:t>l</w:t>
      </w:r>
      <w:r w:rsidR="00F23DE3">
        <w:t>a détection</w:t>
      </w:r>
      <w:r w:rsidR="003705A2" w:rsidRPr="00E50618">
        <w:t xml:space="preserve"> des systèmes de Ponzi numériques;</w:t>
      </w:r>
    </w:p>
    <w:p w14:paraId="0BF22CCB" w14:textId="0DB76E39" w:rsidR="003705A2" w:rsidRPr="00E50618" w:rsidRDefault="002339A7" w:rsidP="002339A7">
      <w:pPr>
        <w:pStyle w:val="enumlev1"/>
      </w:pPr>
      <w:r>
        <w:t>–</w:t>
      </w:r>
      <w:r>
        <w:tab/>
        <w:t>l</w:t>
      </w:r>
      <w:r w:rsidR="00FC08B1">
        <w:t>'</w:t>
      </w:r>
      <w:r w:rsidR="003705A2" w:rsidRPr="00E50618">
        <w:t>application de l</w:t>
      </w:r>
      <w:r w:rsidR="00FC08B1">
        <w:t>'</w:t>
      </w:r>
      <w:r w:rsidR="003705A2" w:rsidRPr="00E50618">
        <w:t xml:space="preserve">authentification FIDO (Fast Identity Online) dans le cadre des services </w:t>
      </w:r>
      <w:r>
        <w:t>DFS;</w:t>
      </w:r>
    </w:p>
    <w:p w14:paraId="05CBA1E0" w14:textId="26B0C464" w:rsidR="00966140" w:rsidRPr="003705A2" w:rsidRDefault="002339A7" w:rsidP="002339A7">
      <w:pPr>
        <w:pStyle w:val="enumlev1"/>
      </w:pPr>
      <w:r>
        <w:t>–</w:t>
      </w:r>
      <w:r>
        <w:tab/>
        <w:t>d</w:t>
      </w:r>
      <w:r w:rsidR="003705A2" w:rsidRPr="00E50618">
        <w:t>es lignes directrices relatives à l</w:t>
      </w:r>
      <w:r w:rsidR="00FC08B1">
        <w:t>'</w:t>
      </w:r>
      <w:r w:rsidR="003705A2" w:rsidRPr="00E50618">
        <w:t>élaboration d</w:t>
      </w:r>
      <w:r w:rsidR="00FC08B1">
        <w:t>'</w:t>
      </w:r>
      <w:r w:rsidR="003705A2" w:rsidRPr="00E50618">
        <w:t xml:space="preserve">un cadre </w:t>
      </w:r>
      <w:r w:rsidR="00F23DE3">
        <w:t>relatif à la</w:t>
      </w:r>
      <w:r w:rsidR="003705A2" w:rsidRPr="00E50618">
        <w:t xml:space="preserve"> sécurité des applications à l</w:t>
      </w:r>
      <w:r w:rsidR="00FC08B1">
        <w:t>'</w:t>
      </w:r>
      <w:r w:rsidR="003705A2" w:rsidRPr="00E50618">
        <w:t xml:space="preserve">intention des fournisseurs de services </w:t>
      </w:r>
      <w:r>
        <w:t>DFS</w:t>
      </w:r>
      <w:r w:rsidR="00966140" w:rsidRPr="003705A2">
        <w:t>.</w:t>
      </w:r>
    </w:p>
    <w:p w14:paraId="0114A818" w14:textId="60965D28" w:rsidR="00036F4F" w:rsidRDefault="00B93AE8" w:rsidP="00FC08B1">
      <w:pPr>
        <w:rPr>
          <w:bCs/>
        </w:rPr>
      </w:pPr>
      <w:r w:rsidRPr="00B93AE8">
        <w:rPr>
          <w:bCs/>
        </w:rPr>
        <w:t>6</w:t>
      </w:r>
      <w:r w:rsidRPr="00B93AE8">
        <w:rPr>
          <w:bCs/>
        </w:rPr>
        <w:tab/>
        <w:t xml:space="preserve">Des informations relatives à </w:t>
      </w:r>
      <w:r w:rsidR="00F23DE3">
        <w:rPr>
          <w:bCs/>
        </w:rPr>
        <w:t>la manifestation</w:t>
      </w:r>
      <w:r w:rsidRPr="00B93AE8">
        <w:rPr>
          <w:bCs/>
        </w:rPr>
        <w:t>, et notamment le projet de programme, sont</w:t>
      </w:r>
      <w:r>
        <w:rPr>
          <w:bCs/>
        </w:rPr>
        <w:t xml:space="preserve"> </w:t>
      </w:r>
      <w:r w:rsidRPr="00B93AE8">
        <w:rPr>
          <w:bCs/>
        </w:rPr>
        <w:t>disponibles sur le site web de la manifestation à l</w:t>
      </w:r>
      <w:r w:rsidR="00FC08B1">
        <w:rPr>
          <w:bCs/>
        </w:rPr>
        <w:t>'</w:t>
      </w:r>
      <w:r w:rsidRPr="00B93AE8">
        <w:rPr>
          <w:bCs/>
        </w:rPr>
        <w:t xml:space="preserve">adresse suivante: </w:t>
      </w:r>
      <w:hyperlink r:id="rId11" w:history="1">
        <w:r>
          <w:rPr>
            <w:rStyle w:val="Hyperlink"/>
            <w:bCs/>
          </w:rPr>
          <w:t>https://www.itu.int/en/ITU-T/Workshops-and-Seminars/201912/Pages/default.aspx</w:t>
        </w:r>
      </w:hyperlink>
      <w:r w:rsidRPr="00B93AE8">
        <w:rPr>
          <w:bCs/>
        </w:rPr>
        <w:t xml:space="preserve">. Ce site web sera actualisé </w:t>
      </w:r>
      <w:r w:rsidR="002339A7">
        <w:rPr>
          <w:bCs/>
        </w:rPr>
        <w:t xml:space="preserve">périodiquement, </w:t>
      </w:r>
      <w:r w:rsidRPr="00B93AE8">
        <w:rPr>
          <w:bCs/>
        </w:rPr>
        <w:t xml:space="preserve">à mesure que </w:t>
      </w:r>
      <w:r w:rsidR="003705A2">
        <w:rPr>
          <w:bCs/>
        </w:rPr>
        <w:t>seront mises à disposition</w:t>
      </w:r>
      <w:r w:rsidRPr="00B93AE8">
        <w:rPr>
          <w:bCs/>
        </w:rPr>
        <w:t xml:space="preserve"> des informations nouvelles ou modifiées. Les participants sont priés de consulter régulièrement le site pour prendre connaissance des dernières informations.</w:t>
      </w:r>
    </w:p>
    <w:p w14:paraId="6EBD5460" w14:textId="79D83561" w:rsidR="00B93AE8" w:rsidRDefault="00B93AE8" w:rsidP="00FC08B1">
      <w:pPr>
        <w:rPr>
          <w:bCs/>
        </w:rPr>
      </w:pPr>
      <w:r>
        <w:rPr>
          <w:bCs/>
        </w:rPr>
        <w:t>7</w:t>
      </w:r>
      <w:r>
        <w:rPr>
          <w:bCs/>
        </w:rPr>
        <w:tab/>
      </w:r>
      <w:r w:rsidRPr="00B93AE8">
        <w:rPr>
          <w:bCs/>
        </w:rPr>
        <w:t>Des équipements de réseau local sans fil sont à la disposition des délégués dans les principaux espaces de conférence de l</w:t>
      </w:r>
      <w:r w:rsidR="00FC08B1">
        <w:rPr>
          <w:bCs/>
        </w:rPr>
        <w:t>'</w:t>
      </w:r>
      <w:r w:rsidRPr="00B93AE8">
        <w:rPr>
          <w:bCs/>
        </w:rPr>
        <w:t>UIT. Des informations détaillées sont disponibles sur le site web de l</w:t>
      </w:r>
      <w:r w:rsidR="00FC08B1">
        <w:rPr>
          <w:bCs/>
        </w:rPr>
        <w:t>'</w:t>
      </w:r>
      <w:r w:rsidRPr="00B93AE8">
        <w:rPr>
          <w:bCs/>
        </w:rPr>
        <w:t>UIT-T (</w:t>
      </w:r>
      <w:hyperlink r:id="rId12" w:history="1">
        <w:r w:rsidRPr="00B93AE8">
          <w:rPr>
            <w:rStyle w:val="Hyperlink"/>
            <w:bCs/>
          </w:rPr>
          <w:t>http://www.itu.int/ITU-T/edh/faqs-support.html</w:t>
        </w:r>
      </w:hyperlink>
      <w:r w:rsidRPr="00B93AE8">
        <w:rPr>
          <w:bCs/>
        </w:rPr>
        <w:t>).</w:t>
      </w:r>
    </w:p>
    <w:p w14:paraId="0699D115" w14:textId="3B3B3523" w:rsidR="00B93AE8" w:rsidRPr="003705A2" w:rsidRDefault="00B93AE8" w:rsidP="00FC08B1">
      <w:pPr>
        <w:tabs>
          <w:tab w:val="left" w:pos="567"/>
        </w:tabs>
        <w:rPr>
          <w:bCs/>
          <w:szCs w:val="24"/>
        </w:rPr>
      </w:pPr>
      <w:r w:rsidRPr="003705A2">
        <w:rPr>
          <w:szCs w:val="24"/>
        </w:rPr>
        <w:t>8</w:t>
      </w:r>
      <w:r w:rsidRPr="003705A2">
        <w:rPr>
          <w:b/>
          <w:szCs w:val="24"/>
        </w:rPr>
        <w:tab/>
      </w:r>
      <w:r w:rsidR="003705A2" w:rsidRPr="00E50618">
        <w:rPr>
          <w:b/>
          <w:szCs w:val="24"/>
        </w:rPr>
        <w:t>Les participants qui souhaitent obtenir une aide financière ou recevoir une lettre d</w:t>
      </w:r>
      <w:r w:rsidR="00FC08B1">
        <w:rPr>
          <w:b/>
          <w:szCs w:val="24"/>
        </w:rPr>
        <w:t>'</w:t>
      </w:r>
      <w:r w:rsidR="003705A2" w:rsidRPr="00E50618">
        <w:rPr>
          <w:b/>
          <w:szCs w:val="24"/>
        </w:rPr>
        <w:t>invitation personnalisée pour assister à la manifestation doivent compléter le formulaire figurant dans l</w:t>
      </w:r>
      <w:r w:rsidR="00FC08B1">
        <w:rPr>
          <w:b/>
          <w:szCs w:val="24"/>
        </w:rPr>
        <w:t>'</w:t>
      </w:r>
      <w:r w:rsidR="003705A2" w:rsidRPr="00E50618">
        <w:rPr>
          <w:b/>
          <w:szCs w:val="24"/>
        </w:rPr>
        <w:t>Annexe 1. Veuillez vous reporter à l</w:t>
      </w:r>
      <w:r w:rsidR="00FC08B1">
        <w:rPr>
          <w:b/>
          <w:szCs w:val="24"/>
        </w:rPr>
        <w:t>'</w:t>
      </w:r>
      <w:r w:rsidR="003705A2" w:rsidRPr="00E50618">
        <w:rPr>
          <w:b/>
          <w:szCs w:val="24"/>
        </w:rPr>
        <w:t>Annexe 2 pour de plus amples précisions sur les critères d</w:t>
      </w:r>
      <w:r w:rsidR="00FC08B1">
        <w:rPr>
          <w:b/>
          <w:szCs w:val="24"/>
        </w:rPr>
        <w:t>'</w:t>
      </w:r>
      <w:r w:rsidR="003705A2" w:rsidRPr="00E50618">
        <w:rPr>
          <w:b/>
          <w:szCs w:val="24"/>
        </w:rPr>
        <w:t>admissibilité.</w:t>
      </w:r>
      <w:r w:rsidR="003705A2" w:rsidRPr="00E50618">
        <w:rPr>
          <w:szCs w:val="24"/>
        </w:rPr>
        <w:t xml:space="preserve"> Les participants qui ont besoin d</w:t>
      </w:r>
      <w:r w:rsidR="00FC08B1">
        <w:rPr>
          <w:szCs w:val="24"/>
        </w:rPr>
        <w:t>'</w:t>
      </w:r>
      <w:r w:rsidR="003705A2" w:rsidRPr="00E50618">
        <w:rPr>
          <w:szCs w:val="24"/>
        </w:rPr>
        <w:t xml:space="preserve">une assistance sont invités à contacter le secrétariat des manifestations du TSB par courrier électronique </w:t>
      </w:r>
      <w:r w:rsidRPr="003705A2">
        <w:rPr>
          <w:szCs w:val="24"/>
        </w:rPr>
        <w:t>(</w:t>
      </w:r>
      <w:hyperlink r:id="rId13" w:history="1">
        <w:r w:rsidRPr="003705A2">
          <w:rPr>
            <w:rStyle w:val="Hyperlink"/>
            <w:szCs w:val="24"/>
          </w:rPr>
          <w:t>tsbevents@itu.int</w:t>
        </w:r>
      </w:hyperlink>
      <w:r w:rsidRPr="003705A2">
        <w:rPr>
          <w:szCs w:val="24"/>
        </w:rPr>
        <w:t>).</w:t>
      </w:r>
    </w:p>
    <w:p w14:paraId="15C9D462" w14:textId="243B778C" w:rsidR="00B93AE8" w:rsidRDefault="00B93AE8" w:rsidP="00FC08B1">
      <w:pPr>
        <w:rPr>
          <w:b/>
          <w:bCs/>
          <w:lang w:val="fr-CH"/>
        </w:rPr>
      </w:pPr>
      <w:r w:rsidRPr="00B93AE8">
        <w:rPr>
          <w:bCs/>
        </w:rPr>
        <w:t>9</w:t>
      </w:r>
      <w:r w:rsidRPr="00B93AE8">
        <w:rPr>
          <w:bCs/>
        </w:rPr>
        <w:tab/>
      </w:r>
      <w:r w:rsidR="00F23DE3">
        <w:rPr>
          <w:bCs/>
          <w:lang w:val="fr-CH"/>
        </w:rPr>
        <w:t>Vous</w:t>
      </w:r>
      <w:r w:rsidRPr="00B93AE8">
        <w:rPr>
          <w:bCs/>
          <w:lang w:val="fr-CH"/>
        </w:rPr>
        <w:t xml:space="preserve"> êtes invités à remplir le formulaire </w:t>
      </w:r>
      <w:r w:rsidR="00F23DE3">
        <w:rPr>
          <w:bCs/>
          <w:lang w:val="fr-CH"/>
        </w:rPr>
        <w:t>d</w:t>
      </w:r>
      <w:r w:rsidR="00FC08B1">
        <w:rPr>
          <w:bCs/>
          <w:lang w:val="fr-CH"/>
        </w:rPr>
        <w:t>'</w:t>
      </w:r>
      <w:r w:rsidR="00F23DE3">
        <w:rPr>
          <w:bCs/>
          <w:lang w:val="fr-CH"/>
        </w:rPr>
        <w:t xml:space="preserve">inscription </w:t>
      </w:r>
      <w:r w:rsidRPr="00B93AE8">
        <w:rPr>
          <w:bCs/>
          <w:lang w:val="fr-CH"/>
        </w:rPr>
        <w:t>en ligne disponible à l</w:t>
      </w:r>
      <w:r w:rsidR="00FC08B1">
        <w:rPr>
          <w:bCs/>
          <w:lang w:val="fr-CH"/>
        </w:rPr>
        <w:t>'</w:t>
      </w:r>
      <w:r w:rsidRPr="00B93AE8">
        <w:rPr>
          <w:bCs/>
          <w:lang w:val="fr-CH"/>
        </w:rPr>
        <w:t xml:space="preserve">adresse </w:t>
      </w:r>
      <w:hyperlink r:id="rId14" w:history="1">
        <w:r>
          <w:rPr>
            <w:rStyle w:val="Hyperlink"/>
            <w:bCs/>
            <w:lang w:val="fr-CH"/>
          </w:rPr>
          <w:t>https://www.itu.int/net4/CRM/xreg/web/Registration.aspx?Event=C-00006506</w:t>
        </w:r>
      </w:hyperlink>
      <w:r w:rsidRPr="00B93AE8">
        <w:rPr>
          <w:bCs/>
          <w:lang w:val="fr-CH"/>
        </w:rPr>
        <w:t>, au plus tard le </w:t>
      </w:r>
      <w:r>
        <w:rPr>
          <w:b/>
          <w:bCs/>
          <w:lang w:val="fr-CH"/>
        </w:rPr>
        <w:t>25</w:t>
      </w:r>
      <w:r w:rsidRPr="00B93AE8">
        <w:rPr>
          <w:b/>
          <w:bCs/>
          <w:lang w:val="fr-CH"/>
        </w:rPr>
        <w:t> </w:t>
      </w:r>
      <w:r>
        <w:rPr>
          <w:b/>
          <w:bCs/>
          <w:lang w:val="fr-CH"/>
        </w:rPr>
        <w:t xml:space="preserve">novembre </w:t>
      </w:r>
      <w:r w:rsidRPr="00B93AE8">
        <w:rPr>
          <w:b/>
          <w:bCs/>
          <w:lang w:val="fr-CH"/>
        </w:rPr>
        <w:t>2019.</w:t>
      </w:r>
      <w:r w:rsidRPr="00B93AE8">
        <w:rPr>
          <w:bCs/>
          <w:lang w:val="fr-CH"/>
        </w:rPr>
        <w:t xml:space="preserve"> </w:t>
      </w:r>
      <w:r w:rsidRPr="00B93AE8">
        <w:rPr>
          <w:b/>
          <w:bCs/>
          <w:lang w:val="fr-CH"/>
        </w:rPr>
        <w:t>Veuillez noter que l</w:t>
      </w:r>
      <w:r w:rsidR="00FC08B1">
        <w:rPr>
          <w:b/>
          <w:bCs/>
          <w:lang w:val="fr-CH"/>
        </w:rPr>
        <w:t>'</w:t>
      </w:r>
      <w:r w:rsidRPr="00B93AE8">
        <w:rPr>
          <w:b/>
          <w:bCs/>
          <w:lang w:val="fr-CH"/>
        </w:rPr>
        <w:t xml:space="preserve">inscription </w:t>
      </w:r>
      <w:r w:rsidR="003705A2">
        <w:rPr>
          <w:b/>
          <w:bCs/>
          <w:lang w:val="fr-CH"/>
        </w:rPr>
        <w:t>des participants</w:t>
      </w:r>
      <w:r w:rsidRPr="00B93AE8">
        <w:rPr>
          <w:b/>
          <w:bCs/>
          <w:lang w:val="fr-CH"/>
        </w:rPr>
        <w:t xml:space="preserve"> se fait exclusivement </w:t>
      </w:r>
      <w:r w:rsidRPr="00B93AE8">
        <w:rPr>
          <w:b/>
          <w:bCs/>
          <w:i/>
          <w:iCs/>
          <w:lang w:val="fr-CH"/>
        </w:rPr>
        <w:t>en ligne</w:t>
      </w:r>
      <w:r w:rsidRPr="00B93AE8">
        <w:rPr>
          <w:b/>
          <w:bCs/>
          <w:lang w:val="fr-CH"/>
        </w:rPr>
        <w:t>.</w:t>
      </w:r>
    </w:p>
    <w:p w14:paraId="6DD15837" w14:textId="0BB61F1A" w:rsidR="005771DF" w:rsidRDefault="005771DF" w:rsidP="00FC08B1">
      <w:r>
        <w:rPr>
          <w:lang w:val="fr-CH"/>
        </w:rPr>
        <w:lastRenderedPageBreak/>
        <w:t>10</w:t>
      </w:r>
      <w:r>
        <w:rPr>
          <w:lang w:val="fr-CH"/>
        </w:rPr>
        <w:tab/>
      </w:r>
      <w:r w:rsidRPr="005771DF">
        <w:t>Un certain nombre d</w:t>
      </w:r>
      <w:r w:rsidR="00FC08B1">
        <w:t>'</w:t>
      </w:r>
      <w:r w:rsidRPr="005771DF">
        <w:t>hôtels à Genève offrent des tarifs préférentiels aux délégués assistant aux réunions de l</w:t>
      </w:r>
      <w:r w:rsidR="00FC08B1">
        <w:t>'</w:t>
      </w:r>
      <w:r w:rsidRPr="005771DF">
        <w:t>UIT et leur fournissent une carte permettant d</w:t>
      </w:r>
      <w:r w:rsidR="00FC08B1">
        <w:t>'</w:t>
      </w:r>
      <w:r w:rsidRPr="005771DF">
        <w:t>emprunter gratuitement les transports publics à Genève. Vous trouverez la liste des hôtels participants, et les modalités à suivre pour obtenir un tarif réduit, à l</w:t>
      </w:r>
      <w:r w:rsidR="00FC08B1">
        <w:t>'</w:t>
      </w:r>
      <w:r w:rsidRPr="005771DF">
        <w:t xml:space="preserve">adresse: </w:t>
      </w:r>
      <w:hyperlink r:id="rId15" w:history="1">
        <w:r w:rsidRPr="005771DF">
          <w:rPr>
            <w:rStyle w:val="Hyperlink"/>
          </w:rPr>
          <w:t>http://itu.int/travel/</w:t>
        </w:r>
      </w:hyperlink>
      <w:r w:rsidRPr="005771DF">
        <w:t>.</w:t>
      </w:r>
    </w:p>
    <w:p w14:paraId="64CEACD5" w14:textId="09BAC6AB" w:rsidR="005771DF" w:rsidRDefault="005771DF" w:rsidP="00FC08B1">
      <w:r>
        <w:t>11</w:t>
      </w:r>
      <w:r>
        <w:tab/>
      </w:r>
      <w:r w:rsidR="00F23DE3">
        <w:t>P</w:t>
      </w:r>
      <w:r w:rsidRPr="005771DF">
        <w:t>our les ressortissants de certains pays, l</w:t>
      </w:r>
      <w:r w:rsidR="00FC08B1">
        <w:t>'</w:t>
      </w:r>
      <w:r w:rsidRPr="005771DF">
        <w:t>entrée et le séjour, quelle qu</w:t>
      </w:r>
      <w:r w:rsidR="00FC08B1">
        <w:t>'</w:t>
      </w:r>
      <w:r w:rsidRPr="005771DF">
        <w:t>en soit la durée, sur le territoire de la Suisse sont soumis à l</w:t>
      </w:r>
      <w:r w:rsidR="00FC08B1">
        <w:t>'</w:t>
      </w:r>
      <w:r w:rsidRPr="005771DF">
        <w:t>obtention d</w:t>
      </w:r>
      <w:r w:rsidR="00FC08B1">
        <w:t>'</w:t>
      </w:r>
      <w:r w:rsidRPr="005771DF">
        <w:t xml:space="preserve">un visa. </w:t>
      </w:r>
      <w:r w:rsidRPr="005771DF">
        <w:rPr>
          <w:b/>
          <w:bCs/>
        </w:rPr>
        <w:t xml:space="preserve">Ce visa doit être demandé au moins quatre (4) semaines avant la date de début de </w:t>
      </w:r>
      <w:r w:rsidR="00F23DE3">
        <w:rPr>
          <w:b/>
          <w:bCs/>
        </w:rPr>
        <w:t>la manifestation</w:t>
      </w:r>
      <w:r w:rsidRPr="005771DF">
        <w:t xml:space="preserve"> et obtenu auprès de la représentation de la Suisse (ambassade ou consulat) dans votre pays ou, à défaut, dans le pays le plus proche de votre pays de départ.</w:t>
      </w:r>
    </w:p>
    <w:p w14:paraId="0FA1F32E" w14:textId="6C57B6EB" w:rsidR="005771DF" w:rsidRDefault="003705A2" w:rsidP="00FC08B1">
      <w:r>
        <w:t xml:space="preserve">En </w:t>
      </w:r>
      <w:r w:rsidRPr="00E50618">
        <w:t>cas de problème rencontré par</w:t>
      </w:r>
      <w:r w:rsidR="002339A7">
        <w:t xml:space="preserve"> des</w:t>
      </w:r>
      <w:r w:rsidRPr="00E50618">
        <w:t xml:space="preserve"> </w:t>
      </w:r>
      <w:r w:rsidR="00F23DE3">
        <w:rPr>
          <w:b/>
          <w:bCs/>
        </w:rPr>
        <w:t>M</w:t>
      </w:r>
      <w:r w:rsidRPr="00F23DE3">
        <w:rPr>
          <w:b/>
          <w:bCs/>
        </w:rPr>
        <w:t>embres de l</w:t>
      </w:r>
      <w:r w:rsidR="00FC08B1">
        <w:rPr>
          <w:b/>
          <w:bCs/>
        </w:rPr>
        <w:t>'</w:t>
      </w:r>
      <w:r w:rsidRPr="00F23DE3">
        <w:rPr>
          <w:b/>
          <w:bCs/>
        </w:rPr>
        <w:t>UIT</w:t>
      </w:r>
      <w:r w:rsidRPr="00E50618">
        <w:t xml:space="preserve">, </w:t>
      </w:r>
      <w:r w:rsidR="002339A7">
        <w:t xml:space="preserve">par exemple </w:t>
      </w:r>
      <w:r w:rsidRPr="00E50618">
        <w:t xml:space="preserve">des </w:t>
      </w:r>
      <w:hyperlink r:id="rId16" w:history="1">
        <w:r w:rsidR="005771DF" w:rsidRPr="005771DF">
          <w:rPr>
            <w:rStyle w:val="Hyperlink"/>
            <w:b/>
            <w:bCs/>
          </w:rPr>
          <w:t>États Membres</w:t>
        </w:r>
      </w:hyperlink>
      <w:r w:rsidR="005771DF" w:rsidRPr="005771DF">
        <w:rPr>
          <w:b/>
          <w:bCs/>
        </w:rPr>
        <w:t xml:space="preserve">, des </w:t>
      </w:r>
      <w:hyperlink r:id="rId17" w:history="1">
        <w:r w:rsidR="005771DF" w:rsidRPr="005771DF">
          <w:rPr>
            <w:rStyle w:val="Hyperlink"/>
            <w:b/>
            <w:bCs/>
          </w:rPr>
          <w:t>Membres de Secteur</w:t>
        </w:r>
      </w:hyperlink>
      <w:r w:rsidR="005771DF" w:rsidRPr="005771DF">
        <w:rPr>
          <w:b/>
          <w:bCs/>
        </w:rPr>
        <w:t xml:space="preserve"> et des </w:t>
      </w:r>
      <w:hyperlink r:id="rId18" w:history="1">
        <w:r w:rsidR="005771DF" w:rsidRPr="005771DF">
          <w:rPr>
            <w:rStyle w:val="Hyperlink"/>
            <w:b/>
            <w:bCs/>
          </w:rPr>
          <w:t>Associés</w:t>
        </w:r>
      </w:hyperlink>
      <w:r w:rsidR="005771DF" w:rsidRPr="005771DF">
        <w:rPr>
          <w:b/>
          <w:bCs/>
        </w:rPr>
        <w:t xml:space="preserve"> de l</w:t>
      </w:r>
      <w:r w:rsidR="00FC08B1">
        <w:rPr>
          <w:b/>
          <w:bCs/>
        </w:rPr>
        <w:t>'</w:t>
      </w:r>
      <w:r w:rsidR="005771DF" w:rsidRPr="005771DF">
        <w:rPr>
          <w:b/>
          <w:bCs/>
        </w:rPr>
        <w:t>UIT</w:t>
      </w:r>
      <w:r w:rsidR="005771DF" w:rsidRPr="005771DF">
        <w:t xml:space="preserve"> </w:t>
      </w:r>
      <w:r w:rsidR="005771DF" w:rsidRPr="005771DF">
        <w:rPr>
          <w:b/>
          <w:bCs/>
        </w:rPr>
        <w:t xml:space="preserve">ou des </w:t>
      </w:r>
      <w:hyperlink r:id="rId19" w:history="1">
        <w:r w:rsidR="005771DF" w:rsidRPr="005771DF">
          <w:rPr>
            <w:rStyle w:val="Hyperlink"/>
            <w:b/>
            <w:bCs/>
          </w:rPr>
          <w:t>établissements universitaires</w:t>
        </w:r>
      </w:hyperlink>
      <w:r w:rsidR="005771DF" w:rsidRPr="005771DF">
        <w:rPr>
          <w:b/>
          <w:bCs/>
        </w:rPr>
        <w:t xml:space="preserve"> participant aux travaux de l</w:t>
      </w:r>
      <w:r w:rsidR="00FC08B1">
        <w:rPr>
          <w:b/>
          <w:bCs/>
        </w:rPr>
        <w:t>'</w:t>
      </w:r>
      <w:r w:rsidR="005771DF" w:rsidRPr="005771DF">
        <w:rPr>
          <w:b/>
          <w:bCs/>
        </w:rPr>
        <w:t>UIT</w:t>
      </w:r>
      <w:r w:rsidR="005771DF" w:rsidRPr="005771DF">
        <w:t>, et sur demande officielle de leur part au TSB, l</w:t>
      </w:r>
      <w:r w:rsidR="00FC08B1">
        <w:t>'</w:t>
      </w:r>
      <w:r w:rsidR="005771DF" w:rsidRPr="005771DF">
        <w:t>Union peut intervenir auprès des autorités suisses compétentes pour faciliter l</w:t>
      </w:r>
      <w:r w:rsidR="00FC08B1">
        <w:t>'</w:t>
      </w:r>
      <w:r w:rsidR="005771DF" w:rsidRPr="005771DF">
        <w:t xml:space="preserve">émission du visa, mais uniquement pendant la période de </w:t>
      </w:r>
      <w:r w:rsidR="005771DF" w:rsidRPr="005771DF">
        <w:rPr>
          <w:b/>
          <w:bCs/>
        </w:rPr>
        <w:t>quatre</w:t>
      </w:r>
      <w:r w:rsidR="005771DF" w:rsidRPr="005771DF">
        <w:t xml:space="preserve"> semaines susmentionnée. </w:t>
      </w:r>
      <w:r w:rsidRPr="00E50618">
        <w:t>Les demandes doivent être effectuées en cochant la case correspondante du formulaire d</w:t>
      </w:r>
      <w:r w:rsidR="00FC08B1">
        <w:t>'</w:t>
      </w:r>
      <w:r w:rsidRPr="00E50618">
        <w:t>inscription en ligne, au plus tard quatre semaines avant la date de la manifestation.</w:t>
      </w:r>
      <w:r w:rsidRPr="00E50618">
        <w:rPr>
          <w:szCs w:val="22"/>
        </w:rPr>
        <w:t xml:space="preserve"> </w:t>
      </w:r>
      <w:r w:rsidRPr="00E50618">
        <w:t>Elles doivent être envoyées à la Section des voyages de l</w:t>
      </w:r>
      <w:r w:rsidR="00FC08B1">
        <w:t>'</w:t>
      </w:r>
      <w:r w:rsidRPr="00E50618">
        <w:t>UIT (travel@itu.int), avec la mention "assistance pour le visa".</w:t>
      </w:r>
    </w:p>
    <w:p w14:paraId="4EED7687" w14:textId="02C9802C" w:rsidR="005771DF" w:rsidRPr="005771DF" w:rsidRDefault="005771DF" w:rsidP="00FC08B1">
      <w:pPr>
        <w:rPr>
          <w:b/>
          <w:lang w:val="fr-CH"/>
        </w:rPr>
      </w:pPr>
      <w:r w:rsidRPr="005771DF">
        <w:rPr>
          <w:b/>
          <w:lang w:val="fr-CH"/>
        </w:rPr>
        <w:t>Principales échéances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56"/>
      </w:tblGrid>
      <w:tr w:rsidR="005771DF" w:rsidRPr="005771DF" w14:paraId="21C2AAA2" w14:textId="77777777" w:rsidTr="00932110">
        <w:tc>
          <w:tcPr>
            <w:tcW w:w="2263" w:type="dxa"/>
            <w:vAlign w:val="center"/>
          </w:tcPr>
          <w:p w14:paraId="06E8ED31" w14:textId="5428FF73" w:rsidR="005771DF" w:rsidRPr="005771DF" w:rsidRDefault="00932110" w:rsidP="00FC08B1">
            <w:pPr>
              <w:rPr>
                <w:lang w:val="fr-CH"/>
              </w:rPr>
            </w:pPr>
            <w:r>
              <w:rPr>
                <w:lang w:val="fr-CH"/>
              </w:rPr>
              <w:t>15 octobre 2019</w:t>
            </w:r>
          </w:p>
        </w:tc>
        <w:tc>
          <w:tcPr>
            <w:tcW w:w="7456" w:type="dxa"/>
          </w:tcPr>
          <w:p w14:paraId="30E0239A" w14:textId="1050B419" w:rsidR="005771DF" w:rsidRPr="005771DF" w:rsidRDefault="005771DF" w:rsidP="00FC08B1">
            <w:pPr>
              <w:tabs>
                <w:tab w:val="clear" w:pos="794"/>
                <w:tab w:val="left" w:pos="320"/>
              </w:tabs>
              <w:rPr>
                <w:lang w:val="fr-CH"/>
              </w:rPr>
            </w:pPr>
            <w:r w:rsidRPr="005771DF">
              <w:rPr>
                <w:lang w:val="fr-CH"/>
              </w:rPr>
              <w:t>–</w:t>
            </w:r>
            <w:r w:rsidRPr="005771DF">
              <w:rPr>
                <w:lang w:val="fr-CH"/>
              </w:rPr>
              <w:tab/>
            </w:r>
            <w:r w:rsidR="00932110" w:rsidRPr="00932110">
              <w:rPr>
                <w:lang w:val="fr-CH"/>
              </w:rPr>
              <w:t>Soumission des demandes d</w:t>
            </w:r>
            <w:r w:rsidR="00FC08B1">
              <w:rPr>
                <w:lang w:val="fr-CH"/>
              </w:rPr>
              <w:t>'</w:t>
            </w:r>
            <w:r w:rsidR="00932110" w:rsidRPr="00932110">
              <w:rPr>
                <w:lang w:val="fr-CH"/>
              </w:rPr>
              <w:t>aide financière</w:t>
            </w:r>
            <w:r w:rsidR="00932110">
              <w:rPr>
                <w:lang w:val="fr-CH"/>
              </w:rPr>
              <w:t xml:space="preserve"> (</w:t>
            </w:r>
            <w:r w:rsidR="003705A2">
              <w:rPr>
                <w:lang w:val="fr-CH"/>
              </w:rPr>
              <w:t>voir le</w:t>
            </w:r>
            <w:r w:rsidR="00932110">
              <w:rPr>
                <w:lang w:val="fr-CH"/>
              </w:rPr>
              <w:t xml:space="preserve"> §</w:t>
            </w:r>
            <w:r w:rsidR="00C9352B">
              <w:rPr>
                <w:lang w:val="fr-CH"/>
              </w:rPr>
              <w:t> </w:t>
            </w:r>
            <w:r w:rsidR="00932110">
              <w:rPr>
                <w:lang w:val="fr-CH"/>
              </w:rPr>
              <w:t xml:space="preserve">8 </w:t>
            </w:r>
            <w:r w:rsidR="003705A2">
              <w:rPr>
                <w:lang w:val="fr-CH"/>
              </w:rPr>
              <w:t>ci-dessus</w:t>
            </w:r>
            <w:r w:rsidR="00932110">
              <w:rPr>
                <w:lang w:val="fr-CH"/>
              </w:rPr>
              <w:t>)</w:t>
            </w:r>
          </w:p>
        </w:tc>
      </w:tr>
      <w:tr w:rsidR="005771DF" w:rsidRPr="005771DF" w14:paraId="4EA2EB57" w14:textId="77777777" w:rsidTr="00932110">
        <w:tc>
          <w:tcPr>
            <w:tcW w:w="2263" w:type="dxa"/>
            <w:vAlign w:val="center"/>
          </w:tcPr>
          <w:p w14:paraId="4418BA9B" w14:textId="05EE13B6" w:rsidR="005771DF" w:rsidRPr="005771DF" w:rsidRDefault="00932110" w:rsidP="00FC08B1">
            <w:pPr>
              <w:rPr>
                <w:lang w:val="fr-CH"/>
              </w:rPr>
            </w:pPr>
            <w:r>
              <w:rPr>
                <w:lang w:val="fr-CH"/>
              </w:rPr>
              <w:t>15 octobre 2019</w:t>
            </w:r>
          </w:p>
        </w:tc>
        <w:tc>
          <w:tcPr>
            <w:tcW w:w="7456" w:type="dxa"/>
          </w:tcPr>
          <w:p w14:paraId="03BB972A" w14:textId="7AD7E8C7" w:rsidR="005771DF" w:rsidRPr="005771DF" w:rsidRDefault="005771DF" w:rsidP="00FC08B1">
            <w:pPr>
              <w:tabs>
                <w:tab w:val="clear" w:pos="794"/>
                <w:tab w:val="left" w:pos="320"/>
              </w:tabs>
              <w:ind w:left="320" w:hanging="320"/>
              <w:rPr>
                <w:lang w:val="fr-CH"/>
              </w:rPr>
            </w:pPr>
            <w:r w:rsidRPr="005771DF">
              <w:rPr>
                <w:lang w:val="fr-CH"/>
              </w:rPr>
              <w:t>–</w:t>
            </w:r>
            <w:r w:rsidRPr="005771DF">
              <w:rPr>
                <w:lang w:val="fr-CH"/>
              </w:rPr>
              <w:tab/>
            </w:r>
            <w:r w:rsidR="00932110" w:rsidRPr="00932110">
              <w:rPr>
                <w:lang w:val="fr-CH"/>
              </w:rPr>
              <w:t>Soumission des demandes de lettre d</w:t>
            </w:r>
            <w:r w:rsidR="00FC08B1">
              <w:rPr>
                <w:lang w:val="fr-CH"/>
              </w:rPr>
              <w:t>'</w:t>
            </w:r>
            <w:r w:rsidR="00932110" w:rsidRPr="00932110">
              <w:rPr>
                <w:lang w:val="fr-CH"/>
              </w:rPr>
              <w:t>invitation personnalisée</w:t>
            </w:r>
            <w:r w:rsidR="00932110">
              <w:rPr>
                <w:lang w:val="fr-CH"/>
              </w:rPr>
              <w:t xml:space="preserve"> (</w:t>
            </w:r>
            <w:r w:rsidR="003705A2">
              <w:rPr>
                <w:lang w:val="fr-CH"/>
              </w:rPr>
              <w:t>voir</w:t>
            </w:r>
            <w:r w:rsidR="00C9352B">
              <w:rPr>
                <w:lang w:val="fr-CH"/>
              </w:rPr>
              <w:t> </w:t>
            </w:r>
            <w:r w:rsidR="003705A2">
              <w:rPr>
                <w:lang w:val="fr-CH"/>
              </w:rPr>
              <w:t>le</w:t>
            </w:r>
            <w:r w:rsidR="00C9352B">
              <w:rPr>
                <w:lang w:val="fr-CH"/>
              </w:rPr>
              <w:t> </w:t>
            </w:r>
            <w:r w:rsidR="00932110">
              <w:rPr>
                <w:lang w:val="fr-CH"/>
              </w:rPr>
              <w:t>§</w:t>
            </w:r>
            <w:r w:rsidR="00C9352B">
              <w:rPr>
                <w:lang w:val="fr-CH"/>
              </w:rPr>
              <w:t> </w:t>
            </w:r>
            <w:r w:rsidR="00932110">
              <w:rPr>
                <w:lang w:val="fr-CH"/>
              </w:rPr>
              <w:t xml:space="preserve">8 </w:t>
            </w:r>
            <w:r w:rsidR="003705A2">
              <w:rPr>
                <w:lang w:val="fr-CH"/>
              </w:rPr>
              <w:t>ci-dessus</w:t>
            </w:r>
            <w:r w:rsidR="00932110">
              <w:rPr>
                <w:lang w:val="fr-CH"/>
              </w:rPr>
              <w:t>)</w:t>
            </w:r>
          </w:p>
        </w:tc>
      </w:tr>
      <w:tr w:rsidR="005771DF" w:rsidRPr="005771DF" w14:paraId="6677FBEC" w14:textId="77777777" w:rsidTr="00932110">
        <w:tc>
          <w:tcPr>
            <w:tcW w:w="2263" w:type="dxa"/>
            <w:vAlign w:val="center"/>
          </w:tcPr>
          <w:p w14:paraId="5B2B5493" w14:textId="17480FA0" w:rsidR="005771DF" w:rsidRPr="005771DF" w:rsidRDefault="00932110" w:rsidP="00FC08B1">
            <w:pPr>
              <w:rPr>
                <w:lang w:val="fr-CH"/>
              </w:rPr>
            </w:pPr>
            <w:r>
              <w:rPr>
                <w:lang w:val="fr-CH"/>
              </w:rPr>
              <w:t>6 novembre 2019</w:t>
            </w:r>
          </w:p>
        </w:tc>
        <w:tc>
          <w:tcPr>
            <w:tcW w:w="7456" w:type="dxa"/>
          </w:tcPr>
          <w:p w14:paraId="285881CA" w14:textId="3D26B092" w:rsidR="005771DF" w:rsidRPr="005771DF" w:rsidRDefault="005771DF" w:rsidP="00FC08B1">
            <w:pPr>
              <w:tabs>
                <w:tab w:val="clear" w:pos="794"/>
                <w:tab w:val="left" w:pos="320"/>
              </w:tabs>
              <w:ind w:left="320" w:hanging="320"/>
              <w:rPr>
                <w:lang w:val="fr-CH"/>
              </w:rPr>
            </w:pPr>
            <w:r w:rsidRPr="005771DF">
              <w:rPr>
                <w:lang w:val="fr-CH"/>
              </w:rPr>
              <w:t>–</w:t>
            </w:r>
            <w:r w:rsidRPr="005771DF">
              <w:rPr>
                <w:lang w:val="fr-CH"/>
              </w:rPr>
              <w:tab/>
            </w:r>
            <w:r w:rsidR="00932110" w:rsidRPr="00932110">
              <w:rPr>
                <w:lang w:val="fr-CH"/>
              </w:rPr>
              <w:t>Soumission des demandes de lettres pour faciliter l</w:t>
            </w:r>
            <w:r w:rsidR="00FC08B1">
              <w:rPr>
                <w:lang w:val="fr-CH"/>
              </w:rPr>
              <w:t>'</w:t>
            </w:r>
            <w:r w:rsidR="00932110" w:rsidRPr="00932110">
              <w:rPr>
                <w:lang w:val="fr-CH"/>
              </w:rPr>
              <w:t>obtention du visa</w:t>
            </w:r>
            <w:r w:rsidR="00932110">
              <w:rPr>
                <w:lang w:val="fr-CH"/>
              </w:rPr>
              <w:t xml:space="preserve"> (</w:t>
            </w:r>
            <w:r w:rsidR="003705A2">
              <w:rPr>
                <w:lang w:val="fr-CH"/>
              </w:rPr>
              <w:t xml:space="preserve">voir le </w:t>
            </w:r>
            <w:r w:rsidR="00932110" w:rsidRPr="00932110">
              <w:rPr>
                <w:lang w:val="fr-CH"/>
              </w:rPr>
              <w:t>§</w:t>
            </w:r>
            <w:r w:rsidR="00C9352B">
              <w:rPr>
                <w:lang w:val="fr-CH"/>
              </w:rPr>
              <w:t> </w:t>
            </w:r>
            <w:r w:rsidR="00932110" w:rsidRPr="00932110">
              <w:rPr>
                <w:lang w:val="fr-CH"/>
              </w:rPr>
              <w:t xml:space="preserve">11 </w:t>
            </w:r>
            <w:r w:rsidR="003705A2">
              <w:rPr>
                <w:lang w:val="fr-CH"/>
              </w:rPr>
              <w:t>ci-dessus</w:t>
            </w:r>
            <w:r w:rsidR="00932110" w:rsidRPr="00932110">
              <w:rPr>
                <w:lang w:val="fr-CH"/>
              </w:rPr>
              <w:t xml:space="preserve">) </w:t>
            </w:r>
            <w:r w:rsidR="00932110" w:rsidRPr="00932110">
              <w:rPr>
                <w:b/>
                <w:bCs/>
                <w:lang w:val="fr-CH"/>
              </w:rPr>
              <w:t>[</w:t>
            </w:r>
            <w:r w:rsidR="003705A2">
              <w:rPr>
                <w:b/>
                <w:bCs/>
                <w:lang w:val="fr-CH"/>
              </w:rPr>
              <w:t>Membres de l</w:t>
            </w:r>
            <w:r w:rsidR="00FC08B1">
              <w:rPr>
                <w:b/>
                <w:bCs/>
                <w:lang w:val="fr-CH"/>
              </w:rPr>
              <w:t>'</w:t>
            </w:r>
            <w:r w:rsidR="003705A2">
              <w:rPr>
                <w:b/>
                <w:bCs/>
                <w:lang w:val="fr-CH"/>
              </w:rPr>
              <w:t>UIT uniquement</w:t>
            </w:r>
            <w:r w:rsidR="00932110" w:rsidRPr="00932110">
              <w:rPr>
                <w:b/>
                <w:bCs/>
                <w:lang w:val="fr-CH"/>
              </w:rPr>
              <w:t>]</w:t>
            </w:r>
          </w:p>
        </w:tc>
      </w:tr>
      <w:tr w:rsidR="005771DF" w:rsidRPr="005771DF" w14:paraId="155B6FE8" w14:textId="77777777" w:rsidTr="00932110">
        <w:tc>
          <w:tcPr>
            <w:tcW w:w="2263" w:type="dxa"/>
            <w:vAlign w:val="center"/>
          </w:tcPr>
          <w:p w14:paraId="240868E6" w14:textId="72929DEB" w:rsidR="005771DF" w:rsidRPr="005771DF" w:rsidRDefault="00932110" w:rsidP="00FC08B1">
            <w:pPr>
              <w:rPr>
                <w:lang w:val="fr-CH"/>
              </w:rPr>
            </w:pPr>
            <w:r>
              <w:rPr>
                <w:lang w:val="fr-CH"/>
              </w:rPr>
              <w:t>25 novembre 2019</w:t>
            </w:r>
          </w:p>
        </w:tc>
        <w:tc>
          <w:tcPr>
            <w:tcW w:w="7456" w:type="dxa"/>
          </w:tcPr>
          <w:p w14:paraId="71AD0310" w14:textId="14D3A9DE" w:rsidR="005771DF" w:rsidRPr="005771DF" w:rsidRDefault="005771DF" w:rsidP="00FC08B1">
            <w:pPr>
              <w:tabs>
                <w:tab w:val="clear" w:pos="794"/>
                <w:tab w:val="left" w:pos="320"/>
              </w:tabs>
              <w:rPr>
                <w:lang w:val="fr-CH"/>
              </w:rPr>
            </w:pPr>
            <w:r w:rsidRPr="005771DF">
              <w:rPr>
                <w:lang w:val="fr-CH"/>
              </w:rPr>
              <w:t>–</w:t>
            </w:r>
            <w:r w:rsidRPr="005771DF">
              <w:rPr>
                <w:lang w:val="fr-CH"/>
              </w:rPr>
              <w:tab/>
            </w:r>
            <w:r w:rsidR="003705A2">
              <w:rPr>
                <w:lang w:val="fr-CH"/>
              </w:rPr>
              <w:t>Inscription</w:t>
            </w:r>
          </w:p>
        </w:tc>
      </w:tr>
    </w:tbl>
    <w:p w14:paraId="108163C8" w14:textId="4A416FB7" w:rsidR="00BD6ECF" w:rsidRPr="00697BC1" w:rsidRDefault="00517A03" w:rsidP="00FC08B1">
      <w:pPr>
        <w:pStyle w:val="Normalaftertitle"/>
      </w:pPr>
      <w:r w:rsidRPr="00697BC1">
        <w:t>Veuillez agréer, Madame, Monsieur, l</w:t>
      </w:r>
      <w:r w:rsidR="00FC08B1">
        <w:t>'</w:t>
      </w:r>
      <w:r w:rsidRPr="00697BC1">
        <w:t>assurance de ma considération</w:t>
      </w:r>
      <w:r w:rsidR="002339A7">
        <w:t xml:space="preserve"> distinguée</w:t>
      </w:r>
      <w:r w:rsidRPr="00697BC1">
        <w:t>.</w:t>
      </w:r>
    </w:p>
    <w:p w14:paraId="4EDDB8F0" w14:textId="77777777" w:rsidR="00036F4F" w:rsidRPr="00170D27" w:rsidRDefault="00036F4F" w:rsidP="00585FF4">
      <w:pPr>
        <w:keepNext/>
        <w:keepLines/>
        <w:spacing w:before="400" w:after="400"/>
        <w:rPr>
          <w:i/>
          <w:iCs/>
          <w:lang w:val="fr-CH"/>
        </w:rPr>
      </w:pPr>
      <w:r w:rsidRPr="00170D27">
        <w:rPr>
          <w:i/>
          <w:iCs/>
          <w:lang w:val="fr-CH"/>
        </w:rPr>
        <w:t>(</w:t>
      </w:r>
      <w:proofErr w:type="gramStart"/>
      <w:r w:rsidRPr="00170D27">
        <w:rPr>
          <w:i/>
          <w:iCs/>
          <w:lang w:val="fr-CH"/>
        </w:rPr>
        <w:t>signé</w:t>
      </w:r>
      <w:proofErr w:type="gramEnd"/>
      <w:r w:rsidRPr="00170D27">
        <w:rPr>
          <w:i/>
          <w:iCs/>
          <w:lang w:val="fr-CH"/>
        </w:rPr>
        <w:t>)</w:t>
      </w:r>
    </w:p>
    <w:p w14:paraId="2B0CA6E5" w14:textId="218B984B" w:rsidR="00517A03" w:rsidRDefault="00036F4F" w:rsidP="00FC08B1">
      <w:pPr>
        <w:keepNext/>
        <w:keepLines/>
        <w:spacing w:before="360"/>
        <w:ind w:right="-284"/>
        <w:rPr>
          <w:b/>
          <w:lang w:val="fr-CH"/>
        </w:rPr>
      </w:pPr>
      <w:r w:rsidRPr="00170D27">
        <w:rPr>
          <w:lang w:val="fr-CH"/>
        </w:rPr>
        <w:t>Chaesub Lee</w:t>
      </w:r>
      <w:r w:rsidRPr="00170D27">
        <w:rPr>
          <w:lang w:val="fr-CH"/>
        </w:rPr>
        <w:br/>
        <w:t xml:space="preserve">Directeur du Bureau de la normalisation </w:t>
      </w:r>
      <w:r w:rsidRPr="00170D27">
        <w:rPr>
          <w:lang w:val="fr-CH"/>
        </w:rPr>
        <w:br/>
        <w:t>des télécommunications</w:t>
      </w:r>
    </w:p>
    <w:p w14:paraId="035E4A72" w14:textId="36EFFC69" w:rsidR="00932110" w:rsidRDefault="00932110" w:rsidP="00C9352B">
      <w:pPr>
        <w:spacing w:before="1440"/>
        <w:rPr>
          <w:lang w:val="fr-CH"/>
        </w:rPr>
      </w:pPr>
      <w:r w:rsidRPr="00932110">
        <w:rPr>
          <w:b/>
          <w:bCs/>
          <w:lang w:val="fr-CH"/>
        </w:rPr>
        <w:t>Annexes</w:t>
      </w:r>
      <w:r>
        <w:rPr>
          <w:lang w:val="fr-CH"/>
        </w:rPr>
        <w:t>: 2</w:t>
      </w:r>
    </w:p>
    <w:p w14:paraId="52E77D30" w14:textId="77777777" w:rsidR="009B557F" w:rsidRDefault="009B557F" w:rsidP="00FC08B1">
      <w:pPr>
        <w:rPr>
          <w:lang w:val="fr-CH"/>
        </w:rPr>
        <w:sectPr w:rsidR="009B557F" w:rsidSect="00A1517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  <w:bookmarkStart w:id="2" w:name="_GoBack"/>
      <w:bookmarkEnd w:id="2"/>
    </w:p>
    <w:p w14:paraId="11919220" w14:textId="77777777" w:rsidR="009B557F" w:rsidRPr="007132BC" w:rsidRDefault="009B557F" w:rsidP="00C9352B">
      <w:pPr>
        <w:spacing w:before="0" w:after="360"/>
        <w:ind w:right="91"/>
        <w:jc w:val="center"/>
        <w:rPr>
          <w:b/>
          <w:bCs/>
          <w:sz w:val="28"/>
          <w:szCs w:val="28"/>
        </w:rPr>
      </w:pPr>
      <w:r w:rsidRPr="007132BC">
        <w:rPr>
          <w:b/>
          <w:bCs/>
          <w:sz w:val="28"/>
          <w:szCs w:val="28"/>
        </w:rPr>
        <w:lastRenderedPageBreak/>
        <w:t>ANNEX 1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4"/>
        <w:gridCol w:w="7408"/>
        <w:gridCol w:w="1178"/>
      </w:tblGrid>
      <w:tr w:rsidR="009B557F" w:rsidRPr="00621214" w14:paraId="74DEA970" w14:textId="77777777" w:rsidTr="007F3048">
        <w:trPr>
          <w:trHeight w:val="1115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89F977D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AD0F0AF" wp14:editId="1CAE5F8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56515</wp:posOffset>
                  </wp:positionV>
                  <wp:extent cx="674894" cy="742950"/>
                  <wp:effectExtent l="0" t="0" r="0" b="0"/>
                  <wp:wrapNone/>
                  <wp:docPr id="6" name="Picture 6" descr="C:\Users\restivo\AppData\Local\Microsoft\Windows\INetCache\Content.Outlook\2XA4AODR\logo ITU blue UN (5)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estivo\AppData\Local\Microsoft\Windows\INetCache\Content.Outlook\2XA4AODR\logo ITU blue UN (5)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D836349" w14:textId="77777777" w:rsidR="009B557F" w:rsidRPr="009B557F" w:rsidRDefault="009B557F" w:rsidP="00FC08B1">
            <w:pPr>
              <w:spacing w:before="0"/>
              <w:ind w:right="91"/>
              <w:jc w:val="center"/>
              <w:rPr>
                <w:b/>
                <w:bCs/>
                <w:lang w:val="en-GB"/>
              </w:rPr>
            </w:pPr>
            <w:r w:rsidRPr="009B557F">
              <w:rPr>
                <w:b/>
                <w:bCs/>
                <w:lang w:val="en-GB"/>
              </w:rPr>
              <w:t>APPLICATION FORM FOR FUNDING &amp; PERSONALIZED INVITATION</w:t>
            </w:r>
          </w:p>
          <w:p w14:paraId="7484CF4B" w14:textId="77777777" w:rsidR="009B557F" w:rsidRPr="009B557F" w:rsidRDefault="009B557F" w:rsidP="00FC08B1">
            <w:pPr>
              <w:spacing w:before="0"/>
              <w:ind w:right="91"/>
              <w:jc w:val="center"/>
              <w:rPr>
                <w:b/>
                <w:bCs/>
                <w:lang w:val="en-GB"/>
              </w:rPr>
            </w:pPr>
            <w:r w:rsidRPr="009B557F">
              <w:rPr>
                <w:b/>
                <w:bCs/>
                <w:lang w:val="en-GB"/>
              </w:rPr>
              <w:t>FIGI Security Clinic</w:t>
            </w:r>
          </w:p>
          <w:p w14:paraId="2611600A" w14:textId="77777777" w:rsidR="009B557F" w:rsidRPr="009B557F" w:rsidRDefault="009B557F" w:rsidP="00FC08B1">
            <w:pPr>
              <w:spacing w:before="0"/>
              <w:ind w:right="91"/>
              <w:jc w:val="center"/>
              <w:rPr>
                <w:b/>
                <w:bCs/>
                <w:lang w:val="en-GB"/>
              </w:rPr>
            </w:pPr>
            <w:r w:rsidRPr="009B557F">
              <w:rPr>
                <w:b/>
                <w:bCs/>
                <w:lang w:val="en-GB"/>
              </w:rPr>
              <w:t>4-5 December 2019</w:t>
            </w:r>
          </w:p>
          <w:p w14:paraId="039E39C7" w14:textId="77777777" w:rsidR="009B557F" w:rsidRPr="009B557F" w:rsidRDefault="009B557F" w:rsidP="00FC08B1">
            <w:pPr>
              <w:spacing w:before="0"/>
              <w:ind w:right="91"/>
              <w:jc w:val="center"/>
              <w:rPr>
                <w:b/>
                <w:bCs/>
                <w:lang w:val="en-GB"/>
              </w:rPr>
            </w:pPr>
            <w:r w:rsidRPr="009B557F">
              <w:rPr>
                <w:b/>
                <w:bCs/>
                <w:lang w:val="en-GB"/>
              </w:rPr>
              <w:t>Geneva, Switzerland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1B281C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AE00F7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6892FAAE" wp14:editId="69A7DA19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52647</wp:posOffset>
                  </wp:positionV>
                  <wp:extent cx="674894" cy="742950"/>
                  <wp:effectExtent l="0" t="0" r="0" b="0"/>
                  <wp:wrapNone/>
                  <wp:docPr id="7" name="Picture 7" descr="C:\Users\restivo\AppData\Local\Microsoft\Windows\INetCache\Content.Outlook\2XA4AODR\logo ITU blue UN (5)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estivo\AppData\Local\Microsoft\Windows\INetCache\Content.Outlook\2XA4AODR\logo ITU blue UN (5)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D1723C7" w14:textId="77777777" w:rsidR="009B557F" w:rsidRPr="00AE00F7" w:rsidRDefault="009B557F" w:rsidP="00FC08B1">
      <w:pPr>
        <w:spacing w:before="0"/>
        <w:ind w:right="91"/>
        <w:jc w:val="center"/>
        <w:rPr>
          <w:b/>
          <w:bCs/>
        </w:rPr>
      </w:pPr>
      <w:r w:rsidRPr="00AE00F7">
        <w:rPr>
          <w:b/>
          <w:bCs/>
        </w:rPr>
        <w:t xml:space="preserve">All </w:t>
      </w:r>
      <w:proofErr w:type="spellStart"/>
      <w:r w:rsidRPr="00AE00F7">
        <w:rPr>
          <w:b/>
          <w:bCs/>
        </w:rPr>
        <w:t>fields</w:t>
      </w:r>
      <w:proofErr w:type="spellEnd"/>
      <w:r w:rsidRPr="00AE00F7">
        <w:rPr>
          <w:b/>
          <w:bCs/>
        </w:rPr>
        <w:t xml:space="preserve"> are </w:t>
      </w:r>
      <w:proofErr w:type="spellStart"/>
      <w:r w:rsidRPr="00AE00F7">
        <w:rPr>
          <w:b/>
          <w:bCs/>
        </w:rPr>
        <w:t>mandatory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48"/>
        <w:gridCol w:w="1238"/>
        <w:gridCol w:w="1904"/>
        <w:gridCol w:w="1466"/>
        <w:gridCol w:w="2552"/>
      </w:tblGrid>
      <w:tr w:rsidR="009B557F" w:rsidRPr="00621214" w14:paraId="4365EF06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46F6" w14:textId="77777777" w:rsidR="009B557F" w:rsidRPr="00AE00F7" w:rsidRDefault="009B557F" w:rsidP="00FC08B1">
            <w:pPr>
              <w:spacing w:before="0"/>
              <w:ind w:right="91"/>
            </w:pPr>
            <w:r w:rsidRPr="00564D61">
              <w:rPr>
                <w:color w:val="FF0000"/>
              </w:rPr>
              <w:t>Registration ID (</w:t>
            </w:r>
            <w:proofErr w:type="spellStart"/>
            <w:r w:rsidRPr="00564D61">
              <w:rPr>
                <w:color w:val="FF0000"/>
              </w:rPr>
              <w:t>required</w:t>
            </w:r>
            <w:proofErr w:type="spellEnd"/>
            <w:r w:rsidRPr="00564D61">
              <w:rPr>
                <w:color w:val="FF0000"/>
              </w:rPr>
              <w:t>)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1A6" w14:textId="77777777" w:rsidR="009B557F" w:rsidRPr="00AE00F7" w:rsidRDefault="009B557F" w:rsidP="00FC08B1">
            <w:pPr>
              <w:spacing w:before="0"/>
              <w:ind w:right="91"/>
            </w:pPr>
          </w:p>
        </w:tc>
        <w:tc>
          <w:tcPr>
            <w:tcW w:w="2552" w:type="dxa"/>
            <w:vAlign w:val="center"/>
          </w:tcPr>
          <w:p w14:paraId="4928F5AE" w14:textId="77777777" w:rsidR="009B557F" w:rsidRPr="009B557F" w:rsidRDefault="00F77007" w:rsidP="00FC08B1">
            <w:pPr>
              <w:spacing w:before="0"/>
              <w:ind w:right="91"/>
              <w:rPr>
                <w:lang w:val="en-GB"/>
              </w:rPr>
            </w:pPr>
            <w:hyperlink r:id="rId27" w:history="1">
              <w:r w:rsidR="009B557F" w:rsidRPr="00AE00F7">
                <w:rPr>
                  <w:rStyle w:val="Hyperlink"/>
                  <w:lang w:val="en-US"/>
                </w:rPr>
                <w:t xml:space="preserve">Register online </w:t>
              </w:r>
            </w:hyperlink>
            <w:r w:rsidR="009B557F" w:rsidRPr="009B557F">
              <w:rPr>
                <w:lang w:val="en-GB"/>
              </w:rPr>
              <w:t xml:space="preserve">for the meeting to obtain the registration ID </w:t>
            </w:r>
          </w:p>
        </w:tc>
      </w:tr>
      <w:tr w:rsidR="009B557F" w:rsidRPr="00621214" w14:paraId="44BC1C7D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98B7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>Title (e.g. Mr, Mrs, Dr …)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6EA8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</w:p>
        </w:tc>
      </w:tr>
      <w:tr w:rsidR="009B557F" w:rsidRPr="00AE00F7" w14:paraId="4947036A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D22E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 xml:space="preserve">First </w:t>
            </w:r>
            <w:proofErr w:type="spellStart"/>
            <w:r w:rsidRPr="00AE00F7">
              <w:t>name</w:t>
            </w:r>
            <w:proofErr w:type="spellEnd"/>
            <w:r w:rsidRPr="00AE00F7">
              <w:t xml:space="preserve"> 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8B1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AE00F7" w14:paraId="6019EE1C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CFAD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 xml:space="preserve">Last </w:t>
            </w:r>
            <w:proofErr w:type="spellStart"/>
            <w:r w:rsidRPr="00AE00F7">
              <w:t>name</w:t>
            </w:r>
            <w:proofErr w:type="spellEnd"/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F557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621214" w14:paraId="3C922BFC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8A67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>Date of Birth (dd/mm/yy)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7047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</w:p>
        </w:tc>
      </w:tr>
      <w:tr w:rsidR="009B557F" w:rsidRPr="00AE00F7" w14:paraId="24A5CB4E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345E" w14:textId="77777777" w:rsidR="009B557F" w:rsidRPr="00AE00F7" w:rsidRDefault="009B557F" w:rsidP="00FC08B1">
            <w:pPr>
              <w:spacing w:before="0"/>
              <w:ind w:right="91"/>
            </w:pPr>
            <w:proofErr w:type="spellStart"/>
            <w:r w:rsidRPr="00AE00F7">
              <w:t>Gender</w:t>
            </w:r>
            <w:proofErr w:type="spellEnd"/>
            <w:r w:rsidRPr="00AE00F7">
              <w:t xml:space="preserve"> (Male/</w:t>
            </w:r>
            <w:proofErr w:type="spellStart"/>
            <w:r w:rsidRPr="00AE00F7">
              <w:t>Female</w:t>
            </w:r>
            <w:proofErr w:type="spellEnd"/>
            <w:r w:rsidRPr="00AE00F7">
              <w:t>)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E17A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AE00F7" w14:paraId="148E99AC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3BD7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 xml:space="preserve">Job </w:t>
            </w:r>
            <w:proofErr w:type="spellStart"/>
            <w:r w:rsidRPr="00AE00F7">
              <w:t>title</w:t>
            </w:r>
            <w:proofErr w:type="spellEnd"/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6C0A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AE00F7" w14:paraId="39293A52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0D63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 xml:space="preserve">Name of </w:t>
            </w:r>
            <w:proofErr w:type="spellStart"/>
            <w:r w:rsidRPr="00AE00F7">
              <w:t>Company</w:t>
            </w:r>
            <w:proofErr w:type="spellEnd"/>
            <w:r w:rsidRPr="00AE00F7">
              <w:t>/</w:t>
            </w:r>
            <w:proofErr w:type="spellStart"/>
            <w:r w:rsidRPr="00AE00F7">
              <w:t>Organization</w:t>
            </w:r>
            <w:proofErr w:type="spellEnd"/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7C1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621214" w14:paraId="0798F9DD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2225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>Nationality as written on Passport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D4C9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</w:p>
        </w:tc>
      </w:tr>
      <w:tr w:rsidR="009B557F" w:rsidRPr="00AE00F7" w14:paraId="02559B8D" w14:textId="77777777" w:rsidTr="007F3048">
        <w:trPr>
          <w:trHeight w:val="696"/>
        </w:trPr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5AC5" w14:textId="77777777" w:rsidR="009B557F" w:rsidRPr="00AE00F7" w:rsidRDefault="009B557F" w:rsidP="00FC08B1">
            <w:pPr>
              <w:spacing w:before="0"/>
              <w:ind w:right="91"/>
            </w:pPr>
            <w:proofErr w:type="spellStart"/>
            <w:r w:rsidRPr="00AE00F7">
              <w:t>Company</w:t>
            </w:r>
            <w:proofErr w:type="spellEnd"/>
            <w:r w:rsidRPr="00AE00F7">
              <w:t>/</w:t>
            </w:r>
            <w:proofErr w:type="spellStart"/>
            <w:r w:rsidRPr="00AE00F7">
              <w:t>Organization</w:t>
            </w:r>
            <w:proofErr w:type="spellEnd"/>
            <w:r w:rsidRPr="00AE00F7">
              <w:t xml:space="preserve"> mailing </w:t>
            </w:r>
            <w:proofErr w:type="spellStart"/>
            <w:r w:rsidRPr="00AE00F7">
              <w:t>address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5FB" w14:textId="77777777" w:rsidR="009B557F" w:rsidRPr="00AE00F7" w:rsidRDefault="009B557F" w:rsidP="00FC08B1">
            <w:pPr>
              <w:spacing w:before="0"/>
              <w:ind w:right="91"/>
            </w:pPr>
            <w:proofErr w:type="spellStart"/>
            <w:r w:rsidRPr="00AE00F7">
              <w:t>Address</w:t>
            </w:r>
            <w:proofErr w:type="spellEnd"/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83CA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AE00F7" w14:paraId="0C05FB2C" w14:textId="77777777" w:rsidTr="007F3048">
        <w:trPr>
          <w:trHeight w:val="340"/>
        </w:trPr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286C" w14:textId="77777777" w:rsidR="009B557F" w:rsidRPr="00AE00F7" w:rsidRDefault="009B557F" w:rsidP="00FC08B1">
            <w:pPr>
              <w:spacing w:before="0"/>
              <w:ind w:right="91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738E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>Postal Code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E189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AE00F7" w14:paraId="69F62298" w14:textId="77777777" w:rsidTr="007F3048">
        <w:trPr>
          <w:trHeight w:val="340"/>
        </w:trPr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7583" w14:textId="77777777" w:rsidR="009B557F" w:rsidRPr="00AE00F7" w:rsidRDefault="009B557F" w:rsidP="00FC08B1">
            <w:pPr>
              <w:spacing w:before="0"/>
              <w:ind w:right="91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1B12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>Country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84BD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AE00F7" w14:paraId="5738A3C7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1C8E" w14:textId="77777777" w:rsidR="009B557F" w:rsidRPr="00AE00F7" w:rsidRDefault="009B557F" w:rsidP="00FC08B1">
            <w:pPr>
              <w:spacing w:before="0"/>
              <w:ind w:right="91"/>
            </w:pPr>
            <w:proofErr w:type="spellStart"/>
            <w:r w:rsidRPr="00AE00F7">
              <w:t>Telephone</w:t>
            </w:r>
            <w:proofErr w:type="spellEnd"/>
            <w:r w:rsidRPr="00AE00F7">
              <w:t xml:space="preserve"> </w:t>
            </w:r>
            <w:proofErr w:type="spellStart"/>
            <w:r w:rsidRPr="00AE00F7">
              <w:t>number</w:t>
            </w:r>
            <w:proofErr w:type="spellEnd"/>
            <w:r w:rsidRPr="00AE00F7">
              <w:t>: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2651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 xml:space="preserve">E-mail </w:t>
            </w:r>
            <w:proofErr w:type="spellStart"/>
            <w:r w:rsidRPr="00AE00F7">
              <w:t>address</w:t>
            </w:r>
            <w:proofErr w:type="spellEnd"/>
            <w:r w:rsidRPr="00AE00F7">
              <w:t>:</w:t>
            </w:r>
          </w:p>
        </w:tc>
      </w:tr>
      <w:tr w:rsidR="009B557F" w:rsidRPr="00621214" w14:paraId="58093912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2EFE588" w14:textId="77777777" w:rsidR="009B557F" w:rsidRPr="00AE00F7" w:rsidRDefault="009B557F" w:rsidP="00FC08B1">
            <w:pPr>
              <w:spacing w:before="0"/>
              <w:ind w:right="91"/>
            </w:pP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5CE3" w14:textId="77777777" w:rsidR="009B557F" w:rsidRPr="009B557F" w:rsidRDefault="009B557F" w:rsidP="00FC08B1">
            <w:pPr>
              <w:spacing w:before="0"/>
              <w:ind w:right="91"/>
              <w:rPr>
                <w:b/>
                <w:bCs/>
                <w:lang w:val="en-GB"/>
              </w:rPr>
            </w:pPr>
            <w:r w:rsidRPr="009B557F">
              <w:rPr>
                <w:b/>
                <w:bCs/>
                <w:lang w:val="en-GB"/>
              </w:rPr>
              <w:t>Note instructions to follow below so your request can be processed:</w:t>
            </w:r>
          </w:p>
        </w:tc>
      </w:tr>
      <w:tr w:rsidR="009B557F" w:rsidRPr="00AE00F7" w14:paraId="0910BB62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1C0" w14:textId="77777777" w:rsidR="009B557F" w:rsidRPr="00AE00F7" w:rsidRDefault="009B557F" w:rsidP="00FC08B1">
            <w:pPr>
              <w:spacing w:before="0"/>
              <w:ind w:right="91"/>
              <w:rPr>
                <w:b/>
                <w:bCs/>
              </w:rPr>
            </w:pPr>
            <w:r w:rsidRPr="00AE00F7">
              <w:rPr>
                <w:b/>
                <w:bCs/>
              </w:rPr>
              <w:t xml:space="preserve">Participant </w:t>
            </w:r>
            <w:proofErr w:type="spellStart"/>
            <w:r w:rsidRPr="00AE00F7">
              <w:rPr>
                <w:b/>
                <w:bCs/>
              </w:rPr>
              <w:t>Request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744" w14:textId="77777777" w:rsidR="009B557F" w:rsidRPr="00AE00F7" w:rsidRDefault="009B557F" w:rsidP="00FC08B1">
            <w:pPr>
              <w:spacing w:before="0"/>
              <w:ind w:right="91"/>
              <w:rPr>
                <w:b/>
                <w:bCs/>
              </w:rPr>
            </w:pPr>
            <w:proofErr w:type="spellStart"/>
            <w:r w:rsidRPr="00AE00F7">
              <w:rPr>
                <w:b/>
                <w:bCs/>
              </w:rPr>
              <w:t>Response</w:t>
            </w:r>
            <w:proofErr w:type="spellEnd"/>
            <w:r w:rsidRPr="00AE00F7">
              <w:rPr>
                <w:b/>
                <w:bCs/>
              </w:rPr>
              <w:t xml:space="preserve"> (Yes/No)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9090" w14:textId="77777777" w:rsidR="009B557F" w:rsidRPr="00AE00F7" w:rsidRDefault="009B557F" w:rsidP="00FC08B1">
            <w:pPr>
              <w:spacing w:before="0"/>
              <w:ind w:right="91"/>
              <w:rPr>
                <w:b/>
                <w:bCs/>
              </w:rPr>
            </w:pPr>
            <w:r w:rsidRPr="00AE00F7">
              <w:rPr>
                <w:b/>
                <w:bCs/>
              </w:rPr>
              <w:t xml:space="preserve">Instructions for </w:t>
            </w:r>
            <w:proofErr w:type="spellStart"/>
            <w:r w:rsidRPr="00AE00F7">
              <w:rPr>
                <w:b/>
                <w:bCs/>
              </w:rPr>
              <w:t>each</w:t>
            </w:r>
            <w:proofErr w:type="spellEnd"/>
            <w:r w:rsidRPr="00AE00F7">
              <w:rPr>
                <w:b/>
                <w:bCs/>
              </w:rPr>
              <w:t xml:space="preserve"> </w:t>
            </w:r>
            <w:proofErr w:type="spellStart"/>
            <w:r w:rsidRPr="00AE00F7">
              <w:rPr>
                <w:b/>
                <w:bCs/>
              </w:rPr>
              <w:t>request</w:t>
            </w:r>
            <w:proofErr w:type="spellEnd"/>
          </w:p>
        </w:tc>
      </w:tr>
      <w:tr w:rsidR="009B557F" w:rsidRPr="00621214" w14:paraId="4EA21CE3" w14:textId="77777777" w:rsidTr="007F3048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54A0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 xml:space="preserve">I am applying for </w:t>
            </w:r>
            <w:r w:rsidRPr="009B557F">
              <w:rPr>
                <w:b/>
                <w:bCs/>
                <w:lang w:val="en-GB"/>
              </w:rPr>
              <w:t>funding</w:t>
            </w:r>
            <w:r w:rsidRPr="009B557F">
              <w:rPr>
                <w:lang w:val="en-GB"/>
              </w:rPr>
              <w:t xml:space="preserve"> to attend the Symposium: (Yes or No)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568B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 xml:space="preserve"> 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D2DC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 xml:space="preserve">Complete and e-mail the Form together with an </w:t>
            </w:r>
            <w:r w:rsidRPr="009B557F">
              <w:rPr>
                <w:u w:val="single"/>
                <w:lang w:val="en-GB"/>
              </w:rPr>
              <w:t>official letter of nomination from your employer</w:t>
            </w:r>
            <w:r w:rsidRPr="009B557F">
              <w:rPr>
                <w:lang w:val="en-GB"/>
              </w:rPr>
              <w:t xml:space="preserve"> to </w:t>
            </w:r>
            <w:hyperlink r:id="rId28" w:history="1">
              <w:r w:rsidRPr="009B557F">
                <w:rPr>
                  <w:rStyle w:val="Hyperlink"/>
                  <w:lang w:val="en-GB"/>
                </w:rPr>
                <w:t>tsbfigisit@itu.int</w:t>
              </w:r>
            </w:hyperlink>
            <w:r w:rsidRPr="009B557F">
              <w:rPr>
                <w:lang w:val="en-GB"/>
              </w:rPr>
              <w:t xml:space="preserve"> before </w:t>
            </w:r>
            <w:r w:rsidRPr="009B557F">
              <w:rPr>
                <w:b/>
                <w:color w:val="FF0000"/>
                <w:lang w:val="en-GB"/>
              </w:rPr>
              <w:t>15 October 2019</w:t>
            </w:r>
          </w:p>
        </w:tc>
      </w:tr>
      <w:tr w:rsidR="009B557F" w:rsidRPr="00621214" w14:paraId="05A93AAF" w14:textId="77777777" w:rsidTr="007F3048">
        <w:trPr>
          <w:trHeight w:val="541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0E93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 xml:space="preserve">I require a </w:t>
            </w:r>
            <w:r w:rsidRPr="009B557F">
              <w:rPr>
                <w:b/>
                <w:bCs/>
                <w:lang w:val="en-GB"/>
              </w:rPr>
              <w:t>personalized letter of invitation</w:t>
            </w:r>
            <w:r w:rsidRPr="009B557F">
              <w:rPr>
                <w:lang w:val="en-GB"/>
              </w:rPr>
              <w:t>: (Yes or No)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FCA3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DE1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 xml:space="preserve">Complete and e-mail the Form to </w:t>
            </w:r>
            <w:hyperlink r:id="rId29" w:history="1">
              <w:r w:rsidRPr="009B557F">
                <w:rPr>
                  <w:rStyle w:val="Hyperlink"/>
                  <w:lang w:val="en-GB"/>
                </w:rPr>
                <w:t>tsbfigisit@itu.int</w:t>
              </w:r>
            </w:hyperlink>
            <w:r w:rsidRPr="009B557F">
              <w:rPr>
                <w:lang w:val="en-GB"/>
              </w:rPr>
              <w:t xml:space="preserve"> by</w:t>
            </w:r>
            <w:r w:rsidRPr="009B557F">
              <w:rPr>
                <w:b/>
                <w:lang w:val="en-GB"/>
              </w:rPr>
              <w:t xml:space="preserve"> </w:t>
            </w:r>
            <w:r w:rsidRPr="009B557F">
              <w:rPr>
                <w:b/>
                <w:color w:val="FF0000"/>
                <w:lang w:val="en-GB"/>
              </w:rPr>
              <w:t>15 October 2019</w:t>
            </w:r>
          </w:p>
        </w:tc>
      </w:tr>
      <w:tr w:rsidR="009B557F" w:rsidRPr="00AE00F7" w14:paraId="5E619C8E" w14:textId="77777777" w:rsidTr="007F3048">
        <w:trPr>
          <w:trHeight w:val="421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0E7C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>Specify city and country of departure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8CC0" w14:textId="32A1706E" w:rsidR="009B557F" w:rsidRPr="00AE00F7" w:rsidRDefault="009B557F" w:rsidP="00FC08B1">
            <w:pPr>
              <w:spacing w:before="0"/>
              <w:ind w:right="91"/>
            </w:pPr>
            <w:r w:rsidRPr="00AE00F7">
              <w:t>City:</w:t>
            </w:r>
            <w:r w:rsidR="00FC08B1">
              <w:t xml:space="preserve">                     </w:t>
            </w:r>
            <w:r w:rsidRPr="00AE00F7">
              <w:t>Country:</w:t>
            </w:r>
          </w:p>
        </w:tc>
      </w:tr>
      <w:tr w:rsidR="009B557F" w:rsidRPr="00AE00F7" w14:paraId="1BC342B6" w14:textId="77777777" w:rsidTr="007F3048">
        <w:trPr>
          <w:trHeight w:val="338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E89F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>Your stay in Geneva</w:t>
            </w:r>
          </w:p>
          <w:p w14:paraId="1A4C1154" w14:textId="77777777" w:rsidR="009B557F" w:rsidRPr="009B557F" w:rsidRDefault="009B557F" w:rsidP="00FC08B1">
            <w:pPr>
              <w:spacing w:before="0"/>
              <w:ind w:right="91"/>
              <w:rPr>
                <w:lang w:val="en-GB"/>
              </w:rPr>
            </w:pPr>
            <w:r w:rsidRPr="009B557F">
              <w:rPr>
                <w:lang w:val="en-GB"/>
              </w:rPr>
              <w:t>(dd/mm/yy)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76C4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 xml:space="preserve">Date of </w:t>
            </w:r>
            <w:proofErr w:type="spellStart"/>
            <w:r w:rsidRPr="00AE00F7">
              <w:t>arrival</w:t>
            </w:r>
            <w:proofErr w:type="spellEnd"/>
            <w:r w:rsidRPr="00AE00F7">
              <w:t xml:space="preserve"> 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056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AE00F7" w14:paraId="6D3E9DF4" w14:textId="77777777" w:rsidTr="007F3048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EDD3" w14:textId="77777777" w:rsidR="009B557F" w:rsidRPr="00AE00F7" w:rsidRDefault="009B557F" w:rsidP="00FC08B1">
            <w:pPr>
              <w:spacing w:before="0"/>
              <w:ind w:right="91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89DA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 xml:space="preserve">Date of </w:t>
            </w:r>
            <w:proofErr w:type="spellStart"/>
            <w:r w:rsidRPr="00AE00F7">
              <w:t>departure</w:t>
            </w:r>
            <w:proofErr w:type="spellEnd"/>
            <w:r w:rsidRPr="00AE00F7">
              <w:t xml:space="preserve"> 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2DA3" w14:textId="77777777" w:rsidR="009B557F" w:rsidRPr="00AE00F7" w:rsidRDefault="009B557F" w:rsidP="00FC08B1">
            <w:pPr>
              <w:spacing w:before="0"/>
              <w:ind w:right="91"/>
            </w:pPr>
          </w:p>
        </w:tc>
      </w:tr>
      <w:tr w:rsidR="009B557F" w:rsidRPr="00AE00F7" w14:paraId="1CA845F1" w14:textId="77777777" w:rsidTr="007F3048">
        <w:trPr>
          <w:trHeight w:val="883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8E62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>Date: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F913" w14:textId="77777777" w:rsidR="009B557F" w:rsidRPr="00AE00F7" w:rsidRDefault="009B557F" w:rsidP="00FC08B1">
            <w:pPr>
              <w:spacing w:before="0"/>
              <w:ind w:right="91"/>
            </w:pPr>
            <w:r w:rsidRPr="00AE00F7">
              <w:t xml:space="preserve">Signature: </w:t>
            </w:r>
          </w:p>
        </w:tc>
      </w:tr>
    </w:tbl>
    <w:p w14:paraId="70D378BB" w14:textId="77777777" w:rsidR="009B557F" w:rsidRDefault="009B557F" w:rsidP="00FC08B1">
      <w:pPr>
        <w:spacing w:before="0"/>
        <w:ind w:right="91"/>
        <w:rPr>
          <w:b/>
          <w:bCs/>
          <w:lang w:val="en-US"/>
        </w:rPr>
      </w:pPr>
    </w:p>
    <w:p w14:paraId="7BCB87F4" w14:textId="77777777" w:rsidR="009B557F" w:rsidRDefault="009B557F" w:rsidP="00FC08B1">
      <w:pPr>
        <w:spacing w:before="0"/>
        <w:ind w:right="91"/>
        <w:rPr>
          <w:b/>
          <w:bCs/>
          <w:lang w:val="en-US"/>
        </w:rPr>
      </w:pPr>
    </w:p>
    <w:p w14:paraId="4A2B9CBE" w14:textId="77777777" w:rsidR="009B557F" w:rsidRDefault="009B557F" w:rsidP="00FC08B1">
      <w:pPr>
        <w:overflowPunct/>
        <w:autoSpaceDE/>
        <w:autoSpaceDN/>
        <w:adjustRightInd/>
        <w:spacing w:before="0"/>
        <w:textAlignment w:val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628FDAB" w14:textId="77777777" w:rsidR="009B557F" w:rsidRPr="00C92651" w:rsidRDefault="009B557F" w:rsidP="00FC08B1">
      <w:pPr>
        <w:spacing w:before="0"/>
        <w:ind w:right="91"/>
        <w:jc w:val="center"/>
        <w:rPr>
          <w:b/>
          <w:bCs/>
          <w:sz w:val="28"/>
          <w:lang w:val="en-US"/>
        </w:rPr>
      </w:pPr>
      <w:r w:rsidRPr="00C92651">
        <w:rPr>
          <w:b/>
          <w:bCs/>
          <w:sz w:val="28"/>
          <w:lang w:val="en-US"/>
        </w:rPr>
        <w:lastRenderedPageBreak/>
        <w:t>ANNEX 2</w:t>
      </w:r>
    </w:p>
    <w:p w14:paraId="6D983806" w14:textId="77777777" w:rsidR="009B557F" w:rsidRPr="00AE00F7" w:rsidRDefault="009B557F" w:rsidP="00FC08B1">
      <w:pPr>
        <w:spacing w:before="0"/>
        <w:ind w:right="91"/>
        <w:jc w:val="center"/>
        <w:rPr>
          <w:b/>
          <w:bCs/>
          <w:lang w:val="en-US"/>
        </w:rPr>
      </w:pPr>
      <w:r w:rsidRPr="00AE00F7">
        <w:rPr>
          <w:b/>
          <w:bCs/>
          <w:lang w:val="en-US"/>
        </w:rPr>
        <w:t>Funding for participants from eligible countries</w:t>
      </w:r>
    </w:p>
    <w:p w14:paraId="03AA3326" w14:textId="77777777" w:rsidR="009B557F" w:rsidRPr="00AE00F7" w:rsidRDefault="009B557F" w:rsidP="00FC08B1">
      <w:pPr>
        <w:spacing w:before="0"/>
        <w:ind w:right="91"/>
        <w:rPr>
          <w:b/>
          <w:bCs/>
          <w:lang w:val="en-US"/>
        </w:rPr>
      </w:pPr>
    </w:p>
    <w:p w14:paraId="3378DAC0" w14:textId="77777777" w:rsidR="009B557F" w:rsidRPr="00AE00F7" w:rsidRDefault="009B557F" w:rsidP="00FC08B1">
      <w:pPr>
        <w:spacing w:before="0" w:after="120"/>
        <w:ind w:right="91"/>
        <w:rPr>
          <w:lang w:val="en-US"/>
        </w:rPr>
      </w:pPr>
      <w:r w:rsidRPr="00AE00F7">
        <w:rPr>
          <w:lang w:val="en-US"/>
        </w:rPr>
        <w:t>Funding for participants from eligible countries</w:t>
      </w:r>
      <w:r w:rsidRPr="00AE00F7">
        <w:rPr>
          <w:b/>
          <w:bCs/>
          <w:lang w:val="en-US"/>
        </w:rPr>
        <w:t xml:space="preserve"> </w:t>
      </w:r>
      <w:r w:rsidRPr="00AE00F7">
        <w:rPr>
          <w:lang w:val="en-US"/>
        </w:rPr>
        <w:t>may be provided through ITU. Please note that the decision criteria to grant this funding include but are not limited to the following:</w:t>
      </w:r>
    </w:p>
    <w:p w14:paraId="3E6CB617" w14:textId="77777777" w:rsidR="009B557F" w:rsidRPr="00AE00F7" w:rsidRDefault="009B557F" w:rsidP="00FC08B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ind w:right="91"/>
        <w:rPr>
          <w:lang w:val="en-US"/>
        </w:rPr>
      </w:pPr>
      <w:r w:rsidRPr="00AE00F7">
        <w:rPr>
          <w:lang w:val="en-US"/>
        </w:rPr>
        <w:t xml:space="preserve">Available budget; </w:t>
      </w:r>
    </w:p>
    <w:p w14:paraId="6B926EFD" w14:textId="4C788276" w:rsidR="009B557F" w:rsidRPr="00AE00F7" w:rsidRDefault="009B557F" w:rsidP="00FC08B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ind w:right="91"/>
        <w:rPr>
          <w:lang w:val="en-US"/>
        </w:rPr>
      </w:pPr>
      <w:r w:rsidRPr="00AE00F7">
        <w:rPr>
          <w:lang w:val="en-US"/>
        </w:rPr>
        <w:t>Participation of speakers from eligible countries (</w:t>
      </w:r>
      <w:hyperlink r:id="rId30" w:history="1">
        <w:r w:rsidRPr="009B557F">
          <w:rPr>
            <w:rStyle w:val="Hyperlink"/>
            <w:lang w:val="en-GB"/>
          </w:rPr>
          <w:t>https://www.itu.int/en/ITU-T/gap/Documents/Fellowships_BSG_EligibleCountries.pdf</w:t>
        </w:r>
      </w:hyperlink>
      <w:r w:rsidRPr="00AE00F7">
        <w:rPr>
          <w:lang w:val="en-US"/>
        </w:rPr>
        <w:t>);</w:t>
      </w:r>
      <w:r w:rsidR="00FC08B1">
        <w:rPr>
          <w:lang w:val="en-US"/>
        </w:rPr>
        <w:t xml:space="preserve"> </w:t>
      </w:r>
    </w:p>
    <w:p w14:paraId="6BB8C98F" w14:textId="77777777" w:rsidR="009B557F" w:rsidRPr="00AE00F7" w:rsidRDefault="009B557F" w:rsidP="00FC08B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ind w:right="91"/>
        <w:rPr>
          <w:lang w:val="en-US"/>
        </w:rPr>
      </w:pPr>
      <w:r w:rsidRPr="00AE00F7">
        <w:rPr>
          <w:lang w:val="en-US"/>
        </w:rPr>
        <w:t>Equitable distribution among countries and regions; and</w:t>
      </w:r>
    </w:p>
    <w:p w14:paraId="2B195149" w14:textId="77777777" w:rsidR="009B557F" w:rsidRPr="00AE00F7" w:rsidRDefault="009B557F" w:rsidP="00FC08B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ind w:right="91"/>
        <w:rPr>
          <w:lang w:val="en-US"/>
        </w:rPr>
      </w:pPr>
      <w:r w:rsidRPr="00AE00F7">
        <w:rPr>
          <w:lang w:val="en-US"/>
        </w:rPr>
        <w:t xml:space="preserve">Gender balance. </w:t>
      </w:r>
    </w:p>
    <w:p w14:paraId="05502B60" w14:textId="7C0202B3" w:rsidR="009B557F" w:rsidRPr="00AE00F7" w:rsidRDefault="009B557F" w:rsidP="00FC08B1">
      <w:pPr>
        <w:ind w:right="91"/>
        <w:rPr>
          <w:lang w:val="en-US"/>
        </w:rPr>
      </w:pPr>
      <w:r w:rsidRPr="00AE00F7">
        <w:rPr>
          <w:lang w:val="en-US"/>
        </w:rPr>
        <w:t xml:space="preserve">Preference will be given to national regulators and public officials. Funding requests (please use enclosed form in Annex 1) must be returned to ITU no later than </w:t>
      </w:r>
      <w:r w:rsidRPr="00AE00F7">
        <w:rPr>
          <w:b/>
          <w:bCs/>
          <w:lang w:val="en-US"/>
        </w:rPr>
        <w:t>15 October 2019</w:t>
      </w:r>
      <w:r w:rsidRPr="00AE00F7">
        <w:rPr>
          <w:lang w:val="en-US"/>
        </w:rPr>
        <w:t>.</w:t>
      </w:r>
      <w:r w:rsidR="00FC08B1">
        <w:rPr>
          <w:lang w:val="en-US"/>
        </w:rPr>
        <w:t xml:space="preserve"> </w:t>
      </w:r>
    </w:p>
    <w:p w14:paraId="2E0A380E" w14:textId="77777777" w:rsidR="009B557F" w:rsidRDefault="009B557F" w:rsidP="00FC08B1">
      <w:pPr>
        <w:pStyle w:val="Reasons"/>
      </w:pPr>
    </w:p>
    <w:p w14:paraId="746E753F" w14:textId="1E029923" w:rsidR="00932110" w:rsidRPr="009B557F" w:rsidRDefault="009B557F" w:rsidP="00FC08B1">
      <w:pPr>
        <w:jc w:val="center"/>
      </w:pPr>
      <w:r>
        <w:t>______________</w:t>
      </w:r>
    </w:p>
    <w:sectPr w:rsidR="00932110" w:rsidRPr="009B557F" w:rsidSect="009B557F">
      <w:footerReference w:type="first" r:id="rId31"/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EFD7" w14:textId="77777777" w:rsidR="003F4382" w:rsidRDefault="003F4382">
      <w:r>
        <w:separator/>
      </w:r>
    </w:p>
  </w:endnote>
  <w:endnote w:type="continuationSeparator" w:id="0">
    <w:p w14:paraId="67A3937C" w14:textId="77777777" w:rsidR="003F4382" w:rsidRDefault="003F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FC1" w14:textId="77777777" w:rsidR="000B371F" w:rsidRDefault="000B3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E129" w14:textId="24726BA8" w:rsidR="00697BC1" w:rsidRPr="002339A7" w:rsidRDefault="00697BC1" w:rsidP="000B371F">
    <w:pPr>
      <w:pStyle w:val="Footer"/>
      <w:tabs>
        <w:tab w:val="clear" w:pos="5954"/>
        <w:tab w:val="clear" w:pos="9639"/>
        <w:tab w:val="left" w:pos="44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F548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005E" w14:textId="77777777" w:rsidR="009B557F" w:rsidRPr="00F632E9" w:rsidRDefault="009B557F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>
      <w:rPr>
        <w:sz w:val="18"/>
        <w:szCs w:val="18"/>
        <w:lang w:val="fr-CH"/>
      </w:rPr>
      <w:t xml:space="preserve"> </w:t>
    </w:r>
    <w:r w:rsidRPr="00F632E9">
      <w:rPr>
        <w:sz w:val="18"/>
        <w:szCs w:val="18"/>
        <w:lang w:val="fr-CH"/>
      </w:rPr>
      <w:t>• CH</w:t>
    </w:r>
    <w:r w:rsidRPr="00F632E9">
      <w:rPr>
        <w:sz w:val="18"/>
        <w:szCs w:val="18"/>
        <w:lang w:val="fr-CH"/>
      </w:rPr>
      <w:noBreakHyphen/>
      <w:t>1211 Genève 20</w:t>
    </w:r>
    <w:r>
      <w:rPr>
        <w:sz w:val="18"/>
        <w:szCs w:val="18"/>
        <w:lang w:val="fr-CH"/>
      </w:rPr>
      <w:t xml:space="preserve"> </w:t>
    </w:r>
    <w:r w:rsidRPr="00F632E9">
      <w:rPr>
        <w:sz w:val="18"/>
        <w:szCs w:val="18"/>
        <w:lang w:val="fr-CH"/>
      </w:rPr>
      <w:t xml:space="preserve">• Suisse </w:t>
    </w:r>
    <w:r w:rsidRPr="00F632E9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ED55A" w14:textId="77777777" w:rsidR="003F4382" w:rsidRDefault="003F4382">
      <w:r>
        <w:t>____________________</w:t>
      </w:r>
    </w:p>
  </w:footnote>
  <w:footnote w:type="continuationSeparator" w:id="0">
    <w:p w14:paraId="4EF617B1" w14:textId="77777777" w:rsidR="003F4382" w:rsidRDefault="003F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39B4F" w14:textId="77777777" w:rsidR="000B371F" w:rsidRDefault="000B3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F8C28" w14:textId="74549AD9" w:rsidR="00697BC1" w:rsidRPr="000B371F" w:rsidRDefault="00585FF4" w:rsidP="00697BC1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0B371F">
          <w:rPr>
            <w:sz w:val="18"/>
            <w:szCs w:val="18"/>
          </w:rPr>
          <w:t>-</w:t>
        </w:r>
        <w:r w:rsidR="00697BC1" w:rsidRPr="000B371F">
          <w:rPr>
            <w:sz w:val="18"/>
            <w:szCs w:val="18"/>
          </w:rPr>
          <w:t xml:space="preserve"> </w:t>
        </w:r>
        <w:r w:rsidR="00697BC1" w:rsidRPr="000B371F">
          <w:rPr>
            <w:sz w:val="18"/>
            <w:szCs w:val="18"/>
          </w:rPr>
          <w:fldChar w:fldCharType="begin"/>
        </w:r>
        <w:r w:rsidR="00697BC1" w:rsidRPr="000B371F">
          <w:rPr>
            <w:sz w:val="18"/>
            <w:szCs w:val="18"/>
          </w:rPr>
          <w:instrText xml:space="preserve"> PAGE   \* MERGEFORMAT </w:instrText>
        </w:r>
        <w:r w:rsidR="00697BC1" w:rsidRPr="000B371F">
          <w:rPr>
            <w:sz w:val="18"/>
            <w:szCs w:val="18"/>
          </w:rPr>
          <w:fldChar w:fldCharType="separate"/>
        </w:r>
        <w:r w:rsidR="000B371F">
          <w:rPr>
            <w:noProof/>
            <w:sz w:val="18"/>
            <w:szCs w:val="18"/>
          </w:rPr>
          <w:t>2</w:t>
        </w:r>
        <w:r w:rsidR="00697BC1" w:rsidRPr="000B371F">
          <w:rPr>
            <w:noProof/>
            <w:sz w:val="18"/>
            <w:szCs w:val="18"/>
          </w:rPr>
          <w:fldChar w:fldCharType="end"/>
        </w:r>
      </w:sdtContent>
    </w:sdt>
    <w:r w:rsidR="00697BC1" w:rsidRPr="000B371F">
      <w:rPr>
        <w:noProof/>
        <w:sz w:val="18"/>
        <w:szCs w:val="18"/>
      </w:rPr>
      <w:t xml:space="preserve"> </w:t>
    </w:r>
    <w:r w:rsidR="005120A2" w:rsidRPr="000B371F">
      <w:rPr>
        <w:noProof/>
        <w:sz w:val="18"/>
        <w:szCs w:val="18"/>
      </w:rPr>
      <w:t>-</w:t>
    </w:r>
  </w:p>
  <w:p w14:paraId="64D741E1" w14:textId="732CF20D" w:rsidR="00C9352B" w:rsidRPr="000B371F" w:rsidRDefault="000B371F" w:rsidP="00F77007">
    <w:pPr>
      <w:pStyle w:val="Header"/>
      <w:spacing w:after="240"/>
      <w:rPr>
        <w:sz w:val="18"/>
        <w:szCs w:val="18"/>
      </w:rPr>
    </w:pPr>
    <w:r>
      <w:rPr>
        <w:noProof/>
        <w:sz w:val="18"/>
        <w:szCs w:val="18"/>
      </w:rPr>
      <w:t>C</w:t>
    </w:r>
    <w:r w:rsidR="00C9352B" w:rsidRPr="000B371F">
      <w:rPr>
        <w:noProof/>
        <w:sz w:val="18"/>
        <w:szCs w:val="18"/>
      </w:rPr>
      <w:t>irculaire TSB 192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F03F" w14:textId="77777777" w:rsidR="000B371F" w:rsidRDefault="000B3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30E86CDF"/>
    <w:multiLevelType w:val="hybridMultilevel"/>
    <w:tmpl w:val="0F2C5E7E"/>
    <w:lvl w:ilvl="0" w:tplc="54D292EC">
      <w:start w:val="161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AE6BAB"/>
    <w:multiLevelType w:val="hybridMultilevel"/>
    <w:tmpl w:val="5BE4C878"/>
    <w:lvl w:ilvl="0" w:tplc="B0B002DE">
      <w:start w:val="1"/>
      <w:numFmt w:val="lowerLetter"/>
      <w:lvlText w:val="%1)"/>
      <w:lvlJc w:val="left"/>
      <w:pPr>
        <w:ind w:left="360" w:hanging="133"/>
      </w:pPr>
      <w:rPr>
        <w:rFonts w:hint="default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40"/>
    <w:rsid w:val="000039EE"/>
    <w:rsid w:val="00005622"/>
    <w:rsid w:val="0002519E"/>
    <w:rsid w:val="00035B43"/>
    <w:rsid w:val="00036F4F"/>
    <w:rsid w:val="000758B3"/>
    <w:rsid w:val="00085F5A"/>
    <w:rsid w:val="000B0D96"/>
    <w:rsid w:val="000B371F"/>
    <w:rsid w:val="000B59D8"/>
    <w:rsid w:val="000C1F6B"/>
    <w:rsid w:val="000C25CC"/>
    <w:rsid w:val="000C56BE"/>
    <w:rsid w:val="000D57AF"/>
    <w:rsid w:val="001026FD"/>
    <w:rsid w:val="001077FD"/>
    <w:rsid w:val="00115DD7"/>
    <w:rsid w:val="00167472"/>
    <w:rsid w:val="00167F92"/>
    <w:rsid w:val="00173738"/>
    <w:rsid w:val="001B79A3"/>
    <w:rsid w:val="002152A3"/>
    <w:rsid w:val="002339A7"/>
    <w:rsid w:val="002E395D"/>
    <w:rsid w:val="003131F0"/>
    <w:rsid w:val="00333A80"/>
    <w:rsid w:val="00341117"/>
    <w:rsid w:val="00364E95"/>
    <w:rsid w:val="003705A2"/>
    <w:rsid w:val="00372875"/>
    <w:rsid w:val="003B1E80"/>
    <w:rsid w:val="003B66E8"/>
    <w:rsid w:val="003F4382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53F97"/>
    <w:rsid w:val="005771DF"/>
    <w:rsid w:val="00585FF4"/>
    <w:rsid w:val="005A3DD9"/>
    <w:rsid w:val="005B1DFC"/>
    <w:rsid w:val="00601682"/>
    <w:rsid w:val="00603470"/>
    <w:rsid w:val="00621214"/>
    <w:rsid w:val="00625E79"/>
    <w:rsid w:val="006333F7"/>
    <w:rsid w:val="006427A1"/>
    <w:rsid w:val="00644741"/>
    <w:rsid w:val="00685ED8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D35F1"/>
    <w:rsid w:val="008F2C9B"/>
    <w:rsid w:val="00923CD6"/>
    <w:rsid w:val="00932110"/>
    <w:rsid w:val="00935AA8"/>
    <w:rsid w:val="00966140"/>
    <w:rsid w:val="00971C9A"/>
    <w:rsid w:val="009B557F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93AE8"/>
    <w:rsid w:val="00BB24C0"/>
    <w:rsid w:val="00BD6ECF"/>
    <w:rsid w:val="00C26F2E"/>
    <w:rsid w:val="00C302E3"/>
    <w:rsid w:val="00C45376"/>
    <w:rsid w:val="00C675AE"/>
    <w:rsid w:val="00C9028F"/>
    <w:rsid w:val="00C9352B"/>
    <w:rsid w:val="00CA0416"/>
    <w:rsid w:val="00CB1125"/>
    <w:rsid w:val="00CD042E"/>
    <w:rsid w:val="00CF2560"/>
    <w:rsid w:val="00CF5B46"/>
    <w:rsid w:val="00D46B68"/>
    <w:rsid w:val="00D542A5"/>
    <w:rsid w:val="00D75E9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203BB"/>
    <w:rsid w:val="00F23DE3"/>
    <w:rsid w:val="00F346CE"/>
    <w:rsid w:val="00F34F98"/>
    <w:rsid w:val="00F40540"/>
    <w:rsid w:val="00F67402"/>
    <w:rsid w:val="00F766A2"/>
    <w:rsid w:val="00F77007"/>
    <w:rsid w:val="00F9451D"/>
    <w:rsid w:val="00FC08B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C39424"/>
  <w15:docId w15:val="{7A0F9649-7E66-484E-97CD-317E656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96614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3AE8"/>
    <w:rPr>
      <w:color w:val="800080" w:themeColor="followedHyperlink"/>
      <w:u w:val="single"/>
    </w:rPr>
  </w:style>
  <w:style w:type="table" w:styleId="TableGrid">
    <w:name w:val="Table Grid"/>
    <w:basedOn w:val="TableNormal"/>
    <w:rsid w:val="0057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9B55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3705A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705A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05A2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events@itu.int" TargetMode="External"/><Relationship Id="rId18" Type="http://schemas.openxmlformats.org/officeDocument/2006/relationships/hyperlink" Target="http://www.itu.int/online/mm/scripts/gensel11?lang=fr&amp;_memb=A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hyperlink" Target="http://www.itu.int/online/mm/scripts/gensel11?lang=fr&amp;_memb=S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online/mm/scripts/gensel8?lang=?lang=fr" TargetMode="External"/><Relationship Id="rId20" Type="http://schemas.openxmlformats.org/officeDocument/2006/relationships/header" Target="header1.xml"/><Relationship Id="rId29" Type="http://schemas.openxmlformats.org/officeDocument/2006/relationships/hyperlink" Target="mailto:tsbfigisit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12/Pages/default.aspx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travel/index-fr.aspx" TargetMode="External"/><Relationship Id="rId23" Type="http://schemas.openxmlformats.org/officeDocument/2006/relationships/footer" Target="footer2.xml"/><Relationship Id="rId28" Type="http://schemas.openxmlformats.org/officeDocument/2006/relationships/hyperlink" Target="mailto:tsbfigisit@itu.int" TargetMode="External"/><Relationship Id="rId10" Type="http://schemas.openxmlformats.org/officeDocument/2006/relationships/hyperlink" Target="https://www.itu.int/en/ITU-T/extcoop/figisymposium/Pages/FIGISITWG.aspx" TargetMode="External"/><Relationship Id="rId19" Type="http://schemas.openxmlformats.org/officeDocument/2006/relationships/hyperlink" Target="http://www.itu.int/online/mm/scripts/gensel11?lang=fr&amp;_memb=U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6506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itu.int/net4/CRM/xreg/web/Registration.aspx?Event=C-00006506" TargetMode="External"/><Relationship Id="rId30" Type="http://schemas.openxmlformats.org/officeDocument/2006/relationships/hyperlink" Target="https://www.itu.int/en/ITU-T/gap/Documents/Fellowships_BSG_EligibleCountries.pdf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3BFA-576F-4EA2-A31F-61877B8D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93</TotalTime>
  <Pages>5</Pages>
  <Words>1461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11212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Jenkins, Lia</cp:lastModifiedBy>
  <cp:revision>10</cp:revision>
  <cp:lastPrinted>2019-10-01T15:12:00Z</cp:lastPrinted>
  <dcterms:created xsi:type="dcterms:W3CDTF">2019-09-11T08:06:00Z</dcterms:created>
  <dcterms:modified xsi:type="dcterms:W3CDTF">2019-10-01T15:13:00Z</dcterms:modified>
</cp:coreProperties>
</file>