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14:paraId="76B46DDE" w14:textId="77777777" w:rsidTr="007B6316">
        <w:trPr>
          <w:cantSplit/>
          <w:trHeight w:val="340"/>
        </w:trPr>
        <w:tc>
          <w:tcPr>
            <w:tcW w:w="1410" w:type="dxa"/>
            <w:gridSpan w:val="2"/>
          </w:tcPr>
          <w:p w14:paraId="72B41FB8" w14:textId="77777777" w:rsidR="007B6316" w:rsidRDefault="007B6316" w:rsidP="00303D62">
            <w:pPr>
              <w:tabs>
                <w:tab w:val="left" w:pos="4111"/>
              </w:tabs>
              <w:spacing w:before="10"/>
              <w:ind w:left="57"/>
              <w:rPr>
                <w:sz w:val="22"/>
              </w:rPr>
            </w:pPr>
            <w:r w:rsidRPr="00F1238A">
              <w:rPr>
                <w:noProof/>
                <w:lang w:val="en-GB" w:eastAsia="en-GB"/>
              </w:rPr>
              <w:drawing>
                <wp:inline distT="0" distB="0" distL="0" distR="0" wp14:anchorId="7C88F35D" wp14:editId="2CED350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0331C8A3"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7EAD32F"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22D89906" w14:textId="77777777" w:rsidTr="00A00386">
        <w:trPr>
          <w:cantSplit/>
          <w:trHeight w:val="340"/>
        </w:trPr>
        <w:tc>
          <w:tcPr>
            <w:tcW w:w="1126" w:type="dxa"/>
          </w:tcPr>
          <w:p w14:paraId="02E7CC8C" w14:textId="77777777" w:rsidR="007B6316" w:rsidRPr="007B6316" w:rsidRDefault="007B6316" w:rsidP="00303D62">
            <w:pPr>
              <w:tabs>
                <w:tab w:val="left" w:pos="4111"/>
              </w:tabs>
              <w:spacing w:before="10"/>
              <w:ind w:left="57"/>
              <w:rPr>
                <w:b/>
                <w:bCs/>
                <w:sz w:val="22"/>
              </w:rPr>
            </w:pPr>
          </w:p>
        </w:tc>
        <w:tc>
          <w:tcPr>
            <w:tcW w:w="3751" w:type="dxa"/>
            <w:gridSpan w:val="2"/>
          </w:tcPr>
          <w:p w14:paraId="119EC3BF" w14:textId="77777777" w:rsidR="007B6316" w:rsidRDefault="007B6316" w:rsidP="00303D62">
            <w:pPr>
              <w:tabs>
                <w:tab w:val="left" w:pos="4111"/>
              </w:tabs>
              <w:spacing w:before="0"/>
              <w:ind w:left="57"/>
              <w:rPr>
                <w:b/>
              </w:rPr>
            </w:pPr>
          </w:p>
        </w:tc>
        <w:tc>
          <w:tcPr>
            <w:tcW w:w="5329" w:type="dxa"/>
          </w:tcPr>
          <w:p w14:paraId="12C8224D" w14:textId="77777777" w:rsidR="007B6316" w:rsidRDefault="007B6316" w:rsidP="00FA492B">
            <w:pPr>
              <w:tabs>
                <w:tab w:val="clear" w:pos="794"/>
                <w:tab w:val="clear" w:pos="1191"/>
                <w:tab w:val="clear" w:pos="1588"/>
                <w:tab w:val="clear" w:pos="1985"/>
                <w:tab w:val="left" w:pos="284"/>
              </w:tabs>
              <w:spacing w:before="240" w:after="240"/>
              <w:ind w:left="288" w:hanging="230"/>
            </w:pPr>
            <w:r w:rsidRPr="00081FE5">
              <w:rPr>
                <w:szCs w:val="24"/>
              </w:rPr>
              <w:t>Ginebra,</w:t>
            </w:r>
            <w:r w:rsidR="004C219D">
              <w:rPr>
                <w:szCs w:val="24"/>
              </w:rPr>
              <w:t xml:space="preserve"> </w:t>
            </w:r>
            <w:r w:rsidR="004C219D" w:rsidRPr="005B1871">
              <w:rPr>
                <w:lang w:val="es-ES"/>
              </w:rPr>
              <w:t>6 de noviembre de 2019</w:t>
            </w:r>
          </w:p>
        </w:tc>
      </w:tr>
      <w:tr w:rsidR="007B6316" w14:paraId="797A05B7" w14:textId="77777777" w:rsidTr="00A00386">
        <w:trPr>
          <w:cantSplit/>
          <w:trHeight w:val="340"/>
        </w:trPr>
        <w:tc>
          <w:tcPr>
            <w:tcW w:w="1126" w:type="dxa"/>
          </w:tcPr>
          <w:p w14:paraId="63470CDE" w14:textId="7F9A198F" w:rsidR="007B6316" w:rsidRPr="00A00386" w:rsidRDefault="007B6316" w:rsidP="00A00386">
            <w:pPr>
              <w:tabs>
                <w:tab w:val="left" w:pos="4111"/>
              </w:tabs>
              <w:spacing w:before="40" w:after="40"/>
              <w:ind w:left="57"/>
              <w:rPr>
                <w:b/>
                <w:bCs/>
                <w:szCs w:val="24"/>
              </w:rPr>
            </w:pPr>
            <w:r w:rsidRPr="00A00386">
              <w:rPr>
                <w:b/>
                <w:bCs/>
                <w:szCs w:val="24"/>
              </w:rPr>
              <w:t>Ref.:</w:t>
            </w:r>
          </w:p>
        </w:tc>
        <w:tc>
          <w:tcPr>
            <w:tcW w:w="3751" w:type="dxa"/>
            <w:gridSpan w:val="2"/>
          </w:tcPr>
          <w:p w14:paraId="37C59D1B" w14:textId="77777777" w:rsidR="007B6316" w:rsidRDefault="007B6316" w:rsidP="00A00386">
            <w:pPr>
              <w:tabs>
                <w:tab w:val="left" w:pos="4111"/>
              </w:tabs>
              <w:spacing w:before="40" w:after="40"/>
              <w:ind w:left="57"/>
              <w:rPr>
                <w:b/>
              </w:rPr>
            </w:pPr>
            <w:r>
              <w:rPr>
                <w:b/>
              </w:rPr>
              <w:t xml:space="preserve">Circular TSB </w:t>
            </w:r>
            <w:r w:rsidR="004C219D" w:rsidRPr="005B1871">
              <w:rPr>
                <w:b/>
                <w:lang w:val="es-ES"/>
              </w:rPr>
              <w:t>205</w:t>
            </w:r>
          </w:p>
          <w:p w14:paraId="3328E356" w14:textId="77777777" w:rsidR="007B6316" w:rsidRDefault="004C219D" w:rsidP="00A00386">
            <w:pPr>
              <w:tabs>
                <w:tab w:val="left" w:pos="4111"/>
              </w:tabs>
              <w:spacing w:before="40" w:after="40"/>
              <w:ind w:left="57"/>
            </w:pPr>
            <w:r w:rsidRPr="005B1871">
              <w:rPr>
                <w:lang w:val="es-ES"/>
              </w:rPr>
              <w:t>SG11/DA</w:t>
            </w:r>
          </w:p>
        </w:tc>
        <w:tc>
          <w:tcPr>
            <w:tcW w:w="5329" w:type="dxa"/>
            <w:vMerge w:val="restart"/>
          </w:tcPr>
          <w:p w14:paraId="70CE709B" w14:textId="77777777" w:rsidR="00FA492B" w:rsidRDefault="00FA492B" w:rsidP="00FA492B">
            <w:pPr>
              <w:tabs>
                <w:tab w:val="clear" w:pos="794"/>
                <w:tab w:val="clear" w:pos="1191"/>
                <w:tab w:val="clear" w:pos="1588"/>
                <w:tab w:val="clear" w:pos="1985"/>
                <w:tab w:val="left" w:pos="284"/>
              </w:tabs>
              <w:spacing w:before="0"/>
              <w:ind w:left="284" w:hanging="227"/>
              <w:rPr>
                <w:lang w:val="es-ES"/>
              </w:rPr>
            </w:pPr>
            <w:bookmarkStart w:id="0" w:name="Addressee_S"/>
            <w:bookmarkEnd w:id="0"/>
            <w:r w:rsidRPr="005B1871">
              <w:rPr>
                <w:lang w:val="es-ES"/>
              </w:rPr>
              <w:t>–</w:t>
            </w:r>
            <w:r w:rsidRPr="005B1871">
              <w:rPr>
                <w:lang w:val="es-ES"/>
              </w:rPr>
              <w:tab/>
              <w:t xml:space="preserve">A las Administraciones de los Estados Miembros </w:t>
            </w:r>
            <w:r w:rsidRPr="005B1871">
              <w:rPr>
                <w:lang w:val="es-ES"/>
              </w:rPr>
              <w:br/>
              <w:t>de la Unión</w:t>
            </w:r>
          </w:p>
          <w:p w14:paraId="3AC2CCEA" w14:textId="77777777" w:rsidR="00FA492B" w:rsidRPr="005B1871" w:rsidRDefault="00FA492B" w:rsidP="00FA492B">
            <w:pPr>
              <w:tabs>
                <w:tab w:val="left" w:pos="4111"/>
              </w:tabs>
              <w:ind w:left="58"/>
              <w:rPr>
                <w:lang w:val="es-ES"/>
              </w:rPr>
            </w:pPr>
            <w:r w:rsidRPr="005B1871">
              <w:rPr>
                <w:b/>
                <w:lang w:val="es-ES"/>
              </w:rPr>
              <w:t>Copia a</w:t>
            </w:r>
            <w:r w:rsidRPr="005B1871">
              <w:rPr>
                <w:lang w:val="es-ES"/>
              </w:rPr>
              <w:t>:</w:t>
            </w:r>
          </w:p>
          <w:p w14:paraId="5E3C0858" w14:textId="77777777" w:rsidR="00FA492B" w:rsidRPr="005B1871" w:rsidRDefault="00FA492B" w:rsidP="00FA492B">
            <w:pPr>
              <w:tabs>
                <w:tab w:val="clear" w:pos="794"/>
                <w:tab w:val="clear" w:pos="1191"/>
                <w:tab w:val="clear" w:pos="1588"/>
                <w:tab w:val="clear" w:pos="1985"/>
                <w:tab w:val="left" w:pos="284"/>
              </w:tabs>
              <w:spacing w:before="0"/>
              <w:ind w:left="284" w:hanging="227"/>
              <w:rPr>
                <w:lang w:val="es-ES"/>
              </w:rPr>
            </w:pPr>
            <w:r w:rsidRPr="005B1871">
              <w:rPr>
                <w:lang w:val="es-ES"/>
              </w:rPr>
              <w:t>–</w:t>
            </w:r>
            <w:r w:rsidRPr="005B1871">
              <w:rPr>
                <w:lang w:val="es-ES"/>
              </w:rPr>
              <w:tab/>
              <w:t>los Miembros de Sector del UIT-T;</w:t>
            </w:r>
          </w:p>
          <w:p w14:paraId="401901EB" w14:textId="77777777" w:rsidR="00FA492B" w:rsidRPr="005B1871" w:rsidRDefault="00FA492B" w:rsidP="00FA492B">
            <w:pPr>
              <w:tabs>
                <w:tab w:val="clear" w:pos="794"/>
                <w:tab w:val="clear" w:pos="1191"/>
                <w:tab w:val="clear" w:pos="1588"/>
                <w:tab w:val="clear" w:pos="1985"/>
                <w:tab w:val="left" w:pos="284"/>
              </w:tabs>
              <w:spacing w:before="0"/>
              <w:ind w:left="284" w:hanging="227"/>
              <w:rPr>
                <w:lang w:val="es-ES"/>
              </w:rPr>
            </w:pPr>
            <w:r w:rsidRPr="005B1871">
              <w:rPr>
                <w:lang w:val="es-ES"/>
              </w:rPr>
              <w:t>–</w:t>
            </w:r>
            <w:r w:rsidRPr="005B1871">
              <w:rPr>
                <w:lang w:val="es-ES"/>
              </w:rPr>
              <w:tab/>
            </w:r>
            <w:r w:rsidRPr="00A00386">
              <w:rPr>
                <w:lang w:val="es-ES"/>
              </w:rPr>
              <w:t>los Asociados de la Comisión de Estudio 11 del UIT</w:t>
            </w:r>
            <w:r>
              <w:rPr>
                <w:lang w:val="es-ES"/>
              </w:rPr>
              <w:noBreakHyphen/>
            </w:r>
            <w:r w:rsidRPr="00A00386">
              <w:rPr>
                <w:lang w:val="es-ES"/>
              </w:rPr>
              <w:t>T</w:t>
            </w:r>
            <w:r w:rsidRPr="005B1871">
              <w:rPr>
                <w:lang w:val="es-ES"/>
              </w:rPr>
              <w:t>;</w:t>
            </w:r>
          </w:p>
          <w:p w14:paraId="1A6B6812" w14:textId="77777777" w:rsidR="00FA492B" w:rsidRPr="005B1871" w:rsidRDefault="00FA492B" w:rsidP="00FA492B">
            <w:pPr>
              <w:tabs>
                <w:tab w:val="clear" w:pos="794"/>
                <w:tab w:val="clear" w:pos="1191"/>
                <w:tab w:val="clear" w:pos="1588"/>
                <w:tab w:val="clear" w:pos="1985"/>
                <w:tab w:val="left" w:pos="284"/>
              </w:tabs>
              <w:spacing w:before="0"/>
              <w:ind w:left="284" w:hanging="227"/>
              <w:rPr>
                <w:lang w:val="es-ES"/>
              </w:rPr>
            </w:pPr>
            <w:r w:rsidRPr="005B1871">
              <w:rPr>
                <w:lang w:val="es-ES"/>
              </w:rPr>
              <w:t>–</w:t>
            </w:r>
            <w:r w:rsidRPr="005B1871">
              <w:rPr>
                <w:lang w:val="es-ES"/>
              </w:rPr>
              <w:tab/>
              <w:t>las Instituciones Académicas de la UIT;</w:t>
            </w:r>
          </w:p>
          <w:p w14:paraId="258429E5" w14:textId="77777777" w:rsidR="00FA492B" w:rsidRPr="005B1871" w:rsidRDefault="00FA492B" w:rsidP="00FA492B">
            <w:pPr>
              <w:tabs>
                <w:tab w:val="clear" w:pos="794"/>
                <w:tab w:val="clear" w:pos="1191"/>
                <w:tab w:val="clear" w:pos="1588"/>
                <w:tab w:val="clear" w:pos="1985"/>
                <w:tab w:val="left" w:pos="284"/>
              </w:tabs>
              <w:spacing w:before="0"/>
              <w:ind w:left="284" w:hanging="227"/>
              <w:rPr>
                <w:lang w:val="es-ES"/>
              </w:rPr>
            </w:pPr>
            <w:r w:rsidRPr="005B1871">
              <w:rPr>
                <w:lang w:val="es-ES"/>
              </w:rPr>
              <w:t>–</w:t>
            </w:r>
            <w:r w:rsidRPr="005B1871">
              <w:rPr>
                <w:lang w:val="es-ES"/>
              </w:rPr>
              <w:tab/>
              <w:t>el</w:t>
            </w:r>
            <w:r w:rsidRPr="00A00386">
              <w:rPr>
                <w:lang w:val="es-ES"/>
              </w:rPr>
              <w:t xml:space="preserve"> Presidente y a los Vicepresidentes de la Comisión</w:t>
            </w:r>
            <w:r>
              <w:rPr>
                <w:lang w:val="es-ES"/>
              </w:rPr>
              <w:t> </w:t>
            </w:r>
            <w:r w:rsidRPr="00A00386">
              <w:rPr>
                <w:lang w:val="es-ES"/>
              </w:rPr>
              <w:t>de Estudio 11 del UIT-T</w:t>
            </w:r>
            <w:r w:rsidRPr="005B1871">
              <w:rPr>
                <w:lang w:val="es-ES"/>
              </w:rPr>
              <w:t>;</w:t>
            </w:r>
          </w:p>
          <w:p w14:paraId="5A48083D" w14:textId="77777777" w:rsidR="00FA492B" w:rsidRPr="005B1871" w:rsidRDefault="00FA492B" w:rsidP="00FA492B">
            <w:pPr>
              <w:tabs>
                <w:tab w:val="clear" w:pos="794"/>
                <w:tab w:val="clear" w:pos="1191"/>
                <w:tab w:val="clear" w:pos="1588"/>
                <w:tab w:val="clear" w:pos="1985"/>
                <w:tab w:val="left" w:pos="284"/>
              </w:tabs>
              <w:spacing w:before="0"/>
              <w:ind w:left="284" w:hanging="227"/>
              <w:rPr>
                <w:lang w:val="es-ES"/>
              </w:rPr>
            </w:pPr>
            <w:r w:rsidRPr="005B1871">
              <w:rPr>
                <w:lang w:val="es-ES"/>
              </w:rPr>
              <w:t>–</w:t>
            </w:r>
            <w:r w:rsidRPr="005B1871">
              <w:rPr>
                <w:lang w:val="es-ES"/>
              </w:rPr>
              <w:tab/>
              <w:t>l</w:t>
            </w:r>
            <w:r>
              <w:rPr>
                <w:lang w:val="es-ES"/>
              </w:rPr>
              <w:t>a</w:t>
            </w:r>
            <w:r w:rsidRPr="005B1871">
              <w:rPr>
                <w:lang w:val="es-ES"/>
              </w:rPr>
              <w:t xml:space="preserve"> Director</w:t>
            </w:r>
            <w:r>
              <w:rPr>
                <w:lang w:val="es-ES"/>
              </w:rPr>
              <w:t>a</w:t>
            </w:r>
            <w:r w:rsidRPr="005B1871">
              <w:rPr>
                <w:lang w:val="es-ES"/>
              </w:rPr>
              <w:t xml:space="preserve"> de la Oficina de Desarrollo de las Telecomunicaciones;</w:t>
            </w:r>
          </w:p>
          <w:p w14:paraId="1870E208" w14:textId="77777777" w:rsidR="00FA492B" w:rsidRPr="005B1871" w:rsidRDefault="00FA492B" w:rsidP="00FA492B">
            <w:pPr>
              <w:tabs>
                <w:tab w:val="clear" w:pos="794"/>
                <w:tab w:val="clear" w:pos="1191"/>
                <w:tab w:val="left" w:pos="330"/>
              </w:tabs>
              <w:spacing w:before="0"/>
              <w:rPr>
                <w:lang w:val="es-ES"/>
              </w:rPr>
            </w:pPr>
            <w:r w:rsidRPr="005B1871">
              <w:rPr>
                <w:lang w:val="es-ES"/>
              </w:rPr>
              <w:t>–</w:t>
            </w:r>
            <w:r w:rsidRPr="005B1871">
              <w:rPr>
                <w:lang w:val="es-ES"/>
              </w:rPr>
              <w:tab/>
              <w:t>el Director de la Oficina de Radiocomunicaciones</w:t>
            </w:r>
          </w:p>
          <w:p w14:paraId="42A61B81" w14:textId="67699584" w:rsidR="00FA492B" w:rsidRDefault="00FA492B" w:rsidP="00FA492B">
            <w:pPr>
              <w:tabs>
                <w:tab w:val="clear" w:pos="794"/>
                <w:tab w:val="clear" w:pos="1191"/>
                <w:tab w:val="clear" w:pos="1588"/>
                <w:tab w:val="clear" w:pos="1985"/>
                <w:tab w:val="left" w:pos="284"/>
              </w:tabs>
              <w:spacing w:before="40" w:after="40"/>
              <w:ind w:left="284" w:hanging="227"/>
            </w:pPr>
          </w:p>
        </w:tc>
      </w:tr>
      <w:tr w:rsidR="007B6316" w14:paraId="06004907" w14:textId="77777777" w:rsidTr="00A00386">
        <w:trPr>
          <w:cantSplit/>
        </w:trPr>
        <w:tc>
          <w:tcPr>
            <w:tcW w:w="1126" w:type="dxa"/>
          </w:tcPr>
          <w:p w14:paraId="593A4639" w14:textId="77777777" w:rsidR="007B6316" w:rsidRPr="00A00386" w:rsidRDefault="007B6316" w:rsidP="00A00386">
            <w:pPr>
              <w:tabs>
                <w:tab w:val="left" w:pos="4111"/>
              </w:tabs>
              <w:spacing w:before="40" w:after="40"/>
              <w:ind w:left="57"/>
              <w:rPr>
                <w:b/>
                <w:bCs/>
                <w:szCs w:val="24"/>
              </w:rPr>
            </w:pPr>
            <w:r w:rsidRPr="00A00386">
              <w:rPr>
                <w:b/>
                <w:bCs/>
                <w:szCs w:val="24"/>
              </w:rPr>
              <w:t>Tel.:</w:t>
            </w:r>
          </w:p>
        </w:tc>
        <w:tc>
          <w:tcPr>
            <w:tcW w:w="3751" w:type="dxa"/>
            <w:gridSpan w:val="2"/>
          </w:tcPr>
          <w:p w14:paraId="2BA4E594" w14:textId="77777777" w:rsidR="007B6316" w:rsidRPr="00A00386" w:rsidRDefault="007B6316" w:rsidP="00A00386">
            <w:pPr>
              <w:tabs>
                <w:tab w:val="left" w:pos="4111"/>
              </w:tabs>
              <w:spacing w:before="40" w:after="40"/>
              <w:ind w:left="57"/>
              <w:rPr>
                <w:lang w:val="es-ES"/>
              </w:rPr>
            </w:pPr>
            <w:r w:rsidRPr="00A00386">
              <w:rPr>
                <w:lang w:val="es-ES"/>
              </w:rPr>
              <w:t xml:space="preserve">+41 22 </w:t>
            </w:r>
            <w:r w:rsidR="005F323F" w:rsidRPr="00A00386">
              <w:rPr>
                <w:lang w:val="es-ES"/>
              </w:rPr>
              <w:t>730 5780</w:t>
            </w:r>
          </w:p>
        </w:tc>
        <w:tc>
          <w:tcPr>
            <w:tcW w:w="5329" w:type="dxa"/>
            <w:vMerge/>
          </w:tcPr>
          <w:p w14:paraId="700835AE" w14:textId="77777777" w:rsidR="007B6316" w:rsidRDefault="007B6316" w:rsidP="00303D62">
            <w:pPr>
              <w:tabs>
                <w:tab w:val="left" w:pos="4111"/>
              </w:tabs>
              <w:spacing w:before="0"/>
              <w:rPr>
                <w:b/>
              </w:rPr>
            </w:pPr>
          </w:p>
        </w:tc>
      </w:tr>
      <w:tr w:rsidR="007B6316" w14:paraId="6E9C4F5A" w14:textId="77777777" w:rsidTr="00A00386">
        <w:trPr>
          <w:cantSplit/>
        </w:trPr>
        <w:tc>
          <w:tcPr>
            <w:tcW w:w="1126" w:type="dxa"/>
          </w:tcPr>
          <w:p w14:paraId="712FFED6" w14:textId="77777777" w:rsidR="007B6316" w:rsidRDefault="007B6316" w:rsidP="00A00386">
            <w:pPr>
              <w:tabs>
                <w:tab w:val="left" w:pos="4111"/>
              </w:tabs>
              <w:spacing w:before="40" w:after="40"/>
              <w:ind w:left="57"/>
              <w:rPr>
                <w:b/>
                <w:bCs/>
                <w:szCs w:val="24"/>
              </w:rPr>
            </w:pPr>
            <w:r w:rsidRPr="00A00386">
              <w:rPr>
                <w:b/>
                <w:bCs/>
                <w:szCs w:val="24"/>
              </w:rPr>
              <w:t>Fax:</w:t>
            </w:r>
          </w:p>
          <w:p w14:paraId="53FE4BE9" w14:textId="7647EE9E" w:rsidR="00FA492B" w:rsidRPr="00A00386" w:rsidRDefault="00FA492B" w:rsidP="00A00386">
            <w:pPr>
              <w:tabs>
                <w:tab w:val="left" w:pos="4111"/>
              </w:tabs>
              <w:spacing w:before="40" w:after="40"/>
              <w:ind w:left="57"/>
              <w:rPr>
                <w:b/>
                <w:bCs/>
                <w:szCs w:val="24"/>
              </w:rPr>
            </w:pPr>
            <w:r w:rsidRPr="00A00386">
              <w:rPr>
                <w:b/>
                <w:bCs/>
                <w:szCs w:val="24"/>
              </w:rPr>
              <w:t>Correo-e:</w:t>
            </w:r>
          </w:p>
        </w:tc>
        <w:tc>
          <w:tcPr>
            <w:tcW w:w="3751" w:type="dxa"/>
            <w:gridSpan w:val="2"/>
          </w:tcPr>
          <w:p w14:paraId="4528F71C" w14:textId="77777777" w:rsidR="007B6316" w:rsidRDefault="007B6316" w:rsidP="00A00386">
            <w:pPr>
              <w:tabs>
                <w:tab w:val="left" w:pos="4111"/>
              </w:tabs>
              <w:spacing w:before="40" w:after="40"/>
              <w:ind w:left="57"/>
              <w:rPr>
                <w:lang w:val="es-ES"/>
              </w:rPr>
            </w:pPr>
            <w:r w:rsidRPr="00A00386">
              <w:rPr>
                <w:lang w:val="es-ES"/>
              </w:rPr>
              <w:t>+41 22 730 5853</w:t>
            </w:r>
          </w:p>
          <w:p w14:paraId="5DB31697" w14:textId="2A04ADB2" w:rsidR="00FA492B" w:rsidRPr="00A00386" w:rsidRDefault="004A5519" w:rsidP="00A00386">
            <w:pPr>
              <w:tabs>
                <w:tab w:val="left" w:pos="4111"/>
              </w:tabs>
              <w:spacing w:before="40" w:after="40"/>
              <w:ind w:left="57"/>
              <w:rPr>
                <w:lang w:val="es-ES"/>
              </w:rPr>
            </w:pPr>
            <w:hyperlink r:id="rId9" w:history="1">
              <w:r w:rsidR="00FA492B" w:rsidRPr="005B1871">
                <w:rPr>
                  <w:rStyle w:val="Hyperlink"/>
                  <w:lang w:val="es-ES"/>
                </w:rPr>
                <w:t>tsbsg11@itu.int</w:t>
              </w:r>
            </w:hyperlink>
          </w:p>
        </w:tc>
        <w:tc>
          <w:tcPr>
            <w:tcW w:w="5329" w:type="dxa"/>
            <w:vMerge/>
          </w:tcPr>
          <w:p w14:paraId="3A767CBE" w14:textId="77777777" w:rsidR="007B6316" w:rsidRDefault="007B6316" w:rsidP="00303D62">
            <w:pPr>
              <w:tabs>
                <w:tab w:val="left" w:pos="4111"/>
              </w:tabs>
              <w:spacing w:before="0"/>
              <w:rPr>
                <w:b/>
              </w:rPr>
            </w:pPr>
          </w:p>
        </w:tc>
      </w:tr>
      <w:tr w:rsidR="007B6316" w14:paraId="24A8C943" w14:textId="77777777" w:rsidTr="00A00386">
        <w:trPr>
          <w:cantSplit/>
        </w:trPr>
        <w:tc>
          <w:tcPr>
            <w:tcW w:w="1126" w:type="dxa"/>
          </w:tcPr>
          <w:p w14:paraId="425194CC" w14:textId="77777777" w:rsidR="007B6316" w:rsidRPr="00A00386" w:rsidRDefault="007B6316" w:rsidP="00BF27EB">
            <w:pPr>
              <w:tabs>
                <w:tab w:val="left" w:pos="4111"/>
              </w:tabs>
              <w:spacing w:after="120"/>
              <w:ind w:left="57"/>
              <w:rPr>
                <w:b/>
                <w:bCs/>
                <w:szCs w:val="24"/>
              </w:rPr>
            </w:pPr>
            <w:r w:rsidRPr="00A00386">
              <w:rPr>
                <w:b/>
                <w:bCs/>
                <w:szCs w:val="24"/>
              </w:rPr>
              <w:t>Asunto:</w:t>
            </w:r>
          </w:p>
        </w:tc>
        <w:tc>
          <w:tcPr>
            <w:tcW w:w="9080" w:type="dxa"/>
            <w:gridSpan w:val="3"/>
          </w:tcPr>
          <w:p w14:paraId="4EC6333F" w14:textId="77777777" w:rsidR="007B6316" w:rsidRDefault="004C219D" w:rsidP="00BF27EB">
            <w:pPr>
              <w:tabs>
                <w:tab w:val="left" w:pos="4111"/>
              </w:tabs>
              <w:spacing w:after="120"/>
              <w:ind w:left="57"/>
              <w:rPr>
                <w:b/>
              </w:rPr>
            </w:pPr>
            <w:r w:rsidRPr="005B1871">
              <w:rPr>
                <w:b/>
                <w:bCs/>
                <w:lang w:val="es-ES"/>
              </w:rPr>
              <w:t>Consulta a los Estados Miembros sobre el proyecto de nueva Recomendación determinada UIT-T Q.5051, propuesto para aprobación en la reunión de la Comisión de Estudio 11 del</w:t>
            </w:r>
            <w:r w:rsidR="005F323F">
              <w:rPr>
                <w:b/>
                <w:bCs/>
                <w:lang w:val="es-ES"/>
              </w:rPr>
              <w:t> </w:t>
            </w:r>
            <w:r w:rsidRPr="005B1871">
              <w:rPr>
                <w:b/>
                <w:bCs/>
                <w:lang w:val="es-ES"/>
              </w:rPr>
              <w:t>UIT</w:t>
            </w:r>
            <w:r w:rsidRPr="005B1871">
              <w:rPr>
                <w:b/>
                <w:bCs/>
                <w:lang w:val="es-ES"/>
              </w:rPr>
              <w:noBreakHyphen/>
              <w:t>T (Ginebra, 4-13 de marzo de 2020)</w:t>
            </w:r>
          </w:p>
        </w:tc>
      </w:tr>
    </w:tbl>
    <w:p w14:paraId="7A3DCCDA" w14:textId="39842F60" w:rsidR="00C34772" w:rsidRDefault="00C34772" w:rsidP="00FA492B">
      <w:pPr>
        <w:pStyle w:val="Normalaftertitle0"/>
        <w:spacing w:before="240" w:after="240"/>
      </w:pPr>
      <w:bookmarkStart w:id="1" w:name="StartTyping_S"/>
      <w:bookmarkStart w:id="2" w:name="suitetext"/>
      <w:bookmarkStart w:id="3" w:name="text"/>
      <w:bookmarkEnd w:id="1"/>
      <w:bookmarkEnd w:id="2"/>
      <w:bookmarkEnd w:id="3"/>
      <w:r>
        <w:t xml:space="preserve">Muy Señora </w:t>
      </w:r>
      <w:r w:rsidR="00FA492B">
        <w:t>mía/Muy Señor mío,</w:t>
      </w:r>
    </w:p>
    <w:p w14:paraId="2FE8CC45" w14:textId="77777777" w:rsidR="004C219D" w:rsidRPr="00240691" w:rsidRDefault="004C219D" w:rsidP="00240691">
      <w:pPr>
        <w:rPr>
          <w:lang w:val="es-ES"/>
        </w:rPr>
      </w:pPr>
      <w:r w:rsidRPr="005B1871">
        <w:rPr>
          <w:lang w:val="es-ES"/>
        </w:rPr>
        <w:t>1</w:t>
      </w:r>
      <w:r w:rsidRPr="005B1871">
        <w:rPr>
          <w:lang w:val="es-ES"/>
        </w:rPr>
        <w:tab/>
        <w:t>La Comisión de Estudio 11 del UIT</w:t>
      </w:r>
      <w:r w:rsidRPr="005B1871">
        <w:rPr>
          <w:lang w:val="es-ES"/>
        </w:rPr>
        <w:noBreakHyphen/>
        <w:t xml:space="preserve">T (Requisitos de señalización, protocolos, especificaciones de pruebas y lucha contra la falsificación de productos) </w:t>
      </w:r>
      <w:r w:rsidRPr="00240691">
        <w:rPr>
          <w:lang w:val="es-ES"/>
        </w:rPr>
        <w:t>tiene intención de aplicar el procedimiento de aprobación tradicional descrito en la cláusula 9 de la Resolución 1 (Rev. </w:t>
      </w:r>
      <w:proofErr w:type="spellStart"/>
      <w:r w:rsidRPr="00240691">
        <w:rPr>
          <w:lang w:val="es-ES"/>
        </w:rPr>
        <w:t>Hammamet</w:t>
      </w:r>
      <w:proofErr w:type="spellEnd"/>
      <w:r w:rsidRPr="00240691">
        <w:rPr>
          <w:lang w:val="es-ES"/>
        </w:rPr>
        <w:t>, 2016) de la AMNT para la aprobación del citado proyecto de Recomendación durante su próxima reunión en Ginebra, del 4 al 13 de marzo de 2020. El orden del día y toda la información pertinente sobre la reunión de la Comisión de Estudio 11 del UIT-T figurarán en la Carta Colectiva 9/11.</w:t>
      </w:r>
    </w:p>
    <w:p w14:paraId="10F13D53" w14:textId="77777777" w:rsidR="004C219D" w:rsidRPr="005B1871" w:rsidRDefault="004C219D" w:rsidP="004C219D">
      <w:pPr>
        <w:rPr>
          <w:szCs w:val="24"/>
          <w:lang w:val="es-ES"/>
        </w:rPr>
      </w:pPr>
      <w:r w:rsidRPr="005B1871">
        <w:rPr>
          <w:szCs w:val="24"/>
          <w:lang w:val="es-ES"/>
        </w:rPr>
        <w:t>2</w:t>
      </w:r>
      <w:r w:rsidRPr="005B1871">
        <w:rPr>
          <w:szCs w:val="24"/>
          <w:lang w:val="es-ES"/>
        </w:rPr>
        <w:tab/>
        <w:t xml:space="preserve">El </w:t>
      </w:r>
      <w:r w:rsidRPr="005B1871">
        <w:rPr>
          <w:b/>
          <w:bCs/>
          <w:szCs w:val="24"/>
          <w:lang w:val="es-ES"/>
        </w:rPr>
        <w:t>Anexo 1</w:t>
      </w:r>
      <w:r w:rsidRPr="005B1871">
        <w:rPr>
          <w:szCs w:val="24"/>
          <w:lang w:val="es-ES"/>
        </w:rPr>
        <w:t xml:space="preserve"> contiene el título y el resumen del proyecto de Recomendación UIT-T propuesto para aprobación, con indicación del documento en que figura.</w:t>
      </w:r>
    </w:p>
    <w:p w14:paraId="11CA4CDB" w14:textId="11969677" w:rsidR="004C219D" w:rsidRDefault="004C219D" w:rsidP="00240691">
      <w:pPr>
        <w:rPr>
          <w:lang w:val="es-ES"/>
        </w:rPr>
      </w:pPr>
      <w:r w:rsidRPr="005B1871">
        <w:rPr>
          <w:lang w:val="es-ES"/>
        </w:rPr>
        <w:t>3</w:t>
      </w:r>
      <w:r w:rsidRPr="005B1871">
        <w:rPr>
          <w:lang w:val="es-ES"/>
        </w:rPr>
        <w:tab/>
        <w:t>Con esta Circular se inicia la consulta formal con los Estados Miembros de la UIT sobre si puede considerarse el texto citado para aprobación en la próxima reunión, de acuerdo con la cláusula</w:t>
      </w:r>
      <w:r w:rsidR="005F323F">
        <w:rPr>
          <w:lang w:val="es-ES"/>
        </w:rPr>
        <w:t> </w:t>
      </w:r>
      <w:r w:rsidRPr="005B1871">
        <w:rPr>
          <w:lang w:val="es-ES"/>
        </w:rPr>
        <w:t>9.4 de la Resolución 1 (Rev. </w:t>
      </w:r>
      <w:proofErr w:type="spellStart"/>
      <w:r w:rsidRPr="005B1871">
        <w:rPr>
          <w:lang w:val="es-ES"/>
        </w:rPr>
        <w:t>Hammamet</w:t>
      </w:r>
      <w:proofErr w:type="spellEnd"/>
      <w:r w:rsidRPr="005B1871">
        <w:rPr>
          <w:lang w:val="es-ES"/>
        </w:rPr>
        <w:t xml:space="preserve">, 2016) de la AMNT. Se ruega a los Estados Miembros que completen y devuelvan el formulario del </w:t>
      </w:r>
      <w:r w:rsidRPr="005B1871">
        <w:rPr>
          <w:b/>
          <w:bCs/>
          <w:lang w:val="es-ES"/>
        </w:rPr>
        <w:t>Anexo 2</w:t>
      </w:r>
      <w:r w:rsidRPr="005B1871">
        <w:rPr>
          <w:lang w:val="es-ES"/>
        </w:rPr>
        <w:t xml:space="preserve"> hasta las 23.59 horas UTC del</w:t>
      </w:r>
      <w:r w:rsidR="005F323F">
        <w:rPr>
          <w:lang w:val="es-ES"/>
        </w:rPr>
        <w:t xml:space="preserve"> </w:t>
      </w:r>
      <w:r w:rsidRPr="005B1871">
        <w:rPr>
          <w:b/>
          <w:bCs/>
          <w:lang w:val="es-ES"/>
        </w:rPr>
        <w:t>21</w:t>
      </w:r>
      <w:r w:rsidR="005F323F">
        <w:rPr>
          <w:b/>
          <w:bCs/>
          <w:lang w:val="es-ES"/>
        </w:rPr>
        <w:t> </w:t>
      </w:r>
      <w:r w:rsidRPr="005B1871">
        <w:rPr>
          <w:b/>
          <w:bCs/>
          <w:lang w:val="es-ES"/>
        </w:rPr>
        <w:t>de febrero de 2020</w:t>
      </w:r>
      <w:r w:rsidRPr="005B1871">
        <w:rPr>
          <w:lang w:val="es-ES"/>
        </w:rPr>
        <w:t>.</w:t>
      </w:r>
    </w:p>
    <w:p w14:paraId="7DB8020F" w14:textId="77777777" w:rsidR="00240691" w:rsidRDefault="00240691" w:rsidP="00240691">
      <w:pPr>
        <w:rPr>
          <w:lang w:val="es-ES"/>
        </w:rPr>
      </w:pPr>
      <w:r>
        <w:rPr>
          <w:lang w:val="es-ES"/>
        </w:rPr>
        <w:br w:type="page"/>
      </w:r>
    </w:p>
    <w:p w14:paraId="18F32DC6" w14:textId="454185D4" w:rsidR="004C219D" w:rsidRPr="005B1871" w:rsidRDefault="004C219D" w:rsidP="00FA492B">
      <w:pPr>
        <w:spacing w:before="240"/>
        <w:rPr>
          <w:lang w:val="es-ES"/>
        </w:rPr>
      </w:pPr>
      <w:r w:rsidRPr="005B1871">
        <w:rPr>
          <w:lang w:val="es-ES"/>
        </w:rPr>
        <w:lastRenderedPageBreak/>
        <w:t>4</w:t>
      </w:r>
      <w:r w:rsidRPr="005B1871">
        <w:rPr>
          <w:lang w:val="es-ES"/>
        </w:rPr>
        <w:tab/>
        <w:t>Si el 70% como mínimo de las respuestas de los Estados Miembros están a favor de que se considere la aprobación de estos proyectos de Recomendación, se dedicará una Sesión Plenaria a la aplicación del procedimiento de aprobación. Los Estados Miembros que no otorguen autoridad para proceder deben informar al Director de la TSB de los motivos para esta opinión e indicar los posibles cambios que harían posible que prosiguieran los trabajos.</w:t>
      </w:r>
    </w:p>
    <w:p w14:paraId="442FD1F5" w14:textId="689202F9" w:rsidR="004C219D" w:rsidRPr="005B1871" w:rsidRDefault="004C219D" w:rsidP="00FA492B">
      <w:pPr>
        <w:keepNext/>
        <w:keepLines/>
        <w:spacing w:before="240"/>
        <w:rPr>
          <w:lang w:val="es-ES"/>
        </w:rPr>
      </w:pPr>
      <w:r w:rsidRPr="005B1871">
        <w:rPr>
          <w:lang w:val="es-ES"/>
        </w:rPr>
        <w:t>Atentamente,</w:t>
      </w:r>
    </w:p>
    <w:p w14:paraId="1BD42B40" w14:textId="24D190C0" w:rsidR="004C219D" w:rsidRPr="005B1871" w:rsidRDefault="004A5519" w:rsidP="00FA492B">
      <w:pPr>
        <w:spacing w:before="960"/>
        <w:rPr>
          <w:lang w:val="es-ES"/>
        </w:rPr>
      </w:pPr>
      <w:r>
        <w:rPr>
          <w:noProof/>
          <w:lang w:val="en-GB" w:eastAsia="en-GB"/>
        </w:rPr>
        <w:drawing>
          <wp:anchor distT="0" distB="0" distL="114300" distR="114300" simplePos="0" relativeHeight="251658240" behindDoc="1" locked="0" layoutInCell="1" allowOverlap="1" wp14:anchorId="62CF8B78" wp14:editId="695685EF">
            <wp:simplePos x="0" y="0"/>
            <wp:positionH relativeFrom="column">
              <wp:posOffset>3810</wp:posOffset>
            </wp:positionH>
            <wp:positionV relativeFrom="paragraph">
              <wp:posOffset>154305</wp:posOffset>
            </wp:positionV>
            <wp:extent cx="824800" cy="371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0">
                      <a:extLst>
                        <a:ext uri="{28A0092B-C50C-407E-A947-70E740481C1C}">
                          <a14:useLocalDpi xmlns:a14="http://schemas.microsoft.com/office/drawing/2010/main" val="0"/>
                        </a:ext>
                      </a:extLst>
                    </a:blip>
                    <a:stretch>
                      <a:fillRect/>
                    </a:stretch>
                  </pic:blipFill>
                  <pic:spPr>
                    <a:xfrm>
                      <a:off x="0" y="0"/>
                      <a:ext cx="824800" cy="371475"/>
                    </a:xfrm>
                    <a:prstGeom prst="rect">
                      <a:avLst/>
                    </a:prstGeom>
                  </pic:spPr>
                </pic:pic>
              </a:graphicData>
            </a:graphic>
            <wp14:sizeRelH relativeFrom="margin">
              <wp14:pctWidth>0</wp14:pctWidth>
            </wp14:sizeRelH>
            <wp14:sizeRelV relativeFrom="margin">
              <wp14:pctHeight>0</wp14:pctHeight>
            </wp14:sizeRelV>
          </wp:anchor>
        </w:drawing>
      </w:r>
      <w:r w:rsidR="004C219D" w:rsidRPr="005B1871">
        <w:rPr>
          <w:lang w:val="es-ES"/>
        </w:rPr>
        <w:t>Chaesub Lee</w:t>
      </w:r>
      <w:r w:rsidR="004C219D" w:rsidRPr="005B1871">
        <w:rPr>
          <w:lang w:val="es-ES"/>
        </w:rPr>
        <w:br/>
        <w:t>Director de la Oficina de</w:t>
      </w:r>
      <w:r w:rsidR="004C219D" w:rsidRPr="005B1871">
        <w:rPr>
          <w:lang w:val="es-ES"/>
        </w:rPr>
        <w:br/>
        <w:t>Normalización de las Telecomunicaciones</w:t>
      </w:r>
    </w:p>
    <w:p w14:paraId="358BEAED" w14:textId="77777777" w:rsidR="004C219D" w:rsidRPr="005B1871" w:rsidRDefault="004C219D" w:rsidP="004C219D">
      <w:pPr>
        <w:overflowPunct/>
        <w:autoSpaceDE/>
        <w:autoSpaceDN/>
        <w:adjustRightInd/>
        <w:spacing w:before="840"/>
        <w:textAlignment w:val="auto"/>
        <w:rPr>
          <w:szCs w:val="24"/>
          <w:lang w:val="es-ES"/>
        </w:rPr>
      </w:pPr>
      <w:r w:rsidRPr="005B1871">
        <w:rPr>
          <w:b/>
          <w:bCs/>
          <w:szCs w:val="24"/>
          <w:lang w:val="es-ES"/>
        </w:rPr>
        <w:t>Anexos</w:t>
      </w:r>
      <w:r w:rsidRPr="005B1871">
        <w:rPr>
          <w:szCs w:val="24"/>
          <w:lang w:val="es-ES"/>
        </w:rPr>
        <w:t>: 2</w:t>
      </w:r>
    </w:p>
    <w:p w14:paraId="53C0542C" w14:textId="77777777" w:rsidR="004C219D" w:rsidRPr="005B1871" w:rsidRDefault="004C219D" w:rsidP="00BF27EB">
      <w:pPr>
        <w:rPr>
          <w:lang w:val="es-ES"/>
        </w:rPr>
      </w:pPr>
      <w:bookmarkStart w:id="4" w:name="_GoBack"/>
      <w:r w:rsidRPr="005B1871">
        <w:rPr>
          <w:lang w:val="es-ES"/>
        </w:rPr>
        <w:br w:type="page"/>
      </w:r>
    </w:p>
    <w:p w14:paraId="41951F7A" w14:textId="7D776628" w:rsidR="004C219D" w:rsidRPr="000C3343" w:rsidRDefault="004C219D" w:rsidP="000C3343">
      <w:pPr>
        <w:pStyle w:val="AnnexNotitle"/>
        <w:rPr>
          <w:lang w:val="es-ES"/>
        </w:rPr>
      </w:pPr>
      <w:bookmarkStart w:id="5" w:name="_ANNEX"/>
      <w:bookmarkStart w:id="6" w:name="_ANNEX_A_-"/>
      <w:bookmarkStart w:id="7" w:name="_ANNEX_B"/>
      <w:bookmarkStart w:id="8" w:name="_ANNEX_B_-"/>
      <w:bookmarkEnd w:id="5"/>
      <w:bookmarkEnd w:id="6"/>
      <w:bookmarkEnd w:id="7"/>
      <w:bookmarkEnd w:id="8"/>
      <w:bookmarkEnd w:id="4"/>
      <w:r w:rsidRPr="005B1871">
        <w:rPr>
          <w:lang w:val="es-ES"/>
        </w:rPr>
        <w:lastRenderedPageBreak/>
        <w:t>Anexo 1</w:t>
      </w:r>
      <w:r w:rsidR="00BF27EB">
        <w:rPr>
          <w:lang w:val="es-ES"/>
        </w:rPr>
        <w:br/>
      </w:r>
      <w:r w:rsidR="00BF27EB">
        <w:rPr>
          <w:lang w:val="es-ES"/>
        </w:rPr>
        <w:br/>
      </w:r>
      <w:r w:rsidRPr="000C3343">
        <w:rPr>
          <w:lang w:val="es-ES"/>
        </w:rPr>
        <w:t xml:space="preserve">Título, </w:t>
      </w:r>
      <w:r w:rsidRPr="000C3343">
        <w:t>resumen</w:t>
      </w:r>
      <w:r w:rsidRPr="000C3343">
        <w:rPr>
          <w:lang w:val="es-ES"/>
        </w:rPr>
        <w:t xml:space="preserve"> y ubicación del proyecto de texto determinado</w:t>
      </w:r>
    </w:p>
    <w:p w14:paraId="10E56B75" w14:textId="77777777" w:rsidR="004C219D" w:rsidRPr="005B1871" w:rsidRDefault="004C219D" w:rsidP="004C219D">
      <w:pPr>
        <w:pStyle w:val="Heading1"/>
        <w:rPr>
          <w:lang w:val="es-ES"/>
        </w:rPr>
      </w:pPr>
      <w:r w:rsidRPr="005B1871">
        <w:rPr>
          <w:lang w:val="es-ES"/>
        </w:rPr>
        <w:t>1</w:t>
      </w:r>
      <w:r w:rsidRPr="005B1871">
        <w:rPr>
          <w:lang w:val="es-ES"/>
        </w:rPr>
        <w:tab/>
        <w:t>Proyecto de nueva Recomendación UIT-T Q.5051 (ex. Q.FW_CSM) [</w:t>
      </w:r>
      <w:hyperlink r:id="rId11" w:history="1">
        <w:r w:rsidRPr="005B1871">
          <w:rPr>
            <w:rStyle w:val="Hyperlink"/>
            <w:lang w:val="es-ES"/>
          </w:rPr>
          <w:t>SG11-R25</w:t>
        </w:r>
      </w:hyperlink>
      <w:r w:rsidRPr="005B1871">
        <w:rPr>
          <w:lang w:val="es-ES"/>
        </w:rPr>
        <w:t>]</w:t>
      </w:r>
    </w:p>
    <w:p w14:paraId="4C581CB4" w14:textId="77777777" w:rsidR="004C219D" w:rsidRPr="005B1871" w:rsidRDefault="004C219D" w:rsidP="004C219D">
      <w:pPr>
        <w:pStyle w:val="Headingb0"/>
        <w:rPr>
          <w:highlight w:val="yellow"/>
          <w:lang w:val="es-ES"/>
        </w:rPr>
      </w:pPr>
      <w:r w:rsidRPr="005B1871">
        <w:rPr>
          <w:lang w:val="es-ES"/>
        </w:rPr>
        <w:t>Marco para luchar contra la utilización de dispositivos móviles robados</w:t>
      </w:r>
    </w:p>
    <w:p w14:paraId="6B51FDE1" w14:textId="77777777" w:rsidR="004C219D" w:rsidRPr="005B1871" w:rsidRDefault="004C219D" w:rsidP="004C219D">
      <w:pPr>
        <w:pStyle w:val="Headingb0"/>
        <w:rPr>
          <w:lang w:val="es-ES"/>
        </w:rPr>
      </w:pPr>
      <w:r w:rsidRPr="005B1871">
        <w:rPr>
          <w:lang w:val="es-ES"/>
        </w:rPr>
        <w:t>Resumen</w:t>
      </w:r>
    </w:p>
    <w:p w14:paraId="43858E6F" w14:textId="77777777" w:rsidR="004C219D" w:rsidRPr="005B1871" w:rsidRDefault="004C219D" w:rsidP="004C219D">
      <w:pPr>
        <w:rPr>
          <w:lang w:val="es-ES"/>
        </w:rPr>
      </w:pPr>
      <w:r w:rsidRPr="005B1871">
        <w:rPr>
          <w:lang w:val="es-ES"/>
        </w:rPr>
        <w:t>En los últimos años, el aumento de las funciones y capacidades de los dispositivos móviles ha conducido a un aumento de su importancia y uso en la vida diaria de las personas. En algunos países, uno de los efectos secundarios es el aumento de robos de esos equipos para su venta y también para la utilización ilegal de la información contenida en ellos.</w:t>
      </w:r>
    </w:p>
    <w:p w14:paraId="75B60F2A" w14:textId="77777777" w:rsidR="004C219D" w:rsidRPr="005B1871" w:rsidRDefault="004C219D" w:rsidP="004C219D">
      <w:pPr>
        <w:rPr>
          <w:lang w:val="es-ES"/>
        </w:rPr>
      </w:pPr>
      <w:r w:rsidRPr="005B1871">
        <w:rPr>
          <w:lang w:val="es-ES"/>
        </w:rPr>
        <w:t xml:space="preserve">Como respuesta se necesitan medidas que impidan el robo y la reutilización de esos dispositivos móviles robados y la protección de los datos almacenados en ellos contra un uso ilegal. Además, como es habitual que los dispositivos robados en un país que aplica medidas contra ese tipo de robos se vendan en otros países o regiones donde no se han tomado medidas similares, es fundamental la coordinación y el intercambio de información entre los gobiernos y los operadores de diferentes países si lo que se quiere es combatir con éxito el robo y la reutilización de los dispositivos móviles robados </w:t>
      </w:r>
      <w:r>
        <w:rPr>
          <w:lang w:val="es-ES"/>
        </w:rPr>
        <w:t>a escala</w:t>
      </w:r>
      <w:r w:rsidRPr="005B1871">
        <w:rPr>
          <w:lang w:val="es-ES"/>
        </w:rPr>
        <w:t xml:space="preserve"> mundial. De lo contrario, existe el riesgo de que el comercio ilegal de dispositivos robados se extienda a otros países.</w:t>
      </w:r>
    </w:p>
    <w:p w14:paraId="6470AC1A" w14:textId="77777777" w:rsidR="004C219D" w:rsidRPr="005B1871" w:rsidRDefault="004C219D" w:rsidP="004C219D">
      <w:pPr>
        <w:rPr>
          <w:lang w:val="es-ES"/>
        </w:rPr>
      </w:pPr>
      <w:r w:rsidRPr="005B1871">
        <w:rPr>
          <w:lang w:val="es-ES"/>
        </w:rPr>
        <w:t>Es importante señalar que, como la mayoría de las medidas utilizadas en la actualidad contra el robo y reutilización de dispositivos se basan en listas de identificadores únic</w:t>
      </w:r>
      <w:r>
        <w:rPr>
          <w:lang w:val="es-ES"/>
        </w:rPr>
        <w:t>o</w:t>
      </w:r>
      <w:r w:rsidRPr="005B1871">
        <w:rPr>
          <w:lang w:val="es-ES"/>
        </w:rPr>
        <w:t>s, a menudo los traficantes de dispositivos manipulan los equipos robados para alterar su identificador y hacerlo pasar por uno que está siendo utilizado en ese momento por un dispositivo legítimo, con miras a que el equipo pueda volver al mercado y pueda conectarse a las redes móviles.</w:t>
      </w:r>
    </w:p>
    <w:p w14:paraId="5187465F" w14:textId="6FA10024" w:rsidR="004C219D" w:rsidRPr="005B1871" w:rsidRDefault="004C219D" w:rsidP="004C219D">
      <w:pPr>
        <w:rPr>
          <w:lang w:val="es-ES"/>
        </w:rPr>
      </w:pPr>
      <w:r w:rsidRPr="005B1871">
        <w:rPr>
          <w:lang w:val="es-ES"/>
        </w:rPr>
        <w:t>En respuesta a ese problema, muchos países no s</w:t>
      </w:r>
      <w:r w:rsidR="00473C0B">
        <w:rPr>
          <w:lang w:val="es-ES"/>
        </w:rPr>
        <w:t>ó</w:t>
      </w:r>
      <w:r w:rsidRPr="005B1871">
        <w:rPr>
          <w:lang w:val="es-ES"/>
        </w:rPr>
        <w:t xml:space="preserve">lo luchan contra el uso de dispositivos móviles robados, sino que también intentan impedir que los dispositivos con identificadores únicos reprogramados no autorizados, conocidos normalmente como identificadores manipulados, vuelvan a la red. Mientras tanto, los gobiernos de otros países se </w:t>
      </w:r>
      <w:r>
        <w:rPr>
          <w:lang w:val="es-ES"/>
        </w:rPr>
        <w:t>ven superados ante un desafío que no saben cómo gestionar</w:t>
      </w:r>
      <w:r w:rsidRPr="005B1871">
        <w:rPr>
          <w:lang w:val="es-ES"/>
        </w:rPr>
        <w:t>, principalmente por falta de conocimientos o experiencia sobre el problema y sus posibles soluciones. Para ellos es difícil decidir con conocimiento de causa qué soluciones concretas pueden ser eficaces para su país. En ese sentido, se necesitan directrices para superar esa problemática, como se indica en la Resolución 97 (</w:t>
      </w:r>
      <w:proofErr w:type="spellStart"/>
      <w:r w:rsidRPr="005B1871">
        <w:rPr>
          <w:lang w:val="es-ES"/>
        </w:rPr>
        <w:t>Hammamet</w:t>
      </w:r>
      <w:proofErr w:type="spellEnd"/>
      <w:r w:rsidRPr="005B1871">
        <w:rPr>
          <w:lang w:val="es-ES"/>
        </w:rPr>
        <w:t>, 2016)</w:t>
      </w:r>
      <w:r w:rsidR="00BF27EB" w:rsidRPr="00BF27EB">
        <w:rPr>
          <w:lang w:val="es-ES"/>
        </w:rPr>
        <w:t xml:space="preserve"> </w:t>
      </w:r>
      <w:r w:rsidR="00BF27EB" w:rsidRPr="005B1871">
        <w:rPr>
          <w:lang w:val="es-ES"/>
        </w:rPr>
        <w:t>de la AMNT.</w:t>
      </w:r>
    </w:p>
    <w:p w14:paraId="4DA39E0D" w14:textId="77777777" w:rsidR="004C219D" w:rsidRPr="005B1871" w:rsidRDefault="004C219D" w:rsidP="004C219D">
      <w:pPr>
        <w:rPr>
          <w:lang w:val="es-ES"/>
        </w:rPr>
      </w:pPr>
      <w:r w:rsidRPr="005B1871">
        <w:rPr>
          <w:lang w:val="es-ES"/>
        </w:rPr>
        <w:t>Por todo ello, en la presente Recomendación se propone un marco de requisitos y una amplia gama de medidas globales y recomendadas que pueden adoptarse y aplicarse para luchar contra el robo y la reutilización de los dispositivos móviles robados.</w:t>
      </w:r>
    </w:p>
    <w:p w14:paraId="18F33603" w14:textId="77777777" w:rsidR="000C3343" w:rsidRDefault="004C219D" w:rsidP="00BF27EB">
      <w:pPr>
        <w:rPr>
          <w:lang w:val="es-ES"/>
        </w:rPr>
      </w:pPr>
      <w:r w:rsidRPr="005B1871">
        <w:rPr>
          <w:lang w:val="es-ES"/>
        </w:rPr>
        <w:t>No se ha preparado ningún documento de justificación de la A.5 del UIT-T para el presente proyecto de texto determinado.</w:t>
      </w:r>
    </w:p>
    <w:p w14:paraId="2EA32787" w14:textId="77777777" w:rsidR="00BF27EB" w:rsidRDefault="004C219D" w:rsidP="00BF27EB">
      <w:pPr>
        <w:pStyle w:val="Note"/>
        <w:rPr>
          <w:lang w:val="es-ES"/>
        </w:rPr>
      </w:pPr>
      <w:r w:rsidRPr="000E66FA">
        <w:rPr>
          <w:b/>
          <w:bCs/>
          <w:lang w:val="es-ES"/>
        </w:rPr>
        <w:t>NOTA DE LA TSB</w:t>
      </w:r>
      <w:r w:rsidRPr="005B1871">
        <w:rPr>
          <w:lang w:val="es-ES"/>
        </w:rPr>
        <w:t xml:space="preserve"> – A partir de la fecha de la presente Circular, la TSB no ha recibido declaración(es) de derechos de propiedad intelectual en relación con este proyecto de texto. Para </w:t>
      </w:r>
      <w:r w:rsidRPr="00BF27EB">
        <w:t>obtener</w:t>
      </w:r>
      <w:r w:rsidRPr="005B1871">
        <w:rPr>
          <w:lang w:val="es-ES"/>
        </w:rPr>
        <w:t xml:space="preserve"> información actualizada, se invita a los miembros a consultar la base de datos de DPI en la dirección </w:t>
      </w:r>
      <w:hyperlink r:id="rId12" w:history="1">
        <w:r w:rsidRPr="005B1871">
          <w:rPr>
            <w:rStyle w:val="Hyperlink"/>
            <w:lang w:val="es-ES"/>
          </w:rPr>
          <w:t>www.itu.int/ipr/</w:t>
        </w:r>
      </w:hyperlink>
      <w:r w:rsidRPr="005B1871">
        <w:rPr>
          <w:lang w:val="es-ES"/>
        </w:rPr>
        <w:t>.</w:t>
      </w:r>
      <w:bookmarkStart w:id="9" w:name="_Annex_C_–"/>
      <w:bookmarkEnd w:id="9"/>
    </w:p>
    <w:p w14:paraId="456BCA09" w14:textId="0E8F685B" w:rsidR="004C219D" w:rsidRPr="005B1871" w:rsidRDefault="004C219D" w:rsidP="00BF27EB">
      <w:pPr>
        <w:rPr>
          <w:sz w:val="28"/>
          <w:lang w:val="es-ES"/>
        </w:rPr>
      </w:pPr>
      <w:r w:rsidRPr="005B1871">
        <w:rPr>
          <w:lang w:val="es-ES"/>
        </w:rPr>
        <w:br w:type="page"/>
      </w:r>
    </w:p>
    <w:p w14:paraId="56D421BD" w14:textId="51E8749B" w:rsidR="004C219D" w:rsidRPr="005B1871" w:rsidRDefault="004C219D" w:rsidP="00BF27EB">
      <w:pPr>
        <w:pStyle w:val="AnnexNotitle"/>
        <w:spacing w:after="240"/>
        <w:rPr>
          <w:lang w:val="es-ES"/>
        </w:rPr>
      </w:pPr>
      <w:r w:rsidRPr="005B1871">
        <w:rPr>
          <w:lang w:val="es-ES"/>
        </w:rPr>
        <w:lastRenderedPageBreak/>
        <w:t>Anexo 2</w:t>
      </w:r>
      <w:r w:rsidR="00BF27EB">
        <w:rPr>
          <w:lang w:val="es-ES"/>
        </w:rPr>
        <w:br/>
      </w:r>
      <w:r w:rsidR="00BF27EB">
        <w:rPr>
          <w:lang w:val="es-ES"/>
        </w:rPr>
        <w:br/>
      </w:r>
      <w:r w:rsidRPr="005B1871">
        <w:rPr>
          <w:lang w:val="es-ES"/>
        </w:rPr>
        <w:t>Asunto: Respuesta de Estado Miembro a la Circular 205 de la TSB:</w:t>
      </w:r>
      <w:r w:rsidRPr="005B1871">
        <w:rPr>
          <w:lang w:val="es-ES"/>
        </w:rPr>
        <w:br/>
        <w:t>Consulta sobre el proyecto de nueva Recomendación determinada UIT-T Q.5051</w:t>
      </w:r>
    </w:p>
    <w:tbl>
      <w:tblPr>
        <w:tblW w:w="9957" w:type="dxa"/>
        <w:tblInd w:w="-176" w:type="dxa"/>
        <w:tblLayout w:type="fixed"/>
        <w:tblLook w:val="04A0" w:firstRow="1" w:lastRow="0" w:firstColumn="1" w:lastColumn="0" w:noHBand="0" w:noVBand="1"/>
      </w:tblPr>
      <w:tblGrid>
        <w:gridCol w:w="1169"/>
        <w:gridCol w:w="4394"/>
        <w:gridCol w:w="1242"/>
        <w:gridCol w:w="3152"/>
      </w:tblGrid>
      <w:tr w:rsidR="004C219D" w:rsidRPr="006923C4" w14:paraId="75680662" w14:textId="77777777" w:rsidTr="000E66FA">
        <w:tc>
          <w:tcPr>
            <w:tcW w:w="1169" w:type="dxa"/>
            <w:shd w:val="clear" w:color="auto" w:fill="auto"/>
          </w:tcPr>
          <w:p w14:paraId="231F393C" w14:textId="77777777" w:rsidR="004C219D" w:rsidRPr="005B1871" w:rsidRDefault="004C219D" w:rsidP="000E66FA">
            <w:pPr>
              <w:rPr>
                <w:szCs w:val="24"/>
                <w:highlight w:val="yellow"/>
                <w:lang w:val="es-ES"/>
              </w:rPr>
            </w:pPr>
            <w:bookmarkStart w:id="10" w:name="lt_pId114"/>
            <w:r w:rsidRPr="005B1871">
              <w:rPr>
                <w:b/>
                <w:bCs/>
                <w:lang w:val="es-ES"/>
              </w:rPr>
              <w:t>A</w:t>
            </w:r>
            <w:r w:rsidRPr="005B1871">
              <w:rPr>
                <w:lang w:val="es-ES"/>
              </w:rPr>
              <w:t>:</w:t>
            </w:r>
            <w:bookmarkEnd w:id="10"/>
          </w:p>
        </w:tc>
        <w:tc>
          <w:tcPr>
            <w:tcW w:w="4394" w:type="dxa"/>
            <w:tcBorders>
              <w:right w:val="single" w:sz="8" w:space="0" w:color="auto"/>
            </w:tcBorders>
            <w:shd w:val="clear" w:color="auto" w:fill="auto"/>
          </w:tcPr>
          <w:p w14:paraId="7FE38A03" w14:textId="77777777" w:rsidR="004C219D" w:rsidRPr="005B1871" w:rsidRDefault="004C219D" w:rsidP="000E66FA">
            <w:pPr>
              <w:rPr>
                <w:szCs w:val="24"/>
                <w:highlight w:val="yellow"/>
                <w:lang w:val="es-ES"/>
              </w:rPr>
            </w:pPr>
            <w:bookmarkStart w:id="11" w:name="lt_pId115"/>
            <w:r w:rsidRPr="005B1871">
              <w:rPr>
                <w:lang w:val="es-ES"/>
              </w:rPr>
              <w:t xml:space="preserve">Director </w:t>
            </w:r>
            <w:bookmarkStart w:id="12" w:name="lt_pId116"/>
            <w:bookmarkEnd w:id="11"/>
            <w:r w:rsidRPr="005B1871">
              <w:rPr>
                <w:lang w:val="es-ES"/>
              </w:rPr>
              <w:t xml:space="preserve">de la Oficina de </w:t>
            </w:r>
            <w:r w:rsidRPr="005B1871">
              <w:rPr>
                <w:lang w:val="es-ES"/>
              </w:rPr>
              <w:br/>
              <w:t>Normalización de las Telecomunicaciones,</w:t>
            </w:r>
            <w:bookmarkEnd w:id="12"/>
            <w:r w:rsidRPr="005B1871">
              <w:rPr>
                <w:lang w:val="es-ES"/>
              </w:rPr>
              <w:br/>
              <w:t>Unión Internacional de Telecomunicaciones</w:t>
            </w:r>
            <w:r w:rsidRPr="005B1871">
              <w:rPr>
                <w:lang w:val="es-ES"/>
              </w:rPr>
              <w:br/>
            </w:r>
            <w:bookmarkStart w:id="13" w:name="lt_pId118"/>
            <w:r w:rsidRPr="005B1871">
              <w:rPr>
                <w:lang w:val="es-ES"/>
              </w:rPr>
              <w:t xml:space="preserve">Place des </w:t>
            </w:r>
            <w:proofErr w:type="spellStart"/>
            <w:r w:rsidRPr="005B1871">
              <w:rPr>
                <w:lang w:val="es-ES"/>
              </w:rPr>
              <w:t>Nations</w:t>
            </w:r>
            <w:bookmarkEnd w:id="13"/>
            <w:proofErr w:type="spellEnd"/>
            <w:r w:rsidRPr="005B1871">
              <w:rPr>
                <w:lang w:val="es-ES"/>
              </w:rPr>
              <w:br/>
            </w:r>
            <w:bookmarkStart w:id="14" w:name="lt_pId119"/>
            <w:r w:rsidRPr="005B1871">
              <w:rPr>
                <w:lang w:val="es-ES"/>
              </w:rPr>
              <w:t xml:space="preserve">CH 1211 Ginebra 20, </w:t>
            </w:r>
            <w:bookmarkEnd w:id="14"/>
            <w:r w:rsidRPr="005B1871">
              <w:rPr>
                <w:lang w:val="es-ES"/>
              </w:rPr>
              <w:t>Suiza</w:t>
            </w:r>
          </w:p>
        </w:tc>
        <w:tc>
          <w:tcPr>
            <w:tcW w:w="1242" w:type="dxa"/>
            <w:tcBorders>
              <w:left w:val="single" w:sz="8" w:space="0" w:color="auto"/>
            </w:tcBorders>
            <w:shd w:val="clear" w:color="auto" w:fill="auto"/>
          </w:tcPr>
          <w:p w14:paraId="57327F69" w14:textId="77777777" w:rsidR="004C219D" w:rsidRPr="005B1871" w:rsidRDefault="004C219D" w:rsidP="000E66FA">
            <w:pPr>
              <w:rPr>
                <w:szCs w:val="24"/>
                <w:highlight w:val="yellow"/>
                <w:lang w:val="es-ES"/>
              </w:rPr>
            </w:pPr>
            <w:bookmarkStart w:id="15" w:name="lt_pId120"/>
            <w:r w:rsidRPr="005B1871">
              <w:rPr>
                <w:b/>
                <w:bCs/>
                <w:lang w:val="es-ES"/>
              </w:rPr>
              <w:t>De</w:t>
            </w:r>
            <w:r w:rsidRPr="005B1871">
              <w:rPr>
                <w:lang w:val="es-ES"/>
              </w:rPr>
              <w:t>:</w:t>
            </w:r>
            <w:bookmarkEnd w:id="15"/>
          </w:p>
        </w:tc>
        <w:tc>
          <w:tcPr>
            <w:tcW w:w="3152" w:type="dxa"/>
            <w:shd w:val="clear" w:color="auto" w:fill="auto"/>
          </w:tcPr>
          <w:p w14:paraId="474ED5C2" w14:textId="77777777" w:rsidR="004C219D" w:rsidRPr="005B1871" w:rsidRDefault="004C219D" w:rsidP="000E66FA">
            <w:pPr>
              <w:rPr>
                <w:highlight w:val="green"/>
                <w:lang w:val="es-ES"/>
              </w:rPr>
            </w:pPr>
            <w:bookmarkStart w:id="16" w:name="lt_pId121"/>
            <w:r w:rsidRPr="005B1871">
              <w:rPr>
                <w:highlight w:val="green"/>
                <w:lang w:val="es-ES"/>
              </w:rPr>
              <w:t>[Nombre]</w:t>
            </w:r>
            <w:bookmarkEnd w:id="16"/>
          </w:p>
          <w:p w14:paraId="366B3B8F" w14:textId="77777777" w:rsidR="004C219D" w:rsidRPr="005B1871" w:rsidRDefault="004C219D" w:rsidP="000E66FA">
            <w:pPr>
              <w:rPr>
                <w:highlight w:val="green"/>
                <w:lang w:val="es-ES"/>
              </w:rPr>
            </w:pPr>
            <w:bookmarkStart w:id="17" w:name="lt_pId122"/>
            <w:r w:rsidRPr="005B1871">
              <w:rPr>
                <w:highlight w:val="green"/>
                <w:lang w:val="es-ES"/>
              </w:rPr>
              <w:t>[Cargo oficial/Título]</w:t>
            </w:r>
            <w:bookmarkEnd w:id="17"/>
          </w:p>
          <w:p w14:paraId="4AD8ACBF" w14:textId="77777777" w:rsidR="004C219D" w:rsidRPr="005B1871" w:rsidRDefault="004C219D" w:rsidP="000E66FA">
            <w:pPr>
              <w:rPr>
                <w:szCs w:val="24"/>
                <w:lang w:val="es-ES"/>
              </w:rPr>
            </w:pPr>
            <w:bookmarkStart w:id="18" w:name="lt_pId123"/>
            <w:r w:rsidRPr="005B1871">
              <w:rPr>
                <w:highlight w:val="green"/>
                <w:lang w:val="es-ES"/>
              </w:rPr>
              <w:t>[Dirección]</w:t>
            </w:r>
            <w:bookmarkEnd w:id="18"/>
          </w:p>
        </w:tc>
      </w:tr>
      <w:tr w:rsidR="004C219D" w:rsidRPr="006923C4" w14:paraId="7D316C01" w14:textId="77777777" w:rsidTr="000E66FA">
        <w:tc>
          <w:tcPr>
            <w:tcW w:w="1169" w:type="dxa"/>
            <w:shd w:val="clear" w:color="auto" w:fill="auto"/>
          </w:tcPr>
          <w:p w14:paraId="32C9C621" w14:textId="77777777" w:rsidR="004C219D" w:rsidRPr="005B1871" w:rsidRDefault="004C219D" w:rsidP="000E66FA">
            <w:pPr>
              <w:rPr>
                <w:lang w:val="es-ES"/>
              </w:rPr>
            </w:pPr>
            <w:bookmarkStart w:id="19" w:name="lt_pId124"/>
            <w:r w:rsidRPr="005B1871">
              <w:rPr>
                <w:b/>
                <w:bCs/>
                <w:lang w:val="es-ES"/>
              </w:rPr>
              <w:t>Fax</w:t>
            </w:r>
            <w:r w:rsidRPr="005B1871">
              <w:rPr>
                <w:lang w:val="es-ES"/>
              </w:rPr>
              <w:t>:</w:t>
            </w:r>
            <w:bookmarkEnd w:id="19"/>
          </w:p>
          <w:p w14:paraId="01C2A274" w14:textId="77777777" w:rsidR="004C219D" w:rsidRPr="005B1871" w:rsidRDefault="004C219D" w:rsidP="000E66FA">
            <w:pPr>
              <w:rPr>
                <w:szCs w:val="24"/>
                <w:highlight w:val="yellow"/>
                <w:lang w:val="es-ES"/>
              </w:rPr>
            </w:pPr>
            <w:bookmarkStart w:id="20" w:name="lt_pId125"/>
            <w:r w:rsidRPr="005B1871">
              <w:rPr>
                <w:b/>
                <w:bCs/>
                <w:lang w:val="es-ES"/>
              </w:rPr>
              <w:t>Correo-e</w:t>
            </w:r>
            <w:r w:rsidRPr="005B1871">
              <w:rPr>
                <w:lang w:val="es-ES"/>
              </w:rPr>
              <w:t>:</w:t>
            </w:r>
            <w:bookmarkEnd w:id="20"/>
          </w:p>
        </w:tc>
        <w:tc>
          <w:tcPr>
            <w:tcW w:w="4394" w:type="dxa"/>
            <w:tcBorders>
              <w:right w:val="single" w:sz="8" w:space="0" w:color="auto"/>
            </w:tcBorders>
            <w:shd w:val="clear" w:color="auto" w:fill="auto"/>
          </w:tcPr>
          <w:p w14:paraId="22DEF40A" w14:textId="77777777" w:rsidR="004C219D" w:rsidRPr="005B1871" w:rsidRDefault="004C219D" w:rsidP="000E66FA">
            <w:pPr>
              <w:rPr>
                <w:lang w:val="es-ES"/>
              </w:rPr>
            </w:pPr>
            <w:r w:rsidRPr="005B1871">
              <w:rPr>
                <w:lang w:val="es-ES"/>
              </w:rPr>
              <w:t>+41 22 730 5853</w:t>
            </w:r>
          </w:p>
          <w:p w14:paraId="5E44EA71" w14:textId="77777777" w:rsidR="004C219D" w:rsidRPr="005B1871" w:rsidRDefault="004A5519" w:rsidP="000E66FA">
            <w:pPr>
              <w:rPr>
                <w:szCs w:val="24"/>
                <w:highlight w:val="yellow"/>
                <w:lang w:val="es-ES"/>
              </w:rPr>
            </w:pPr>
            <w:hyperlink r:id="rId13" w:history="1">
              <w:bookmarkStart w:id="21" w:name="lt_pId127"/>
              <w:r w:rsidR="004C219D" w:rsidRPr="005B1871">
                <w:rPr>
                  <w:color w:val="0000FF"/>
                  <w:u w:val="single"/>
                  <w:lang w:val="es-ES"/>
                </w:rPr>
                <w:t>tsbdir@itu.int</w:t>
              </w:r>
              <w:bookmarkEnd w:id="21"/>
            </w:hyperlink>
          </w:p>
        </w:tc>
        <w:tc>
          <w:tcPr>
            <w:tcW w:w="1242" w:type="dxa"/>
            <w:tcBorders>
              <w:left w:val="single" w:sz="8" w:space="0" w:color="auto"/>
            </w:tcBorders>
            <w:shd w:val="clear" w:color="auto" w:fill="auto"/>
          </w:tcPr>
          <w:p w14:paraId="14E2D47C" w14:textId="77777777" w:rsidR="004C219D" w:rsidRPr="005B1871" w:rsidRDefault="004C219D" w:rsidP="000E66FA">
            <w:pPr>
              <w:rPr>
                <w:lang w:val="es-ES"/>
              </w:rPr>
            </w:pPr>
            <w:bookmarkStart w:id="22" w:name="lt_pId128"/>
            <w:r w:rsidRPr="005B1871">
              <w:rPr>
                <w:b/>
                <w:bCs/>
                <w:lang w:val="es-ES"/>
              </w:rPr>
              <w:t>Fax</w:t>
            </w:r>
            <w:r w:rsidRPr="005B1871">
              <w:rPr>
                <w:lang w:val="es-ES"/>
              </w:rPr>
              <w:t>:</w:t>
            </w:r>
            <w:bookmarkEnd w:id="22"/>
          </w:p>
          <w:p w14:paraId="5CFE4DF2" w14:textId="77777777" w:rsidR="004C219D" w:rsidRPr="005B1871" w:rsidRDefault="004C219D" w:rsidP="000E66FA">
            <w:pPr>
              <w:rPr>
                <w:szCs w:val="24"/>
                <w:highlight w:val="yellow"/>
                <w:lang w:val="es-ES"/>
              </w:rPr>
            </w:pPr>
            <w:bookmarkStart w:id="23" w:name="lt_pId129"/>
            <w:r w:rsidRPr="005B1871">
              <w:rPr>
                <w:b/>
                <w:bCs/>
                <w:lang w:val="es-ES"/>
              </w:rPr>
              <w:t>Correo-e</w:t>
            </w:r>
            <w:r w:rsidRPr="005B1871">
              <w:rPr>
                <w:lang w:val="es-ES"/>
              </w:rPr>
              <w:t>:</w:t>
            </w:r>
            <w:bookmarkEnd w:id="23"/>
          </w:p>
        </w:tc>
        <w:tc>
          <w:tcPr>
            <w:tcW w:w="3152" w:type="dxa"/>
            <w:shd w:val="clear" w:color="auto" w:fill="auto"/>
          </w:tcPr>
          <w:p w14:paraId="23011FE5" w14:textId="77777777" w:rsidR="004C219D" w:rsidRPr="005B1871" w:rsidRDefault="004C219D" w:rsidP="000E66FA">
            <w:pPr>
              <w:rPr>
                <w:szCs w:val="24"/>
                <w:lang w:val="es-ES"/>
              </w:rPr>
            </w:pPr>
          </w:p>
        </w:tc>
      </w:tr>
      <w:tr w:rsidR="004C219D" w:rsidRPr="006923C4" w14:paraId="31265E08" w14:textId="77777777" w:rsidTr="000E66FA">
        <w:tc>
          <w:tcPr>
            <w:tcW w:w="1169" w:type="dxa"/>
            <w:shd w:val="clear" w:color="auto" w:fill="auto"/>
          </w:tcPr>
          <w:p w14:paraId="6C095E11" w14:textId="77777777" w:rsidR="004C219D" w:rsidRPr="005B1871" w:rsidRDefault="004C219D" w:rsidP="000E66FA">
            <w:pPr>
              <w:rPr>
                <w:szCs w:val="24"/>
                <w:lang w:val="es-ES"/>
              </w:rPr>
            </w:pPr>
          </w:p>
        </w:tc>
        <w:tc>
          <w:tcPr>
            <w:tcW w:w="4394" w:type="dxa"/>
            <w:tcBorders>
              <w:right w:val="single" w:sz="8" w:space="0" w:color="auto"/>
            </w:tcBorders>
            <w:shd w:val="clear" w:color="auto" w:fill="auto"/>
          </w:tcPr>
          <w:p w14:paraId="3E6AAE2F" w14:textId="77777777" w:rsidR="004C219D" w:rsidRPr="005B1871" w:rsidRDefault="004C219D" w:rsidP="000E66FA">
            <w:pPr>
              <w:rPr>
                <w:szCs w:val="24"/>
                <w:lang w:val="es-ES"/>
              </w:rPr>
            </w:pPr>
          </w:p>
        </w:tc>
        <w:tc>
          <w:tcPr>
            <w:tcW w:w="1242" w:type="dxa"/>
            <w:tcBorders>
              <w:left w:val="single" w:sz="8" w:space="0" w:color="auto"/>
            </w:tcBorders>
            <w:shd w:val="clear" w:color="auto" w:fill="auto"/>
          </w:tcPr>
          <w:p w14:paraId="1DA90C3B" w14:textId="77777777" w:rsidR="004C219D" w:rsidRPr="005B1871" w:rsidRDefault="004C219D" w:rsidP="000E66FA">
            <w:pPr>
              <w:rPr>
                <w:szCs w:val="24"/>
                <w:highlight w:val="yellow"/>
                <w:lang w:val="es-ES"/>
              </w:rPr>
            </w:pPr>
            <w:bookmarkStart w:id="24" w:name="lt_pId130"/>
            <w:r w:rsidRPr="005B1871">
              <w:rPr>
                <w:b/>
                <w:bCs/>
                <w:lang w:val="es-ES"/>
              </w:rPr>
              <w:t>Fecha</w:t>
            </w:r>
            <w:r w:rsidRPr="005B1871">
              <w:rPr>
                <w:lang w:val="es-ES"/>
              </w:rPr>
              <w:t>:</w:t>
            </w:r>
            <w:bookmarkEnd w:id="24"/>
          </w:p>
        </w:tc>
        <w:tc>
          <w:tcPr>
            <w:tcW w:w="3152" w:type="dxa"/>
            <w:shd w:val="clear" w:color="auto" w:fill="auto"/>
          </w:tcPr>
          <w:p w14:paraId="7946EE06" w14:textId="77777777" w:rsidR="004C219D" w:rsidRPr="005B1871" w:rsidRDefault="004C219D" w:rsidP="000E66FA">
            <w:pPr>
              <w:rPr>
                <w:szCs w:val="24"/>
                <w:lang w:val="es-ES"/>
              </w:rPr>
            </w:pPr>
            <w:bookmarkStart w:id="25" w:name="lt_pId131"/>
            <w:r w:rsidRPr="005B1871">
              <w:rPr>
                <w:highlight w:val="green"/>
                <w:lang w:val="es-ES"/>
              </w:rPr>
              <w:t>[Lugar,] [Fecha]</w:t>
            </w:r>
            <w:bookmarkEnd w:id="25"/>
          </w:p>
        </w:tc>
      </w:tr>
    </w:tbl>
    <w:p w14:paraId="27F22A81" w14:textId="77777777" w:rsidR="004C219D" w:rsidRPr="005B1871" w:rsidRDefault="004C219D" w:rsidP="00240691">
      <w:pPr>
        <w:pStyle w:val="Normalaftertitle0"/>
        <w:rPr>
          <w:lang w:val="es-ES"/>
        </w:rPr>
      </w:pPr>
      <w:bookmarkStart w:id="26" w:name="lt_pId132"/>
      <w:r w:rsidRPr="005B1871">
        <w:rPr>
          <w:lang w:val="es-ES"/>
        </w:rPr>
        <w:t>Estimado(a) Señor(a):</w:t>
      </w:r>
      <w:bookmarkEnd w:id="26"/>
    </w:p>
    <w:p w14:paraId="1055694A" w14:textId="77777777" w:rsidR="004C219D" w:rsidRPr="005B1871" w:rsidRDefault="004C219D" w:rsidP="004C219D">
      <w:pPr>
        <w:spacing w:after="120"/>
        <w:rPr>
          <w:lang w:val="es-ES"/>
        </w:rPr>
      </w:pPr>
      <w:bookmarkStart w:id="27" w:name="lt_pId133"/>
      <w:r w:rsidRPr="005B1871">
        <w:rPr>
          <w:lang w:val="es-ES"/>
        </w:rPr>
        <w:t>En lo que respecta a la Consulta a los Estados Miembros sobre el proyecto de texto determinado que figura en la Circular 205 de la TSB, deseo informarle de la opinión de esta Administración, que se refleja en el siguiente cuadro:</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403"/>
      </w:tblGrid>
      <w:tr w:rsidR="004C219D" w:rsidRPr="006923C4" w14:paraId="75BE0B0A" w14:textId="77777777" w:rsidTr="000E66FA">
        <w:trPr>
          <w:tblHeader/>
        </w:trPr>
        <w:tc>
          <w:tcPr>
            <w:tcW w:w="2235" w:type="dxa"/>
            <w:shd w:val="clear" w:color="auto" w:fill="auto"/>
            <w:vAlign w:val="center"/>
          </w:tcPr>
          <w:p w14:paraId="37B4E7DE" w14:textId="77777777" w:rsidR="004C219D" w:rsidRPr="005B1871" w:rsidRDefault="004C219D" w:rsidP="00BF27EB">
            <w:pPr>
              <w:pStyle w:val="Tablehead0"/>
              <w:rPr>
                <w:lang w:val="es-ES"/>
              </w:rPr>
            </w:pPr>
            <w:bookmarkStart w:id="28" w:name="lt_pId163"/>
          </w:p>
        </w:tc>
        <w:tc>
          <w:tcPr>
            <w:tcW w:w="7484" w:type="dxa"/>
            <w:shd w:val="clear" w:color="auto" w:fill="auto"/>
            <w:vAlign w:val="center"/>
          </w:tcPr>
          <w:p w14:paraId="322FFB07" w14:textId="77777777" w:rsidR="004C219D" w:rsidRPr="000E66FA" w:rsidRDefault="004C219D" w:rsidP="00BF27EB">
            <w:pPr>
              <w:pStyle w:val="Tablehead0"/>
              <w:rPr>
                <w:highlight w:val="yellow"/>
                <w:lang w:val="es-ES"/>
              </w:rPr>
            </w:pPr>
            <w:r w:rsidRPr="000E66FA">
              <w:rPr>
                <w:lang w:val="es-ES"/>
              </w:rPr>
              <w:t>Seleccione una de las dos casillas</w:t>
            </w:r>
          </w:p>
        </w:tc>
      </w:tr>
      <w:tr w:rsidR="004C219D" w:rsidRPr="006923C4" w14:paraId="5985A7A4" w14:textId="77777777" w:rsidTr="000E66FA">
        <w:trPr>
          <w:trHeight w:val="748"/>
        </w:trPr>
        <w:tc>
          <w:tcPr>
            <w:tcW w:w="2235" w:type="dxa"/>
            <w:vMerge w:val="restart"/>
            <w:shd w:val="clear" w:color="auto" w:fill="auto"/>
            <w:vAlign w:val="center"/>
          </w:tcPr>
          <w:p w14:paraId="16BA7420" w14:textId="6917A4D8" w:rsidR="004C219D" w:rsidRPr="00BF27EB" w:rsidRDefault="004C219D" w:rsidP="00BF27EB">
            <w:pPr>
              <w:pStyle w:val="Tabletext0"/>
              <w:jc w:val="center"/>
              <w:rPr>
                <w:b/>
                <w:bCs/>
                <w:lang w:val="es-ES"/>
              </w:rPr>
            </w:pPr>
            <w:r w:rsidRPr="00BF27EB">
              <w:rPr>
                <w:b/>
                <w:bCs/>
                <w:lang w:val="es-ES"/>
              </w:rPr>
              <w:t>Proyecto de nueva Recomendación UIT</w:t>
            </w:r>
            <w:r w:rsidR="006B063C">
              <w:rPr>
                <w:b/>
                <w:bCs/>
                <w:lang w:val="es-ES"/>
              </w:rPr>
              <w:noBreakHyphen/>
            </w:r>
            <w:r w:rsidRPr="00BF27EB">
              <w:rPr>
                <w:b/>
                <w:bCs/>
                <w:lang w:val="es-ES"/>
              </w:rPr>
              <w:t>T</w:t>
            </w:r>
            <w:r w:rsidR="006B063C">
              <w:rPr>
                <w:b/>
                <w:bCs/>
                <w:lang w:val="es-ES"/>
              </w:rPr>
              <w:t> </w:t>
            </w:r>
            <w:r w:rsidRPr="00BF27EB">
              <w:rPr>
                <w:b/>
                <w:bCs/>
                <w:lang w:val="es-ES"/>
              </w:rPr>
              <w:t>Q.5051</w:t>
            </w:r>
            <w:r w:rsidRPr="00BF27EB">
              <w:rPr>
                <w:b/>
                <w:bCs/>
                <w:lang w:val="es-ES"/>
              </w:rPr>
              <w:br/>
              <w:t>(ex Q.FW_CSM)</w:t>
            </w:r>
          </w:p>
        </w:tc>
        <w:tc>
          <w:tcPr>
            <w:tcW w:w="7484" w:type="dxa"/>
            <w:shd w:val="clear" w:color="auto" w:fill="auto"/>
            <w:vAlign w:val="center"/>
          </w:tcPr>
          <w:p w14:paraId="0A059BE9" w14:textId="77777777" w:rsidR="004C219D" w:rsidRPr="005B1871" w:rsidRDefault="004C219D" w:rsidP="00BF27EB">
            <w:pPr>
              <w:pStyle w:val="Tabletext0"/>
              <w:tabs>
                <w:tab w:val="clear" w:pos="284"/>
                <w:tab w:val="clear" w:pos="567"/>
                <w:tab w:val="left" w:pos="749"/>
              </w:tabs>
              <w:ind w:left="749" w:hanging="749"/>
              <w:rPr>
                <w:lang w:val="es-ES"/>
              </w:rPr>
            </w:pPr>
            <w:r w:rsidRPr="005B1871">
              <w:rPr>
                <w:sz w:val="20"/>
                <w:lang w:val="es-ES"/>
              </w:rPr>
              <w:fldChar w:fldCharType="begin">
                <w:ffData>
                  <w:name w:val="Check1"/>
                  <w:enabled/>
                  <w:calcOnExit w:val="0"/>
                  <w:checkBox>
                    <w:sizeAuto/>
                    <w:default w:val="0"/>
                  </w:checkBox>
                </w:ffData>
              </w:fldChar>
            </w:r>
            <w:r w:rsidRPr="005B1871">
              <w:rPr>
                <w:sz w:val="20"/>
                <w:lang w:val="es-ES"/>
              </w:rPr>
              <w:instrText xml:space="preserve"> FORMCHECKBOX </w:instrText>
            </w:r>
            <w:r w:rsidR="004A5519">
              <w:rPr>
                <w:sz w:val="20"/>
                <w:lang w:val="es-ES"/>
              </w:rPr>
            </w:r>
            <w:r w:rsidR="004A5519">
              <w:rPr>
                <w:sz w:val="20"/>
                <w:lang w:val="es-ES"/>
              </w:rPr>
              <w:fldChar w:fldCharType="separate"/>
            </w:r>
            <w:r w:rsidRPr="005B1871">
              <w:rPr>
                <w:sz w:val="20"/>
                <w:lang w:val="es-ES"/>
              </w:rPr>
              <w:fldChar w:fldCharType="end"/>
            </w:r>
            <w:r w:rsidRPr="005B1871">
              <w:rPr>
                <w:sz w:val="18"/>
                <w:szCs w:val="18"/>
                <w:lang w:val="es-ES"/>
              </w:rPr>
              <w:tab/>
            </w:r>
            <w:bookmarkStart w:id="29" w:name="lt_pId136"/>
            <w:r w:rsidRPr="000E66FA">
              <w:rPr>
                <w:b/>
                <w:bCs/>
                <w:lang w:val="es-ES"/>
              </w:rPr>
              <w:t>otorga autoridad</w:t>
            </w:r>
            <w:r w:rsidRPr="005B1871">
              <w:rPr>
                <w:lang w:val="es-ES"/>
              </w:rPr>
              <w:t xml:space="preserve"> a la Comisión de Estudio 11 a fin de examinar este texto para aprobación (en cuyo caso seleccionará una de las dos opciones </w:t>
            </w:r>
            <w:r w:rsidRPr="005B1871">
              <w:rPr>
                <w:sz w:val="18"/>
                <w:szCs w:val="18"/>
                <w:lang w:val="es-ES"/>
              </w:rPr>
              <w:t>⃝</w:t>
            </w:r>
            <w:r w:rsidRPr="005B1871">
              <w:rPr>
                <w:lang w:val="es-ES"/>
              </w:rPr>
              <w:t>):</w:t>
            </w:r>
            <w:bookmarkEnd w:id="29"/>
          </w:p>
          <w:p w14:paraId="143AFA89" w14:textId="77777777" w:rsidR="004C219D" w:rsidRPr="005B1871" w:rsidRDefault="004C219D" w:rsidP="00BF27EB">
            <w:pPr>
              <w:pStyle w:val="Tabletext0"/>
              <w:ind w:left="748"/>
              <w:rPr>
                <w:lang w:val="es-ES"/>
              </w:rPr>
            </w:pPr>
            <w:r w:rsidRPr="005B1871">
              <w:rPr>
                <w:sz w:val="18"/>
                <w:szCs w:val="18"/>
                <w:lang w:val="es-ES"/>
              </w:rPr>
              <w:t>⃝</w:t>
            </w:r>
            <w:r w:rsidRPr="005B1871">
              <w:rPr>
                <w:sz w:val="18"/>
                <w:szCs w:val="18"/>
                <w:lang w:val="es-ES"/>
              </w:rPr>
              <w:tab/>
            </w:r>
            <w:bookmarkStart w:id="30" w:name="lt_pId138"/>
            <w:r w:rsidRPr="005B1871">
              <w:rPr>
                <w:lang w:val="es-ES"/>
              </w:rPr>
              <w:t>Sin comentarios o cambios sugeridos</w:t>
            </w:r>
            <w:bookmarkEnd w:id="30"/>
          </w:p>
          <w:p w14:paraId="35AA18C9" w14:textId="77777777" w:rsidR="004C219D" w:rsidRPr="005B1871" w:rsidRDefault="004C219D" w:rsidP="00BF27EB">
            <w:pPr>
              <w:pStyle w:val="Tabletext0"/>
              <w:ind w:left="748"/>
              <w:rPr>
                <w:highlight w:val="yellow"/>
                <w:lang w:val="es-ES"/>
              </w:rPr>
            </w:pPr>
            <w:r w:rsidRPr="005B1871">
              <w:rPr>
                <w:sz w:val="18"/>
                <w:szCs w:val="18"/>
                <w:lang w:val="es-ES"/>
              </w:rPr>
              <w:t>⃝</w:t>
            </w:r>
            <w:r w:rsidRPr="005B1871">
              <w:rPr>
                <w:sz w:val="18"/>
                <w:szCs w:val="18"/>
                <w:lang w:val="es-ES"/>
              </w:rPr>
              <w:tab/>
            </w:r>
            <w:bookmarkStart w:id="31" w:name="lt_pId140"/>
            <w:r w:rsidRPr="005B1871">
              <w:rPr>
                <w:lang w:val="es-ES"/>
              </w:rPr>
              <w:t>Se adjuntan los</w:t>
            </w:r>
            <w:r w:rsidRPr="005B1871">
              <w:rPr>
                <w:sz w:val="18"/>
                <w:szCs w:val="18"/>
                <w:lang w:val="es-ES"/>
              </w:rPr>
              <w:t xml:space="preserve"> </w:t>
            </w:r>
            <w:r w:rsidRPr="005B1871">
              <w:rPr>
                <w:lang w:val="es-ES"/>
              </w:rPr>
              <w:t>comentarios o cambios sugeridos</w:t>
            </w:r>
            <w:bookmarkEnd w:id="31"/>
          </w:p>
        </w:tc>
      </w:tr>
      <w:tr w:rsidR="004C219D" w:rsidRPr="006923C4" w14:paraId="079F071C" w14:textId="77777777" w:rsidTr="000E66FA">
        <w:trPr>
          <w:trHeight w:val="747"/>
        </w:trPr>
        <w:tc>
          <w:tcPr>
            <w:tcW w:w="2235" w:type="dxa"/>
            <w:vMerge/>
            <w:shd w:val="clear" w:color="auto" w:fill="auto"/>
            <w:vAlign w:val="center"/>
          </w:tcPr>
          <w:p w14:paraId="777D297F" w14:textId="77777777" w:rsidR="004C219D" w:rsidRPr="005B1871" w:rsidRDefault="004C219D" w:rsidP="000E66FA">
            <w:pPr>
              <w:rPr>
                <w:lang w:val="es-ES"/>
              </w:rPr>
            </w:pPr>
          </w:p>
        </w:tc>
        <w:tc>
          <w:tcPr>
            <w:tcW w:w="7484" w:type="dxa"/>
            <w:shd w:val="clear" w:color="auto" w:fill="auto"/>
            <w:vAlign w:val="center"/>
          </w:tcPr>
          <w:p w14:paraId="17ADF50F" w14:textId="77777777" w:rsidR="004C219D" w:rsidRPr="005B1871" w:rsidRDefault="004C219D" w:rsidP="00BF27EB">
            <w:pPr>
              <w:pStyle w:val="Tabletext0"/>
              <w:tabs>
                <w:tab w:val="clear" w:pos="284"/>
                <w:tab w:val="clear" w:pos="567"/>
                <w:tab w:val="left" w:pos="749"/>
              </w:tabs>
              <w:ind w:left="749" w:hanging="749"/>
              <w:rPr>
                <w:sz w:val="20"/>
                <w:highlight w:val="yellow"/>
                <w:lang w:val="es-ES"/>
              </w:rPr>
            </w:pPr>
            <w:r w:rsidRPr="005B1871">
              <w:rPr>
                <w:sz w:val="20"/>
                <w:lang w:val="es-ES"/>
              </w:rPr>
              <w:fldChar w:fldCharType="begin">
                <w:ffData>
                  <w:name w:val="Check1"/>
                  <w:enabled/>
                  <w:calcOnExit w:val="0"/>
                  <w:checkBox>
                    <w:sizeAuto/>
                    <w:default w:val="0"/>
                  </w:checkBox>
                </w:ffData>
              </w:fldChar>
            </w:r>
            <w:r w:rsidRPr="005B1871">
              <w:rPr>
                <w:sz w:val="20"/>
                <w:lang w:val="es-ES"/>
              </w:rPr>
              <w:instrText xml:space="preserve"> FORMCHECKBOX </w:instrText>
            </w:r>
            <w:r w:rsidR="004A5519">
              <w:rPr>
                <w:sz w:val="20"/>
                <w:lang w:val="es-ES"/>
              </w:rPr>
            </w:r>
            <w:r w:rsidR="004A5519">
              <w:rPr>
                <w:sz w:val="20"/>
                <w:lang w:val="es-ES"/>
              </w:rPr>
              <w:fldChar w:fldCharType="separate"/>
            </w:r>
            <w:r w:rsidRPr="005B1871">
              <w:rPr>
                <w:sz w:val="20"/>
                <w:lang w:val="es-ES"/>
              </w:rPr>
              <w:fldChar w:fldCharType="end"/>
            </w:r>
            <w:r w:rsidRPr="005B1871">
              <w:rPr>
                <w:sz w:val="20"/>
                <w:lang w:val="es-ES"/>
              </w:rPr>
              <w:tab/>
            </w:r>
            <w:bookmarkStart w:id="32" w:name="lt_pId141"/>
            <w:r w:rsidRPr="000E66FA">
              <w:rPr>
                <w:b/>
                <w:bCs/>
                <w:szCs w:val="22"/>
                <w:lang w:val="es-ES"/>
              </w:rPr>
              <w:t>no otorga autoridad</w:t>
            </w:r>
            <w:r w:rsidRPr="005B1871">
              <w:rPr>
                <w:szCs w:val="22"/>
                <w:lang w:val="es-ES"/>
              </w:rPr>
              <w:t xml:space="preserve"> a la </w:t>
            </w:r>
            <w:r w:rsidRPr="00BF27EB">
              <w:rPr>
                <w:sz w:val="20"/>
                <w:lang w:val="es-ES"/>
              </w:rPr>
              <w:t>Comisión</w:t>
            </w:r>
            <w:r w:rsidRPr="005B1871">
              <w:rPr>
                <w:szCs w:val="22"/>
                <w:lang w:val="es-ES"/>
              </w:rPr>
              <w:t xml:space="preserve"> de Estudio 11 a fin de examinar este texto para aprobación (se adjuntan los motivos para esta opinión y las posibles modificaciones que permitirían </w:t>
            </w:r>
            <w:r w:rsidRPr="005B1871">
              <w:rPr>
                <w:lang w:val="es-ES"/>
              </w:rPr>
              <w:t>que prosiguieran los trabajos)</w:t>
            </w:r>
            <w:bookmarkEnd w:id="32"/>
          </w:p>
        </w:tc>
      </w:tr>
    </w:tbl>
    <w:p w14:paraId="7AE07BA9" w14:textId="77777777" w:rsidR="004C219D" w:rsidRPr="005B1871" w:rsidRDefault="004C219D" w:rsidP="00240691">
      <w:pPr>
        <w:pStyle w:val="Normalaftertitle0"/>
        <w:rPr>
          <w:lang w:val="es-ES"/>
        </w:rPr>
      </w:pPr>
      <w:r w:rsidRPr="005B1871">
        <w:rPr>
          <w:lang w:val="es-ES"/>
        </w:rPr>
        <w:t>Atentamente,</w:t>
      </w:r>
      <w:bookmarkEnd w:id="28"/>
    </w:p>
    <w:p w14:paraId="10F4EEF8" w14:textId="77777777" w:rsidR="004C219D" w:rsidRPr="005B1871" w:rsidRDefault="004C219D" w:rsidP="00BF27EB">
      <w:pPr>
        <w:spacing w:before="480"/>
        <w:rPr>
          <w:szCs w:val="24"/>
          <w:highlight w:val="green"/>
          <w:lang w:val="es-ES"/>
        </w:rPr>
      </w:pPr>
      <w:bookmarkStart w:id="33" w:name="lt_pId164"/>
      <w:r w:rsidRPr="005B1871">
        <w:rPr>
          <w:szCs w:val="24"/>
          <w:highlight w:val="green"/>
          <w:lang w:val="es-ES"/>
        </w:rPr>
        <w:t>[Nombre]</w:t>
      </w:r>
      <w:bookmarkEnd w:id="33"/>
    </w:p>
    <w:p w14:paraId="1F805B37" w14:textId="77777777" w:rsidR="004C219D" w:rsidRPr="005B1871" w:rsidRDefault="004C219D" w:rsidP="004C219D">
      <w:pPr>
        <w:spacing w:before="0"/>
        <w:rPr>
          <w:szCs w:val="24"/>
          <w:lang w:val="es-ES"/>
        </w:rPr>
      </w:pPr>
      <w:bookmarkStart w:id="34" w:name="lt_pId165"/>
      <w:r w:rsidRPr="005B1871">
        <w:rPr>
          <w:szCs w:val="24"/>
          <w:highlight w:val="green"/>
          <w:lang w:val="es-ES"/>
        </w:rPr>
        <w:t>[Cargo oficial/Título]</w:t>
      </w:r>
      <w:bookmarkEnd w:id="34"/>
    </w:p>
    <w:p w14:paraId="1A380C86" w14:textId="13AD4C4D" w:rsidR="004C219D" w:rsidRDefault="004C219D" w:rsidP="004C219D">
      <w:pPr>
        <w:spacing w:before="0"/>
        <w:rPr>
          <w:szCs w:val="24"/>
          <w:lang w:val="es-ES"/>
        </w:rPr>
      </w:pPr>
      <w:bookmarkStart w:id="35" w:name="lt_pId166"/>
      <w:r w:rsidRPr="005B1871">
        <w:rPr>
          <w:szCs w:val="24"/>
          <w:lang w:val="es-ES"/>
        </w:rPr>
        <w:t xml:space="preserve">Administración de </w:t>
      </w:r>
      <w:r w:rsidRPr="005B1871">
        <w:rPr>
          <w:szCs w:val="24"/>
          <w:highlight w:val="green"/>
          <w:lang w:val="es-ES"/>
        </w:rPr>
        <w:t>[Estado Miembro]</w:t>
      </w:r>
      <w:bookmarkEnd w:id="35"/>
    </w:p>
    <w:p w14:paraId="7A54EE46" w14:textId="12862DE1" w:rsidR="008C348E" w:rsidRPr="005B1871" w:rsidRDefault="008C348E" w:rsidP="008C348E">
      <w:pPr>
        <w:spacing w:before="240" w:after="120"/>
        <w:jc w:val="center"/>
        <w:rPr>
          <w:szCs w:val="24"/>
          <w:lang w:val="es-ES"/>
        </w:rPr>
      </w:pPr>
      <w:r>
        <w:rPr>
          <w:szCs w:val="24"/>
          <w:lang w:val="es-ES"/>
        </w:rPr>
        <w:t>________________</w:t>
      </w:r>
    </w:p>
    <w:sectPr w:rsidR="008C348E" w:rsidRPr="005B1871"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DCC07" w14:textId="77777777" w:rsidR="004C219D" w:rsidRDefault="004C219D">
      <w:r>
        <w:separator/>
      </w:r>
    </w:p>
  </w:endnote>
  <w:endnote w:type="continuationSeparator" w:id="0">
    <w:p w14:paraId="5ACBEFD2" w14:textId="77777777" w:rsidR="004C219D" w:rsidRDefault="004C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B891" w14:textId="70116D0F"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BF27EB">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89D06" w14:textId="77777777" w:rsidR="004C219D" w:rsidRDefault="004C219D">
      <w:r>
        <w:t>____________________</w:t>
      </w:r>
    </w:p>
  </w:footnote>
  <w:footnote w:type="continuationSeparator" w:id="0">
    <w:p w14:paraId="50D23B29" w14:textId="77777777" w:rsidR="004C219D" w:rsidRDefault="004C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9A97" w14:textId="7D8BE360" w:rsidR="00A11EDE" w:rsidRPr="00A11EDE" w:rsidRDefault="00A11EDE" w:rsidP="00A11EDE">
    <w:pPr>
      <w:pStyle w:val="Header"/>
      <w:rPr>
        <w:sz w:val="18"/>
        <w:szCs w:val="18"/>
      </w:rPr>
    </w:pPr>
    <w:r w:rsidRPr="00A11EDE">
      <w:rPr>
        <w:sz w:val="18"/>
        <w:szCs w:val="18"/>
      </w:rPr>
      <w:t xml:space="preserve">- </w:t>
    </w:r>
    <w:r w:rsidRPr="00A11EDE">
      <w:rPr>
        <w:sz w:val="18"/>
        <w:szCs w:val="18"/>
      </w:rPr>
      <w:fldChar w:fldCharType="begin"/>
    </w:r>
    <w:r w:rsidRPr="00A11EDE">
      <w:rPr>
        <w:sz w:val="18"/>
        <w:szCs w:val="18"/>
      </w:rPr>
      <w:instrText xml:space="preserve"> PAGE </w:instrText>
    </w:r>
    <w:r w:rsidRPr="00A11EDE">
      <w:rPr>
        <w:sz w:val="18"/>
        <w:szCs w:val="18"/>
      </w:rPr>
      <w:fldChar w:fldCharType="separate"/>
    </w:r>
    <w:r w:rsidR="004A5519">
      <w:rPr>
        <w:noProof/>
        <w:sz w:val="18"/>
        <w:szCs w:val="18"/>
      </w:rPr>
      <w:t>2</w:t>
    </w:r>
    <w:r w:rsidRPr="00A11EDE">
      <w:rPr>
        <w:sz w:val="18"/>
        <w:szCs w:val="18"/>
      </w:rPr>
      <w:fldChar w:fldCharType="end"/>
    </w:r>
    <w:r w:rsidRPr="00A11EDE">
      <w:rPr>
        <w:sz w:val="18"/>
        <w:szCs w:val="18"/>
      </w:rPr>
      <w:t xml:space="preserve"> -</w:t>
    </w:r>
  </w:p>
  <w:p w14:paraId="3B6A37D2" w14:textId="60507F19" w:rsidR="006969B4" w:rsidRPr="00A11EDE" w:rsidRDefault="00A11EDE" w:rsidP="00A11EDE">
    <w:pPr>
      <w:pStyle w:val="Header"/>
      <w:rPr>
        <w:sz w:val="18"/>
        <w:szCs w:val="18"/>
      </w:rPr>
    </w:pPr>
    <w:r w:rsidRPr="00A11EDE">
      <w:rPr>
        <w:sz w:val="18"/>
        <w:szCs w:val="18"/>
        <w:lang w:val="en-GB"/>
      </w:rPr>
      <w:t>Circular TSB 20</w:t>
    </w:r>
    <w:r>
      <w:rPr>
        <w:sz w:val="18"/>
        <w:szCs w:val="18"/>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9D"/>
    <w:rsid w:val="00002529"/>
    <w:rsid w:val="00085662"/>
    <w:rsid w:val="000C3343"/>
    <w:rsid w:val="000C382F"/>
    <w:rsid w:val="000E66FA"/>
    <w:rsid w:val="001173CC"/>
    <w:rsid w:val="0014464D"/>
    <w:rsid w:val="001A54CC"/>
    <w:rsid w:val="00240691"/>
    <w:rsid w:val="00257FB4"/>
    <w:rsid w:val="002E496E"/>
    <w:rsid w:val="00303D62"/>
    <w:rsid w:val="00335367"/>
    <w:rsid w:val="00337A82"/>
    <w:rsid w:val="00370C2D"/>
    <w:rsid w:val="00394EAA"/>
    <w:rsid w:val="003D1E8D"/>
    <w:rsid w:val="003D673B"/>
    <w:rsid w:val="003F2855"/>
    <w:rsid w:val="00401C20"/>
    <w:rsid w:val="004414BA"/>
    <w:rsid w:val="00473C0B"/>
    <w:rsid w:val="004A5519"/>
    <w:rsid w:val="004A7957"/>
    <w:rsid w:val="004C219D"/>
    <w:rsid w:val="004C4144"/>
    <w:rsid w:val="00516F87"/>
    <w:rsid w:val="0055719E"/>
    <w:rsid w:val="005F323F"/>
    <w:rsid w:val="00662072"/>
    <w:rsid w:val="006969B4"/>
    <w:rsid w:val="006B063C"/>
    <w:rsid w:val="006E4F7B"/>
    <w:rsid w:val="00781E2A"/>
    <w:rsid w:val="007933A2"/>
    <w:rsid w:val="007B6316"/>
    <w:rsid w:val="00814503"/>
    <w:rsid w:val="008258C2"/>
    <w:rsid w:val="008505BD"/>
    <w:rsid w:val="00850C78"/>
    <w:rsid w:val="00876165"/>
    <w:rsid w:val="00884D12"/>
    <w:rsid w:val="008C17AD"/>
    <w:rsid w:val="008C348E"/>
    <w:rsid w:val="008D02CD"/>
    <w:rsid w:val="0091370C"/>
    <w:rsid w:val="0095172A"/>
    <w:rsid w:val="009A0BA0"/>
    <w:rsid w:val="00A00386"/>
    <w:rsid w:val="00A11EDE"/>
    <w:rsid w:val="00A54E47"/>
    <w:rsid w:val="00AB6E3A"/>
    <w:rsid w:val="00AE7093"/>
    <w:rsid w:val="00B422BC"/>
    <w:rsid w:val="00B43F77"/>
    <w:rsid w:val="00B55A3E"/>
    <w:rsid w:val="00B87E9E"/>
    <w:rsid w:val="00B95F0A"/>
    <w:rsid w:val="00B96180"/>
    <w:rsid w:val="00BF27EB"/>
    <w:rsid w:val="00C116FE"/>
    <w:rsid w:val="00C17AC0"/>
    <w:rsid w:val="00C34772"/>
    <w:rsid w:val="00C5465A"/>
    <w:rsid w:val="00D54642"/>
    <w:rsid w:val="00DD77C9"/>
    <w:rsid w:val="00DF3538"/>
    <w:rsid w:val="00E839B0"/>
    <w:rsid w:val="00E92C09"/>
    <w:rsid w:val="00F14380"/>
    <w:rsid w:val="00F6461F"/>
    <w:rsid w:val="00FA492B"/>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106EB5"/>
  <w15:docId w15:val="{675B4783-3E46-4CBA-8F9E-F7679927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4C219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240691"/>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1-R-0025/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6577-5B53-4F62-8537-130C2A79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12</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7293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2019-11-08T08:05:00Z</cp:lastPrinted>
  <dcterms:created xsi:type="dcterms:W3CDTF">2019-12-20T13:06:00Z</dcterms:created>
  <dcterms:modified xsi:type="dcterms:W3CDTF">2019-12-20T13:55:00Z</dcterms:modified>
</cp:coreProperties>
</file>