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8" w:type="dxa"/>
        <w:tblLayout w:type="fixed"/>
        <w:tblCellMar>
          <w:left w:w="0" w:type="dxa"/>
          <w:right w:w="0" w:type="dxa"/>
        </w:tblCellMar>
        <w:tblLook w:val="0000" w:firstRow="0" w:lastRow="0" w:firstColumn="0" w:lastColumn="0" w:noHBand="0" w:noVBand="0"/>
      </w:tblPr>
      <w:tblGrid>
        <w:gridCol w:w="1126"/>
        <w:gridCol w:w="284"/>
        <w:gridCol w:w="3467"/>
        <w:gridCol w:w="5329"/>
      </w:tblGrid>
      <w:tr w:rsidR="007B6316" w14:paraId="26D7A6C4" w14:textId="77777777" w:rsidTr="007B6316">
        <w:trPr>
          <w:cantSplit/>
          <w:trHeight w:val="340"/>
        </w:trPr>
        <w:tc>
          <w:tcPr>
            <w:tcW w:w="1410" w:type="dxa"/>
            <w:gridSpan w:val="2"/>
          </w:tcPr>
          <w:p w14:paraId="4E000884" w14:textId="77777777" w:rsidR="007B6316" w:rsidRDefault="007B6316" w:rsidP="00303D62">
            <w:pPr>
              <w:tabs>
                <w:tab w:val="left" w:pos="4111"/>
              </w:tabs>
              <w:spacing w:before="10"/>
              <w:ind w:left="57"/>
              <w:rPr>
                <w:sz w:val="22"/>
              </w:rPr>
            </w:pPr>
            <w:r w:rsidRPr="00F1238A">
              <w:rPr>
                <w:noProof/>
                <w:lang w:val="en-GB" w:eastAsia="en-GB"/>
              </w:rPr>
              <w:drawing>
                <wp:inline distT="0" distB="0" distL="0" distR="0" wp14:anchorId="093CD42B" wp14:editId="7DA42173">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72539734"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0BDC8B46"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268AA017" w14:textId="77777777" w:rsidTr="00135DDC">
        <w:trPr>
          <w:cantSplit/>
          <w:trHeight w:val="340"/>
        </w:trPr>
        <w:tc>
          <w:tcPr>
            <w:tcW w:w="1126" w:type="dxa"/>
          </w:tcPr>
          <w:p w14:paraId="3A2578BB" w14:textId="77777777" w:rsidR="007B6316" w:rsidRPr="007B6316" w:rsidRDefault="007B6316" w:rsidP="00303D62">
            <w:pPr>
              <w:tabs>
                <w:tab w:val="left" w:pos="4111"/>
              </w:tabs>
              <w:spacing w:before="10"/>
              <w:ind w:left="57"/>
              <w:rPr>
                <w:b/>
                <w:bCs/>
                <w:sz w:val="22"/>
              </w:rPr>
            </w:pPr>
          </w:p>
        </w:tc>
        <w:tc>
          <w:tcPr>
            <w:tcW w:w="3751" w:type="dxa"/>
            <w:gridSpan w:val="2"/>
          </w:tcPr>
          <w:p w14:paraId="4A957B5E" w14:textId="77777777" w:rsidR="007B6316" w:rsidRDefault="007B6316" w:rsidP="00303D62">
            <w:pPr>
              <w:tabs>
                <w:tab w:val="left" w:pos="4111"/>
              </w:tabs>
              <w:spacing w:before="0"/>
              <w:ind w:left="57"/>
              <w:rPr>
                <w:b/>
              </w:rPr>
            </w:pPr>
          </w:p>
        </w:tc>
        <w:tc>
          <w:tcPr>
            <w:tcW w:w="5329" w:type="dxa"/>
          </w:tcPr>
          <w:p w14:paraId="63AAB264" w14:textId="3A382A92" w:rsidR="007B6316" w:rsidRDefault="00135DDC" w:rsidP="007B6316">
            <w:pPr>
              <w:tabs>
                <w:tab w:val="clear" w:pos="794"/>
                <w:tab w:val="clear" w:pos="1191"/>
                <w:tab w:val="clear" w:pos="1588"/>
                <w:tab w:val="clear" w:pos="1985"/>
                <w:tab w:val="left" w:pos="284"/>
              </w:tabs>
              <w:spacing w:after="120"/>
              <w:ind w:left="284" w:hanging="227"/>
            </w:pPr>
            <w:r w:rsidRPr="00135DDC">
              <w:rPr>
                <w:szCs w:val="24"/>
              </w:rPr>
              <w:t>Ginebra, 20 de diciembre de 2019</w:t>
            </w:r>
          </w:p>
        </w:tc>
      </w:tr>
      <w:tr w:rsidR="007B6316" w14:paraId="0FB900F1" w14:textId="77777777" w:rsidTr="00135DDC">
        <w:trPr>
          <w:cantSplit/>
          <w:trHeight w:val="340"/>
        </w:trPr>
        <w:tc>
          <w:tcPr>
            <w:tcW w:w="1126" w:type="dxa"/>
          </w:tcPr>
          <w:p w14:paraId="5174230F" w14:textId="42F5CBA4" w:rsidR="007B6316" w:rsidRPr="00135DDC" w:rsidRDefault="007B6316" w:rsidP="00135DDC">
            <w:pPr>
              <w:spacing w:before="40" w:after="40"/>
              <w:ind w:left="57"/>
            </w:pPr>
            <w:r w:rsidRPr="00135DDC">
              <w:t>Ref.:</w:t>
            </w:r>
          </w:p>
        </w:tc>
        <w:tc>
          <w:tcPr>
            <w:tcW w:w="3751" w:type="dxa"/>
            <w:gridSpan w:val="2"/>
          </w:tcPr>
          <w:p w14:paraId="7B7EA1FE" w14:textId="146294B2" w:rsidR="007B6316" w:rsidRPr="00135DDC" w:rsidRDefault="007B6316" w:rsidP="00135DDC">
            <w:pPr>
              <w:spacing w:before="40" w:after="40"/>
              <w:ind w:left="57"/>
              <w:rPr>
                <w:b/>
                <w:bCs/>
              </w:rPr>
            </w:pPr>
            <w:r w:rsidRPr="00135DDC">
              <w:rPr>
                <w:b/>
                <w:bCs/>
              </w:rPr>
              <w:t xml:space="preserve">Circular TSB </w:t>
            </w:r>
            <w:r w:rsidR="00940650">
              <w:rPr>
                <w:b/>
                <w:bCs/>
              </w:rPr>
              <w:t>223</w:t>
            </w:r>
          </w:p>
          <w:p w14:paraId="44198708" w14:textId="77777777" w:rsidR="007B6316" w:rsidRDefault="007B6316" w:rsidP="00135DDC">
            <w:pPr>
              <w:spacing w:before="40" w:after="40"/>
              <w:ind w:left="57"/>
            </w:pPr>
          </w:p>
        </w:tc>
        <w:tc>
          <w:tcPr>
            <w:tcW w:w="5329" w:type="dxa"/>
            <w:vMerge w:val="restart"/>
          </w:tcPr>
          <w:p w14:paraId="50901BDC" w14:textId="14CEC926" w:rsidR="00135DDC" w:rsidRDefault="00135DDC" w:rsidP="00135DDC">
            <w:pPr>
              <w:tabs>
                <w:tab w:val="left" w:pos="4111"/>
              </w:tabs>
              <w:spacing w:before="40"/>
              <w:ind w:left="57"/>
            </w:pPr>
            <w:bookmarkStart w:id="0" w:name="Addressee_S"/>
            <w:bookmarkEnd w:id="0"/>
            <w:r>
              <w:rPr>
                <w:b/>
              </w:rPr>
              <w:t>A</w:t>
            </w:r>
            <w:r>
              <w:t>:</w:t>
            </w:r>
          </w:p>
          <w:p w14:paraId="4D594ACD" w14:textId="1631A109" w:rsidR="00135DDC" w:rsidRDefault="00135DDC" w:rsidP="00135DDC">
            <w:pPr>
              <w:tabs>
                <w:tab w:val="clear" w:pos="794"/>
                <w:tab w:val="clear" w:pos="1191"/>
                <w:tab w:val="clear" w:pos="1588"/>
                <w:tab w:val="clear" w:pos="1985"/>
                <w:tab w:val="left" w:pos="361"/>
              </w:tabs>
              <w:spacing w:before="0"/>
              <w:ind w:left="361" w:hanging="304"/>
            </w:pPr>
            <w:r>
              <w:t>–</w:t>
            </w:r>
            <w:r>
              <w:tab/>
              <w:t>las Administraciones de los Estados Miembros de la Unión;</w:t>
            </w:r>
          </w:p>
          <w:p w14:paraId="75977150" w14:textId="73E40321" w:rsidR="00135DDC" w:rsidRDefault="00135DDC" w:rsidP="00135DDC">
            <w:pPr>
              <w:tabs>
                <w:tab w:val="clear" w:pos="794"/>
                <w:tab w:val="clear" w:pos="1191"/>
                <w:tab w:val="clear" w:pos="1588"/>
                <w:tab w:val="clear" w:pos="1985"/>
                <w:tab w:val="left" w:pos="361"/>
              </w:tabs>
              <w:spacing w:before="0"/>
              <w:ind w:left="57"/>
            </w:pPr>
            <w:r>
              <w:t>–</w:t>
            </w:r>
            <w:r>
              <w:tab/>
              <w:t>los Miembros de Sector del UIT-T;</w:t>
            </w:r>
          </w:p>
          <w:p w14:paraId="4DE2F7E8" w14:textId="2B5DD300" w:rsidR="00135DDC" w:rsidRDefault="00135DDC" w:rsidP="00135DDC">
            <w:pPr>
              <w:tabs>
                <w:tab w:val="clear" w:pos="794"/>
                <w:tab w:val="clear" w:pos="1191"/>
                <w:tab w:val="clear" w:pos="1588"/>
                <w:tab w:val="clear" w:pos="1985"/>
                <w:tab w:val="left" w:pos="361"/>
              </w:tabs>
              <w:spacing w:before="0"/>
              <w:ind w:left="57"/>
            </w:pPr>
            <w:r>
              <w:t>–</w:t>
            </w:r>
            <w:r>
              <w:tab/>
              <w:t>los Asociados del UIT-T;</w:t>
            </w:r>
          </w:p>
          <w:p w14:paraId="225E1E31" w14:textId="140CBA77" w:rsidR="007B6316" w:rsidRDefault="00135DDC" w:rsidP="00135DDC">
            <w:pPr>
              <w:tabs>
                <w:tab w:val="clear" w:pos="794"/>
                <w:tab w:val="clear" w:pos="1191"/>
                <w:tab w:val="clear" w:pos="1588"/>
                <w:tab w:val="clear" w:pos="1985"/>
                <w:tab w:val="left" w:pos="361"/>
              </w:tabs>
              <w:spacing w:before="0"/>
              <w:ind w:left="57"/>
            </w:pPr>
            <w:r>
              <w:t>–</w:t>
            </w:r>
            <w:r>
              <w:tab/>
              <w:t>las Instituciones Académicas de la UIT</w:t>
            </w:r>
          </w:p>
        </w:tc>
      </w:tr>
      <w:tr w:rsidR="007B6316" w14:paraId="3D14AEC9" w14:textId="77777777" w:rsidTr="00135DDC">
        <w:trPr>
          <w:cantSplit/>
        </w:trPr>
        <w:tc>
          <w:tcPr>
            <w:tcW w:w="1126" w:type="dxa"/>
          </w:tcPr>
          <w:p w14:paraId="4765C770" w14:textId="77777777" w:rsidR="007B6316" w:rsidRPr="00135DDC" w:rsidRDefault="007B6316" w:rsidP="00135DDC">
            <w:pPr>
              <w:spacing w:before="40" w:after="40"/>
              <w:ind w:left="57"/>
            </w:pPr>
            <w:r w:rsidRPr="00135DDC">
              <w:t>Tel.:</w:t>
            </w:r>
          </w:p>
        </w:tc>
        <w:tc>
          <w:tcPr>
            <w:tcW w:w="3751" w:type="dxa"/>
            <w:gridSpan w:val="2"/>
          </w:tcPr>
          <w:p w14:paraId="26A0DBC5" w14:textId="781AC423" w:rsidR="007B6316" w:rsidRPr="00135DDC" w:rsidRDefault="00940650" w:rsidP="00135DDC">
            <w:pPr>
              <w:spacing w:before="40" w:after="40"/>
              <w:ind w:left="57"/>
            </w:pPr>
            <w:r w:rsidRPr="00940650">
              <w:t>+41 22 730 6828</w:t>
            </w:r>
          </w:p>
        </w:tc>
        <w:tc>
          <w:tcPr>
            <w:tcW w:w="5329" w:type="dxa"/>
            <w:vMerge/>
          </w:tcPr>
          <w:p w14:paraId="041BE45E" w14:textId="77777777" w:rsidR="007B6316" w:rsidRDefault="007B6316" w:rsidP="00303D62">
            <w:pPr>
              <w:tabs>
                <w:tab w:val="left" w:pos="4111"/>
              </w:tabs>
              <w:spacing w:before="0"/>
              <w:rPr>
                <w:b/>
              </w:rPr>
            </w:pPr>
          </w:p>
        </w:tc>
      </w:tr>
      <w:tr w:rsidR="007B6316" w14:paraId="3B7505D3" w14:textId="77777777" w:rsidTr="00135DDC">
        <w:trPr>
          <w:cantSplit/>
        </w:trPr>
        <w:tc>
          <w:tcPr>
            <w:tcW w:w="1126" w:type="dxa"/>
          </w:tcPr>
          <w:p w14:paraId="5D82172E" w14:textId="77777777" w:rsidR="007B6316" w:rsidRPr="00135DDC" w:rsidRDefault="007B6316" w:rsidP="00135DDC">
            <w:pPr>
              <w:spacing w:before="40" w:after="40"/>
              <w:ind w:left="57"/>
            </w:pPr>
            <w:r w:rsidRPr="00135DDC">
              <w:t>Fax:</w:t>
            </w:r>
          </w:p>
        </w:tc>
        <w:tc>
          <w:tcPr>
            <w:tcW w:w="3751" w:type="dxa"/>
            <w:gridSpan w:val="2"/>
          </w:tcPr>
          <w:p w14:paraId="62C02875" w14:textId="55BFAEE1" w:rsidR="007B6316" w:rsidRPr="00135DDC" w:rsidRDefault="00940650" w:rsidP="00135DDC">
            <w:pPr>
              <w:spacing w:before="40" w:after="40"/>
              <w:ind w:left="57"/>
            </w:pPr>
            <w:r w:rsidRPr="00940650">
              <w:t>+41 22 730 5853</w:t>
            </w:r>
          </w:p>
        </w:tc>
        <w:tc>
          <w:tcPr>
            <w:tcW w:w="5329" w:type="dxa"/>
            <w:vMerge/>
          </w:tcPr>
          <w:p w14:paraId="00DD0E2A" w14:textId="77777777" w:rsidR="007B6316" w:rsidRDefault="007B6316" w:rsidP="00303D62">
            <w:pPr>
              <w:tabs>
                <w:tab w:val="left" w:pos="4111"/>
              </w:tabs>
              <w:spacing w:before="0"/>
              <w:rPr>
                <w:b/>
              </w:rPr>
            </w:pPr>
          </w:p>
        </w:tc>
      </w:tr>
      <w:tr w:rsidR="00C34772" w14:paraId="091F3A94" w14:textId="77777777" w:rsidTr="00135DDC">
        <w:trPr>
          <w:cantSplit/>
        </w:trPr>
        <w:tc>
          <w:tcPr>
            <w:tcW w:w="1126" w:type="dxa"/>
          </w:tcPr>
          <w:p w14:paraId="136D3BB5" w14:textId="77777777" w:rsidR="00C34772" w:rsidRPr="007B6316" w:rsidRDefault="00C34772" w:rsidP="00135DDC">
            <w:pPr>
              <w:spacing w:before="40" w:after="40"/>
              <w:ind w:left="57"/>
            </w:pPr>
            <w:r w:rsidRPr="007B6316">
              <w:t>Correo-e:</w:t>
            </w:r>
          </w:p>
        </w:tc>
        <w:tc>
          <w:tcPr>
            <w:tcW w:w="3751" w:type="dxa"/>
            <w:gridSpan w:val="2"/>
          </w:tcPr>
          <w:p w14:paraId="60985BB4" w14:textId="388E43B5" w:rsidR="00C34772" w:rsidRDefault="00E52931" w:rsidP="00135DDC">
            <w:pPr>
              <w:spacing w:before="40" w:after="40"/>
              <w:ind w:left="57"/>
            </w:pPr>
            <w:hyperlink r:id="rId9" w:history="1">
              <w:r w:rsidR="00940650" w:rsidRPr="0087713D">
                <w:rPr>
                  <w:rStyle w:val="Hyperlink"/>
                </w:rPr>
                <w:t>tsbsg12@itu.int</w:t>
              </w:r>
            </w:hyperlink>
          </w:p>
        </w:tc>
        <w:tc>
          <w:tcPr>
            <w:tcW w:w="5329" w:type="dxa"/>
          </w:tcPr>
          <w:p w14:paraId="5002F722" w14:textId="77777777" w:rsidR="00C34772" w:rsidRDefault="00C34772" w:rsidP="00135DDC">
            <w:pPr>
              <w:tabs>
                <w:tab w:val="left" w:pos="4111"/>
              </w:tabs>
              <w:spacing w:before="40"/>
              <w:ind w:left="57"/>
            </w:pPr>
            <w:r>
              <w:rPr>
                <w:b/>
              </w:rPr>
              <w:t>Copia</w:t>
            </w:r>
            <w:r>
              <w:t>:</w:t>
            </w:r>
          </w:p>
          <w:p w14:paraId="26B03D3E" w14:textId="378CEB7E" w:rsidR="00135DDC" w:rsidRDefault="00135DDC" w:rsidP="00135DDC">
            <w:pPr>
              <w:tabs>
                <w:tab w:val="clear" w:pos="794"/>
                <w:tab w:val="clear" w:pos="1191"/>
                <w:tab w:val="clear" w:pos="1588"/>
                <w:tab w:val="clear" w:pos="1985"/>
                <w:tab w:val="left" w:pos="361"/>
              </w:tabs>
              <w:spacing w:before="0"/>
              <w:ind w:left="361" w:hanging="304"/>
            </w:pPr>
            <w:r>
              <w:t>–</w:t>
            </w:r>
            <w:r>
              <w:tab/>
              <w:t>a los Presidentes y Vicepresidentes de las Comisiones de Estudio;</w:t>
            </w:r>
          </w:p>
          <w:p w14:paraId="522A3B4E" w14:textId="287F5FFA" w:rsidR="00135DDC" w:rsidRDefault="00135DDC" w:rsidP="00135DDC">
            <w:pPr>
              <w:tabs>
                <w:tab w:val="clear" w:pos="794"/>
                <w:tab w:val="clear" w:pos="1191"/>
                <w:tab w:val="clear" w:pos="1588"/>
                <w:tab w:val="clear" w:pos="1985"/>
                <w:tab w:val="left" w:pos="361"/>
              </w:tabs>
              <w:spacing w:before="0"/>
              <w:ind w:left="361" w:hanging="304"/>
            </w:pPr>
            <w:r>
              <w:t>–</w:t>
            </w:r>
            <w:r>
              <w:tab/>
              <w:t>a la Directora de la Oficina de Desarrollo de las Telecomunicaciones;</w:t>
            </w:r>
          </w:p>
          <w:p w14:paraId="04353AD9" w14:textId="251C6980" w:rsidR="00C34772" w:rsidRDefault="00135DDC" w:rsidP="00135DDC">
            <w:pPr>
              <w:tabs>
                <w:tab w:val="clear" w:pos="794"/>
                <w:tab w:val="clear" w:pos="1191"/>
                <w:tab w:val="clear" w:pos="1588"/>
                <w:tab w:val="clear" w:pos="1985"/>
                <w:tab w:val="left" w:pos="361"/>
              </w:tabs>
              <w:spacing w:before="0"/>
              <w:ind w:left="57"/>
            </w:pPr>
            <w:r>
              <w:t>–</w:t>
            </w:r>
            <w:r>
              <w:tab/>
              <w:t>al Director de la Oficina de Radiocomunicaciones</w:t>
            </w:r>
          </w:p>
        </w:tc>
      </w:tr>
      <w:tr w:rsidR="007B6316" w14:paraId="345A9C90" w14:textId="77777777" w:rsidTr="00135DDC">
        <w:trPr>
          <w:cantSplit/>
        </w:trPr>
        <w:tc>
          <w:tcPr>
            <w:tcW w:w="1126" w:type="dxa"/>
          </w:tcPr>
          <w:p w14:paraId="0E16E588" w14:textId="77777777" w:rsidR="007B6316" w:rsidRPr="007B6316" w:rsidRDefault="007B6316" w:rsidP="00C215CF">
            <w:pPr>
              <w:spacing w:before="240"/>
              <w:ind w:left="58"/>
            </w:pPr>
            <w:r w:rsidRPr="00C215CF">
              <w:rPr>
                <w:b/>
              </w:rPr>
              <w:t>Asunto</w:t>
            </w:r>
            <w:r w:rsidRPr="007B6316">
              <w:t>:</w:t>
            </w:r>
          </w:p>
        </w:tc>
        <w:tc>
          <w:tcPr>
            <w:tcW w:w="9080" w:type="dxa"/>
            <w:gridSpan w:val="3"/>
          </w:tcPr>
          <w:p w14:paraId="1F705ADD" w14:textId="766B3048" w:rsidR="007B6316" w:rsidRPr="006526EB" w:rsidRDefault="006526EB" w:rsidP="00C215CF">
            <w:pPr>
              <w:spacing w:before="240"/>
              <w:ind w:left="58"/>
              <w:rPr>
                <w:b/>
                <w:bCs/>
              </w:rPr>
            </w:pPr>
            <w:r w:rsidRPr="006526EB">
              <w:rPr>
                <w:b/>
                <w:bCs/>
              </w:rPr>
              <w:t>Llamamiento a la participación – Desarrollo de un modelo informático para evaluar la QoS y la QoE de los servicios de videotelefonía</w:t>
            </w:r>
          </w:p>
        </w:tc>
      </w:tr>
    </w:tbl>
    <w:p w14:paraId="133516B5" w14:textId="232E37ED" w:rsidR="00C34772" w:rsidRDefault="00C215CF" w:rsidP="00135DDC">
      <w:pPr>
        <w:pStyle w:val="Normalaftertitle"/>
      </w:pPr>
      <w:bookmarkStart w:id="1" w:name="StartTyping_S"/>
      <w:bookmarkStart w:id="2" w:name="suitetext"/>
      <w:bookmarkStart w:id="3" w:name="text"/>
      <w:bookmarkEnd w:id="1"/>
      <w:bookmarkEnd w:id="2"/>
      <w:bookmarkEnd w:id="3"/>
      <w:r>
        <w:t>Muy Señora mía/Muy Señor mío,</w:t>
      </w:r>
    </w:p>
    <w:p w14:paraId="54E1722B" w14:textId="77777777" w:rsidR="00940650" w:rsidRPr="00940650" w:rsidRDefault="00940650" w:rsidP="00940650">
      <w:pPr>
        <w:rPr>
          <w:lang w:val="es-ES"/>
        </w:rPr>
      </w:pPr>
      <w:r w:rsidRPr="00940650">
        <w:rPr>
          <w:lang w:val="es-ES"/>
        </w:rPr>
        <w:t xml:space="preserve">La Comisión de Estudio 12 del UIT-T (Calidad de funcionamiento, calidad de servicio, calidad percibida) emite este llamamiento a la participación en un proyecto colaborativo para el desarrollo de un modelo informático de evaluación de la QoS y la QoE de los servicios de videotelefonía en el contexto de su trabajo sobre el tema </w:t>
      </w:r>
      <w:proofErr w:type="gramStart"/>
      <w:r w:rsidRPr="00940650">
        <w:rPr>
          <w:lang w:val="es-ES"/>
        </w:rPr>
        <w:t>G.CMVTQS</w:t>
      </w:r>
      <w:proofErr w:type="gramEnd"/>
      <w:r w:rsidRPr="00940650">
        <w:rPr>
          <w:lang w:val="es-ES"/>
        </w:rPr>
        <w:t xml:space="preserve">. </w:t>
      </w:r>
    </w:p>
    <w:p w14:paraId="67E5ACD7" w14:textId="77777777" w:rsidR="00940650" w:rsidRPr="00940650" w:rsidRDefault="00940650" w:rsidP="00940650">
      <w:pPr>
        <w:rPr>
          <w:lang w:val="es-ES"/>
        </w:rPr>
      </w:pPr>
      <w:r w:rsidRPr="00940650">
        <w:rPr>
          <w:lang w:val="es-ES"/>
        </w:rPr>
        <w:t xml:space="preserve">Se prevé que el proyecto dé como resultado un conjunto de modelos paramétricos de evaluación objetiva de la calidad que permita predecir la calidad de las llamadas de videotelefonía bidireccional monocanal con componentes de audio y vídeo. </w:t>
      </w:r>
    </w:p>
    <w:p w14:paraId="7124B069" w14:textId="5C3A60A3" w:rsidR="00940650" w:rsidRPr="00940650" w:rsidRDefault="00940650" w:rsidP="00940650">
      <w:pPr>
        <w:rPr>
          <w:lang w:val="es-ES"/>
        </w:rPr>
      </w:pPr>
      <w:r w:rsidRPr="00940650">
        <w:rPr>
          <w:lang w:val="es-ES"/>
        </w:rPr>
        <w:t xml:space="preserve">Los Estados Miembros de la UIT, los Miembros del Sector UIT-T, los Asociados de la Comisión de Estudio 12 del UIT-T y las Instituciones </w:t>
      </w:r>
      <w:r w:rsidR="00CA2B5D" w:rsidRPr="00940650">
        <w:rPr>
          <w:lang w:val="es-ES"/>
        </w:rPr>
        <w:t xml:space="preserve">Académicas </w:t>
      </w:r>
      <w:r w:rsidRPr="00940650">
        <w:rPr>
          <w:lang w:val="es-ES"/>
        </w:rPr>
        <w:t>de la UIT podrán confirmar su intención de participar en el proyecto dentro del marco descrito en el Anexo A siguiente por correo electrónico a la Secretaría de la UIT (</w:t>
      </w:r>
      <w:hyperlink r:id="rId10" w:history="1">
        <w:r w:rsidRPr="00940650">
          <w:rPr>
            <w:rStyle w:val="Hyperlink"/>
            <w:lang w:val="es-ES"/>
          </w:rPr>
          <w:t>tsbsg12@itu.int</w:t>
        </w:r>
      </w:hyperlink>
      <w:r w:rsidRPr="00940650">
        <w:rPr>
          <w:lang w:val="es-ES"/>
        </w:rPr>
        <w:t>) antes del viernes 7 de febrero de 2020.</w:t>
      </w:r>
    </w:p>
    <w:p w14:paraId="7D13CD1B" w14:textId="77777777" w:rsidR="007B6316" w:rsidRPr="00081FE5" w:rsidRDefault="007B6316" w:rsidP="007B6316">
      <w:r w:rsidRPr="00081FE5">
        <w:t>Atentamente,</w:t>
      </w:r>
    </w:p>
    <w:p w14:paraId="3E223374" w14:textId="3356A338" w:rsidR="007B6316" w:rsidRPr="00081FE5" w:rsidRDefault="00E52931" w:rsidP="00C215CF">
      <w:pPr>
        <w:spacing w:before="960"/>
      </w:pPr>
      <w:r>
        <w:rPr>
          <w:noProof/>
          <w:lang w:val="en-GB" w:eastAsia="en-GB"/>
        </w:rPr>
        <w:drawing>
          <wp:anchor distT="0" distB="0" distL="114300" distR="114300" simplePos="0" relativeHeight="251658240" behindDoc="1" locked="0" layoutInCell="1" allowOverlap="1" wp14:anchorId="579A1A15" wp14:editId="50750AAE">
            <wp:simplePos x="0" y="0"/>
            <wp:positionH relativeFrom="column">
              <wp:posOffset>3810</wp:posOffset>
            </wp:positionH>
            <wp:positionV relativeFrom="paragraph">
              <wp:posOffset>132909</wp:posOffset>
            </wp:positionV>
            <wp:extent cx="740205" cy="33337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SP.PNG"/>
                    <pic:cNvPicPr/>
                  </pic:nvPicPr>
                  <pic:blipFill>
                    <a:blip r:embed="rId11">
                      <a:extLst>
                        <a:ext uri="{28A0092B-C50C-407E-A947-70E740481C1C}">
                          <a14:useLocalDpi xmlns:a14="http://schemas.microsoft.com/office/drawing/2010/main" val="0"/>
                        </a:ext>
                      </a:extLst>
                    </a:blip>
                    <a:stretch>
                      <a:fillRect/>
                    </a:stretch>
                  </pic:blipFill>
                  <pic:spPr>
                    <a:xfrm>
                      <a:off x="0" y="0"/>
                      <a:ext cx="740205" cy="333375"/>
                    </a:xfrm>
                    <a:prstGeom prst="rect">
                      <a:avLst/>
                    </a:prstGeom>
                  </pic:spPr>
                </pic:pic>
              </a:graphicData>
            </a:graphic>
            <wp14:sizeRelH relativeFrom="margin">
              <wp14:pctWidth>0</wp14:pctWidth>
            </wp14:sizeRelH>
            <wp14:sizeRelV relativeFrom="margin">
              <wp14:pctHeight>0</wp14:pctHeight>
            </wp14:sizeRelV>
          </wp:anchor>
        </w:drawing>
      </w:r>
      <w:r w:rsidR="007B6316" w:rsidRPr="00081FE5">
        <w:t>Chaesub Lee</w:t>
      </w:r>
      <w:bookmarkStart w:id="4" w:name="_GoBack"/>
      <w:bookmarkEnd w:id="4"/>
      <w:r w:rsidR="007B6316" w:rsidRPr="00081FE5">
        <w:br/>
        <w:t xml:space="preserve">Director de la Oficina de </w:t>
      </w:r>
      <w:r w:rsidR="007B6316" w:rsidRPr="00081FE5">
        <w:br/>
        <w:t>Normalización de las Telecomunicaciones</w:t>
      </w:r>
    </w:p>
    <w:p w14:paraId="411CCEF8" w14:textId="6A9229F1" w:rsidR="00135DDC" w:rsidRDefault="00135DDC" w:rsidP="00135DDC">
      <w:pPr>
        <w:rPr>
          <w:lang w:val="es-ES"/>
        </w:rPr>
      </w:pPr>
      <w:r>
        <w:rPr>
          <w:lang w:val="es-ES"/>
        </w:rPr>
        <w:br w:type="page"/>
      </w:r>
    </w:p>
    <w:p w14:paraId="467196ED" w14:textId="5B5AE70D" w:rsidR="00940650" w:rsidRPr="00940650" w:rsidRDefault="00940650" w:rsidP="00940650">
      <w:pPr>
        <w:pStyle w:val="AnnexNotitle"/>
        <w:rPr>
          <w:lang w:val="es-ES"/>
        </w:rPr>
      </w:pPr>
      <w:r w:rsidRPr="00940650">
        <w:rPr>
          <w:lang w:val="es-ES"/>
        </w:rPr>
        <w:lastRenderedPageBreak/>
        <w:t xml:space="preserve">Anexo A </w:t>
      </w:r>
      <w:proofErr w:type="spellStart"/>
      <w:r w:rsidRPr="00940650">
        <w:rPr>
          <w:lang w:val="es-ES"/>
        </w:rPr>
        <w:t>a</w:t>
      </w:r>
      <w:proofErr w:type="spellEnd"/>
      <w:r w:rsidRPr="00940650">
        <w:rPr>
          <w:lang w:val="es-ES"/>
        </w:rPr>
        <w:t xml:space="preserve"> la Circular TSB 223</w:t>
      </w:r>
      <w:r w:rsidR="00626423">
        <w:rPr>
          <w:lang w:val="es-ES"/>
        </w:rPr>
        <w:br/>
      </w:r>
      <w:r w:rsidRPr="00940650">
        <w:rPr>
          <w:lang w:val="es-ES"/>
        </w:rPr>
        <w:br/>
        <w:t xml:space="preserve">Llamamiento a la participación en el tema G.CMVTQS: </w:t>
      </w:r>
      <w:r w:rsidR="002C2DA1">
        <w:rPr>
          <w:lang w:val="es-ES"/>
        </w:rPr>
        <w:t>"</w:t>
      </w:r>
      <w:r w:rsidRPr="00940650">
        <w:rPr>
          <w:lang w:val="es-ES"/>
        </w:rPr>
        <w:t xml:space="preserve">Modelo informático </w:t>
      </w:r>
      <w:r w:rsidR="00626423">
        <w:rPr>
          <w:lang w:val="es-ES"/>
        </w:rPr>
        <w:br/>
      </w:r>
      <w:r w:rsidRPr="00940650">
        <w:rPr>
          <w:lang w:val="es-ES"/>
        </w:rPr>
        <w:t>de supervisión de la QoE/QoS para evaluar los servicios de videotelefonía</w:t>
      </w:r>
      <w:r w:rsidR="002C2DA1">
        <w:rPr>
          <w:lang w:val="es-ES"/>
        </w:rPr>
        <w:t>"</w:t>
      </w:r>
    </w:p>
    <w:p w14:paraId="0EB7CD67" w14:textId="77777777" w:rsidR="00940650" w:rsidRPr="00940650" w:rsidRDefault="00940650" w:rsidP="00940650">
      <w:pPr>
        <w:ind w:right="92"/>
        <w:jc w:val="center"/>
        <w:rPr>
          <w:lang w:val="es-ES"/>
        </w:rPr>
      </w:pPr>
      <w:r w:rsidRPr="00940650">
        <w:rPr>
          <w:lang w:val="es-ES"/>
        </w:rPr>
        <w:t xml:space="preserve">(Referencia: </w:t>
      </w:r>
      <w:hyperlink r:id="rId12" w:history="1">
        <w:r w:rsidRPr="00940650">
          <w:rPr>
            <w:rStyle w:val="Hyperlink"/>
            <w:lang w:val="es-ES"/>
          </w:rPr>
          <w:t>SG12-TD977R1</w:t>
        </w:r>
      </w:hyperlink>
      <w:r w:rsidRPr="00940650">
        <w:rPr>
          <w:lang w:val="es-ES"/>
        </w:rPr>
        <w:t>)</w:t>
      </w:r>
    </w:p>
    <w:p w14:paraId="3C4FB0F3" w14:textId="4DC67149" w:rsidR="00940650" w:rsidRPr="00940650" w:rsidRDefault="00940650" w:rsidP="00940650">
      <w:pPr>
        <w:pStyle w:val="Normalaftertitle"/>
        <w:rPr>
          <w:lang w:val="es-ES"/>
        </w:rPr>
      </w:pPr>
      <w:r w:rsidRPr="00940650">
        <w:rPr>
          <w:lang w:val="es-ES"/>
        </w:rPr>
        <w:t xml:space="preserve">Durante su última reunión, en diciembre de 2019, la Comisión de Estudio 12 del UIT-T, </w:t>
      </w:r>
      <w:r w:rsidR="002C2DA1">
        <w:rPr>
          <w:lang w:val="es-ES"/>
        </w:rPr>
        <w:t>"</w:t>
      </w:r>
      <w:r w:rsidRPr="00940650">
        <w:rPr>
          <w:lang w:val="es-ES"/>
        </w:rPr>
        <w:t>Calidad de funcionamiento, calidad de servicio y calidad percibida</w:t>
      </w:r>
      <w:r w:rsidR="002C2DA1">
        <w:rPr>
          <w:lang w:val="es-ES"/>
        </w:rPr>
        <w:t>"</w:t>
      </w:r>
      <w:r w:rsidRPr="00940650">
        <w:rPr>
          <w:lang w:val="es-ES"/>
        </w:rPr>
        <w:t xml:space="preserve">, acordó emitir un llamamiento a la participación en un nuevo proyecto colaborativo en el marco de la C15/12, titulado G.CMVTQS: </w:t>
      </w:r>
      <w:r w:rsidR="002C2DA1">
        <w:rPr>
          <w:lang w:val="es-ES"/>
        </w:rPr>
        <w:t>"</w:t>
      </w:r>
      <w:r w:rsidRPr="00940650">
        <w:rPr>
          <w:lang w:val="es-ES"/>
        </w:rPr>
        <w:t>Modelo informático de supervisión de la QoE/QoS para evaluar los servicios de videotelefonía</w:t>
      </w:r>
      <w:r w:rsidR="002C2DA1">
        <w:rPr>
          <w:lang w:val="es-ES"/>
        </w:rPr>
        <w:t>"</w:t>
      </w:r>
      <w:r w:rsidRPr="00940650">
        <w:rPr>
          <w:lang w:val="es-ES"/>
        </w:rPr>
        <w:t>.</w:t>
      </w:r>
    </w:p>
    <w:p w14:paraId="58442D86" w14:textId="77777777" w:rsidR="00940650" w:rsidRPr="00940650" w:rsidRDefault="00940650" w:rsidP="00940650">
      <w:pPr>
        <w:rPr>
          <w:lang w:val="es-ES"/>
        </w:rPr>
      </w:pPr>
      <w:r w:rsidRPr="00940650">
        <w:rPr>
          <w:lang w:val="es-ES"/>
        </w:rPr>
        <w:t xml:space="preserve">Se espera que el proyecto resulte en un conjunto de modelos paramétricos de evaluación objetiva de la calidad basados en series de cálculos paramétricos para predecir la calidad de las llamadas de videotelefonía bidireccional monocanal con componentes de audio y vídeo. </w:t>
      </w:r>
    </w:p>
    <w:p w14:paraId="4A933FF3" w14:textId="77777777" w:rsidR="00940650" w:rsidRPr="00940650" w:rsidRDefault="00940650" w:rsidP="00940650">
      <w:pPr>
        <w:rPr>
          <w:lang w:val="es-ES"/>
        </w:rPr>
      </w:pPr>
      <w:r w:rsidRPr="00940650">
        <w:rPr>
          <w:lang w:val="es-ES"/>
        </w:rPr>
        <w:t>Los modelos G.CMVTQS no evalúan más que los componentes de audio y vídeo de los servicios (es decir, que no comprenden la compartición de documentos, la conversación instantánea, ni la realidad aumentada) cuando esos componentes se dan simultáneamente. El objetivo son las comunicaciones meramente audiovisuales y la evaluación de una única dimensión de la calidad: la integridad (es decir, la calidad percibida por el usuario durante la utilización (se excluyen la disponibilidad y el mantenimiento de los servicios)). Los dispositivos objetivo van desde las pantallas de TV domésticas a los teléfonos inteligentes.</w:t>
      </w:r>
    </w:p>
    <w:p w14:paraId="0E09380E" w14:textId="77777777" w:rsidR="00940650" w:rsidRPr="00940650" w:rsidRDefault="00940650" w:rsidP="00940650">
      <w:pPr>
        <w:rPr>
          <w:lang w:val="es-ES"/>
        </w:rPr>
      </w:pPr>
      <w:r w:rsidRPr="00940650">
        <w:rPr>
          <w:lang w:val="es-ES"/>
        </w:rPr>
        <w:t>Los elementos que alimentan los modelos G.CMVTQS son los parámetros de red y flujo obtenidos en el punto extremo durante la prestación del servicio de videotelefonía, o tras su terminación, para analizar el estado de la comunicación en términos de calidad de servicio. Los principales factores que afectan a la calidad del servicio de videotelefonía son, entre otros, los factores de calidad de audio y vídeo, los factores de calidad audiovisual y los factores de pérdida de transmisión de red.</w:t>
      </w:r>
    </w:p>
    <w:p w14:paraId="12B81E59" w14:textId="1A922D51" w:rsidR="00940650" w:rsidRPr="00940650" w:rsidRDefault="00940650" w:rsidP="00940650">
      <w:pPr>
        <w:rPr>
          <w:lang w:val="es-ES"/>
        </w:rPr>
      </w:pPr>
      <w:r w:rsidRPr="00940650">
        <w:rPr>
          <w:lang w:val="es-ES"/>
        </w:rPr>
        <w:t>Los modelos G.CMVTQS predicen notas medias de opinión (MOS) audiovisual en una escala ACR de 5 puntos (de conformidad con la Recomendación UIT-T P.910) como puntuación MOS multimedios, y formulan estimaciones de calidad subyacentes del audio, el vídeo, el retraso y la sincronización entre el audio y el vídeo (como se define en la Recomendación UIT-T P.911).</w:t>
      </w:r>
    </w:p>
    <w:p w14:paraId="3C70E4B8" w14:textId="77777777" w:rsidR="00940650" w:rsidRPr="00940650" w:rsidRDefault="00940650" w:rsidP="00940650">
      <w:pPr>
        <w:rPr>
          <w:lang w:val="es-ES"/>
        </w:rPr>
      </w:pPr>
      <w:r w:rsidRPr="00940650">
        <w:rPr>
          <w:lang w:val="es-ES"/>
        </w:rPr>
        <w:t>Este llamamiento a la participación se formula en los términos siguientes:</w:t>
      </w:r>
    </w:p>
    <w:p w14:paraId="52033D03" w14:textId="376AA5FF" w:rsidR="00940650" w:rsidRPr="00940650" w:rsidRDefault="00940650" w:rsidP="00940650">
      <w:pPr>
        <w:pStyle w:val="enumlev1"/>
        <w:rPr>
          <w:lang w:val="es-ES"/>
        </w:rPr>
      </w:pPr>
      <w:r w:rsidRPr="00940650">
        <w:rPr>
          <w:lang w:val="es-ES"/>
        </w:rPr>
        <w:t>–</w:t>
      </w:r>
      <w:r>
        <w:rPr>
          <w:lang w:val="es-ES"/>
        </w:rPr>
        <w:tab/>
      </w:r>
      <w:r w:rsidRPr="00940650">
        <w:rPr>
          <w:lang w:val="es-ES"/>
        </w:rPr>
        <w:t>Sólo el Modo0 de G.CMVTQS es objeto de este llamamiento a la participación.</w:t>
      </w:r>
    </w:p>
    <w:p w14:paraId="61487195" w14:textId="691A2831" w:rsidR="00940650" w:rsidRPr="00940650" w:rsidRDefault="00940650" w:rsidP="00940650">
      <w:pPr>
        <w:pStyle w:val="enumlev2"/>
        <w:rPr>
          <w:lang w:val="es-ES"/>
        </w:rPr>
      </w:pPr>
      <w:r w:rsidRPr="00940650">
        <w:rPr>
          <w:lang w:val="es-ES"/>
        </w:rPr>
        <w:t>•</w:t>
      </w:r>
      <w:r>
        <w:rPr>
          <w:lang w:val="es-ES"/>
        </w:rPr>
        <w:tab/>
      </w:r>
      <w:r w:rsidRPr="00940650">
        <w:rPr>
          <w:lang w:val="es-ES"/>
        </w:rPr>
        <w:t xml:space="preserve">Modo0 se basa en el cálculo paramétrico; aunque su desarrollo se basa en WebRTC, otros servicios de videotelefonía podrán usarlo también. Pueden encontrarse más detalles al respecto en </w:t>
      </w:r>
      <w:hyperlink r:id="rId13" w:history="1">
        <w:r w:rsidRPr="00940650">
          <w:rPr>
            <w:rStyle w:val="Hyperlink"/>
            <w:lang w:val="es-ES"/>
          </w:rPr>
          <w:t>SG12-TD980R2</w:t>
        </w:r>
      </w:hyperlink>
      <w:r w:rsidRPr="00940650">
        <w:rPr>
          <w:lang w:val="es-ES"/>
        </w:rPr>
        <w:t>.</w:t>
      </w:r>
    </w:p>
    <w:p w14:paraId="333A44A3" w14:textId="1F67E804" w:rsidR="00940650" w:rsidRPr="00940650" w:rsidRDefault="00940650" w:rsidP="00940650">
      <w:pPr>
        <w:pStyle w:val="enumlev1"/>
        <w:rPr>
          <w:lang w:val="es-ES"/>
        </w:rPr>
      </w:pPr>
      <w:r w:rsidRPr="00940650">
        <w:rPr>
          <w:lang w:val="es-ES"/>
        </w:rPr>
        <w:t>–</w:t>
      </w:r>
      <w:r>
        <w:rPr>
          <w:lang w:val="es-ES"/>
        </w:rPr>
        <w:tab/>
      </w:r>
      <w:r w:rsidRPr="00940650">
        <w:rPr>
          <w:lang w:val="es-ES"/>
        </w:rPr>
        <w:t>El desarrollo del Modo0 de G.CMVTQS se llevará a cabo en el marco definido en los documentos sobre el mandato (</w:t>
      </w:r>
      <w:hyperlink r:id="rId14" w:history="1">
        <w:r w:rsidRPr="00940650">
          <w:rPr>
            <w:rStyle w:val="Hyperlink"/>
            <w:lang w:val="es-ES"/>
          </w:rPr>
          <w:t>SG12-TD980R2</w:t>
        </w:r>
      </w:hyperlink>
      <w:r w:rsidRPr="00940650">
        <w:rPr>
          <w:lang w:val="es-ES"/>
        </w:rPr>
        <w:t>) y los métodos subjetivos (</w:t>
      </w:r>
      <w:hyperlink r:id="rId15" w:history="1">
        <w:r w:rsidRPr="00940650">
          <w:rPr>
            <w:rStyle w:val="Hyperlink"/>
            <w:lang w:val="es-ES"/>
          </w:rPr>
          <w:t>SG12-TD979R1</w:t>
        </w:r>
      </w:hyperlink>
      <w:r w:rsidRPr="00940650">
        <w:rPr>
          <w:lang w:val="es-ES"/>
        </w:rPr>
        <w:t>).</w:t>
      </w:r>
    </w:p>
    <w:p w14:paraId="5D67DD15" w14:textId="703CB538" w:rsidR="00940650" w:rsidRPr="00940650" w:rsidRDefault="00940650" w:rsidP="00940650">
      <w:pPr>
        <w:pStyle w:val="enumlev1"/>
        <w:rPr>
          <w:lang w:val="es-ES"/>
        </w:rPr>
      </w:pPr>
      <w:r w:rsidRPr="00940650">
        <w:rPr>
          <w:lang w:val="es-ES"/>
        </w:rPr>
        <w:t>–</w:t>
      </w:r>
      <w:r>
        <w:rPr>
          <w:lang w:val="es-ES"/>
        </w:rPr>
        <w:tab/>
      </w:r>
      <w:r w:rsidRPr="00940650">
        <w:rPr>
          <w:lang w:val="es-ES"/>
        </w:rPr>
        <w:t>El Modo0 de G.CMVTQS se desarrollará de manera colaborativa. La organización de esa colaboración corresponderá a las partes implicadas.</w:t>
      </w:r>
    </w:p>
    <w:p w14:paraId="74994D7C" w14:textId="64012864" w:rsidR="00940650" w:rsidRPr="00940650" w:rsidRDefault="00940650" w:rsidP="00940650">
      <w:pPr>
        <w:pStyle w:val="enumlev1"/>
        <w:rPr>
          <w:lang w:val="es-ES"/>
        </w:rPr>
      </w:pPr>
      <w:r w:rsidRPr="00940650">
        <w:rPr>
          <w:lang w:val="es-ES"/>
        </w:rPr>
        <w:t>–</w:t>
      </w:r>
      <w:r>
        <w:rPr>
          <w:lang w:val="es-ES"/>
        </w:rPr>
        <w:tab/>
      </w:r>
      <w:r w:rsidRPr="00940650">
        <w:rPr>
          <w:lang w:val="es-ES"/>
        </w:rPr>
        <w:t>El número mínimo de partes implicadas en el desarrollo del Modo0 será de 2, sin límite superior.</w:t>
      </w:r>
    </w:p>
    <w:p w14:paraId="383E8C9A" w14:textId="1B7778B2" w:rsidR="00940650" w:rsidRPr="00940650" w:rsidRDefault="00940650" w:rsidP="00940650">
      <w:pPr>
        <w:pStyle w:val="enumlev1"/>
        <w:rPr>
          <w:lang w:val="es-ES"/>
        </w:rPr>
      </w:pPr>
      <w:r w:rsidRPr="00940650">
        <w:rPr>
          <w:lang w:val="es-ES"/>
        </w:rPr>
        <w:t>–</w:t>
      </w:r>
      <w:r>
        <w:rPr>
          <w:lang w:val="es-ES"/>
        </w:rPr>
        <w:tab/>
      </w:r>
      <w:r w:rsidRPr="00940650">
        <w:rPr>
          <w:lang w:val="es-ES"/>
        </w:rPr>
        <w:t xml:space="preserve">Todo aquél que responda afirmativamente al llamamiento a la participación debe comprometerse a crear, como mínimo, una nueva base de datos subjetiva, de acuerdo con </w:t>
      </w:r>
      <w:hyperlink r:id="rId16" w:history="1">
        <w:r w:rsidRPr="00940650">
          <w:rPr>
            <w:rStyle w:val="Hyperlink"/>
            <w:lang w:val="es-ES"/>
          </w:rPr>
          <w:t>SG12-TD 979R1</w:t>
        </w:r>
      </w:hyperlink>
      <w:r w:rsidRPr="00940650">
        <w:rPr>
          <w:lang w:val="es-ES"/>
        </w:rPr>
        <w:t>.</w:t>
      </w:r>
    </w:p>
    <w:p w14:paraId="15AD4367" w14:textId="77777777" w:rsidR="00940650" w:rsidRPr="00940650" w:rsidRDefault="00940650" w:rsidP="00940650">
      <w:pPr>
        <w:rPr>
          <w:lang w:val="es-ES"/>
        </w:rPr>
      </w:pPr>
      <w:r w:rsidRPr="00940650">
        <w:rPr>
          <w:lang w:val="es-ES"/>
        </w:rPr>
        <w:lastRenderedPageBreak/>
        <w:t xml:space="preserve">Los Estados Miembros de la UIT, los Miembros del Sector UIT-T, los Asociados de la Comisión de Estudio 12 del UIT-T y las Instituciones Académicas de la UIT podrán confirmar su participación en este proyecto, dentro del marco descrito </w:t>
      </w:r>
      <w:r w:rsidRPr="00940650">
        <w:rPr>
          <w:i/>
          <w:iCs/>
          <w:lang w:val="es-ES"/>
        </w:rPr>
        <w:t>supra</w:t>
      </w:r>
      <w:r w:rsidRPr="00940650">
        <w:rPr>
          <w:lang w:val="es-ES"/>
        </w:rPr>
        <w:t>, por correo electrónico a la Secretaría de la UIT (</w:t>
      </w:r>
      <w:hyperlink r:id="rId17" w:history="1">
        <w:r w:rsidRPr="00940650">
          <w:rPr>
            <w:rStyle w:val="Hyperlink"/>
            <w:lang w:val="es-ES"/>
          </w:rPr>
          <w:t>tsbsg12@itu.int</w:t>
        </w:r>
      </w:hyperlink>
      <w:r w:rsidRPr="00940650">
        <w:rPr>
          <w:lang w:val="es-ES"/>
        </w:rPr>
        <w:t>).</w:t>
      </w:r>
    </w:p>
    <w:p w14:paraId="32FF8848" w14:textId="7DD3F356" w:rsidR="00940650" w:rsidRPr="00940650" w:rsidRDefault="00940650" w:rsidP="00940650">
      <w:pPr>
        <w:rPr>
          <w:u w:val="single"/>
          <w:lang w:val="es-ES"/>
        </w:rPr>
      </w:pPr>
      <w:r w:rsidRPr="00940650">
        <w:rPr>
          <w:lang w:val="es-ES"/>
        </w:rPr>
        <w:t>El plazo límite para responder a este llamamiento a la participación es el viernes 7 de febrero de</w:t>
      </w:r>
      <w:r>
        <w:rPr>
          <w:lang w:val="es-ES"/>
        </w:rPr>
        <w:t> </w:t>
      </w:r>
      <w:r w:rsidRPr="00940650">
        <w:rPr>
          <w:lang w:val="es-ES"/>
        </w:rPr>
        <w:t>2020.</w:t>
      </w:r>
    </w:p>
    <w:p w14:paraId="472B3024" w14:textId="77777777" w:rsidR="00940650" w:rsidRPr="00C215CF" w:rsidRDefault="00940650" w:rsidP="00411C49">
      <w:pPr>
        <w:pStyle w:val="Reasons"/>
        <w:rPr>
          <w:lang w:val="fr-CH"/>
        </w:rPr>
      </w:pPr>
    </w:p>
    <w:p w14:paraId="5EE29F55" w14:textId="77777777" w:rsidR="00940650" w:rsidRDefault="00940650">
      <w:pPr>
        <w:jc w:val="center"/>
      </w:pPr>
      <w:r>
        <w:t>______________</w:t>
      </w:r>
    </w:p>
    <w:sectPr w:rsidR="00940650" w:rsidSect="00B87E9E">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7CBF0" w14:textId="77777777" w:rsidR="00135DDC" w:rsidRDefault="00135DDC">
      <w:r>
        <w:separator/>
      </w:r>
    </w:p>
  </w:endnote>
  <w:endnote w:type="continuationSeparator" w:id="0">
    <w:p w14:paraId="10A325C6" w14:textId="77777777" w:rsidR="00135DDC" w:rsidRDefault="0013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B891" w14:textId="77777777" w:rsidR="00362509" w:rsidRDefault="00362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3290F" w14:textId="295C280E" w:rsidR="006969B4" w:rsidRPr="00362509" w:rsidRDefault="006969B4" w:rsidP="00940650">
    <w:pPr>
      <w:pStyle w:val="Footer"/>
      <w:rPr>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0EA16" w14:textId="124D33C3" w:rsidR="0014464D" w:rsidRPr="0055719E" w:rsidRDefault="0014464D" w:rsidP="00FC416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Tel</w:t>
    </w:r>
    <w:r w:rsidR="00135DDC">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915A7" w14:textId="77777777" w:rsidR="00135DDC" w:rsidRDefault="00135DDC">
      <w:r>
        <w:t>____________________</w:t>
      </w:r>
    </w:p>
  </w:footnote>
  <w:footnote w:type="continuationSeparator" w:id="0">
    <w:p w14:paraId="236D1B79" w14:textId="77777777" w:rsidR="00135DDC" w:rsidRDefault="00135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D3DE7" w14:textId="77777777" w:rsidR="00362509" w:rsidRDefault="00362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0D006" w14:textId="7EA2B23C"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E52931">
      <w:rPr>
        <w:rStyle w:val="PageNumber"/>
        <w:noProof/>
        <w:sz w:val="18"/>
        <w:szCs w:val="18"/>
      </w:rPr>
      <w:t>3</w:t>
    </w:r>
    <w:r w:rsidR="00B87E9E" w:rsidRPr="00303D62">
      <w:rPr>
        <w:rStyle w:val="PageNumber"/>
        <w:sz w:val="18"/>
        <w:szCs w:val="18"/>
      </w:rPr>
      <w:fldChar w:fldCharType="end"/>
    </w:r>
    <w:r w:rsidRPr="00303D62">
      <w:rPr>
        <w:rStyle w:val="PageNumber"/>
        <w:sz w:val="18"/>
        <w:szCs w:val="18"/>
      </w:rPr>
      <w:t xml:space="preserve"> -</w:t>
    </w:r>
    <w:r w:rsidR="00135DDC">
      <w:rPr>
        <w:rStyle w:val="PageNumber"/>
        <w:sz w:val="18"/>
        <w:szCs w:val="18"/>
      </w:rPr>
      <w:br/>
    </w:r>
    <w:r w:rsidR="00135DDC" w:rsidRPr="00135DDC">
      <w:rPr>
        <w:sz w:val="18"/>
        <w:szCs w:val="18"/>
      </w:rPr>
      <w:t>Circular TSB 223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26398" w14:textId="77777777" w:rsidR="00362509" w:rsidRDefault="00362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B4E58"/>
    <w:multiLevelType w:val="hybridMultilevel"/>
    <w:tmpl w:val="ACDABABA"/>
    <w:lvl w:ilvl="0" w:tplc="57524A06">
      <w:start w:val="17"/>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CA57BF0"/>
    <w:multiLevelType w:val="hybridMultilevel"/>
    <w:tmpl w:val="3CFE3FA6"/>
    <w:lvl w:ilvl="0" w:tplc="EBF0F2C6">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DC"/>
    <w:rsid w:val="00002529"/>
    <w:rsid w:val="00085662"/>
    <w:rsid w:val="000C382F"/>
    <w:rsid w:val="001173CC"/>
    <w:rsid w:val="00135DDC"/>
    <w:rsid w:val="0014464D"/>
    <w:rsid w:val="001A54CC"/>
    <w:rsid w:val="00257FB4"/>
    <w:rsid w:val="002C2DA1"/>
    <w:rsid w:val="002E496E"/>
    <w:rsid w:val="00303D62"/>
    <w:rsid w:val="00335367"/>
    <w:rsid w:val="00362509"/>
    <w:rsid w:val="00370C2D"/>
    <w:rsid w:val="003D1E8D"/>
    <w:rsid w:val="003D673B"/>
    <w:rsid w:val="003F2855"/>
    <w:rsid w:val="00401C20"/>
    <w:rsid w:val="004A7957"/>
    <w:rsid w:val="004C4144"/>
    <w:rsid w:val="00500259"/>
    <w:rsid w:val="0055719E"/>
    <w:rsid w:val="00626423"/>
    <w:rsid w:val="006526EB"/>
    <w:rsid w:val="006969B4"/>
    <w:rsid w:val="006E4F7B"/>
    <w:rsid w:val="00781E2A"/>
    <w:rsid w:val="007933A2"/>
    <w:rsid w:val="007B6316"/>
    <w:rsid w:val="00814503"/>
    <w:rsid w:val="008258C2"/>
    <w:rsid w:val="008505BD"/>
    <w:rsid w:val="00850C78"/>
    <w:rsid w:val="00876165"/>
    <w:rsid w:val="00884D12"/>
    <w:rsid w:val="008C17AD"/>
    <w:rsid w:val="008D02CD"/>
    <w:rsid w:val="0091370C"/>
    <w:rsid w:val="00940650"/>
    <w:rsid w:val="0095172A"/>
    <w:rsid w:val="009A0BA0"/>
    <w:rsid w:val="00A54E47"/>
    <w:rsid w:val="00AB6E3A"/>
    <w:rsid w:val="00AE7093"/>
    <w:rsid w:val="00B422BC"/>
    <w:rsid w:val="00B43F77"/>
    <w:rsid w:val="00B55A3E"/>
    <w:rsid w:val="00B87E9E"/>
    <w:rsid w:val="00B95F0A"/>
    <w:rsid w:val="00B96180"/>
    <w:rsid w:val="00C116FE"/>
    <w:rsid w:val="00C17AC0"/>
    <w:rsid w:val="00C215CF"/>
    <w:rsid w:val="00C34772"/>
    <w:rsid w:val="00C5465A"/>
    <w:rsid w:val="00CA2B5D"/>
    <w:rsid w:val="00D54642"/>
    <w:rsid w:val="00DD77C9"/>
    <w:rsid w:val="00DF3538"/>
    <w:rsid w:val="00E52931"/>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4DE924"/>
  <w15:docId w15:val="{8879DA29-6387-46B2-98E5-43806FA1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
    <w:name w:val="Unresolved Mention"/>
    <w:basedOn w:val="DefaultParagraphFont"/>
    <w:uiPriority w:val="99"/>
    <w:semiHidden/>
    <w:unhideWhenUsed/>
    <w:rsid w:val="00940650"/>
    <w:rPr>
      <w:color w:val="605E5C"/>
      <w:shd w:val="clear" w:color="auto" w:fill="E1DFDD"/>
    </w:rPr>
  </w:style>
  <w:style w:type="paragraph" w:customStyle="1" w:styleId="Reasons">
    <w:name w:val="Reasons"/>
    <w:basedOn w:val="Normal"/>
    <w:qFormat/>
    <w:rsid w:val="00940650"/>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dms_inf/itu-t/md/17/sg12/td/191126/GEN/T17-SG12-191126-TD-GEN-0980!R2!MSW-E.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dms_inf/itu-t/md/17/sg12/td/191126/GEN/T17-SG12-191126-TD-GEN-0977!R1!MSW-E.docx" TargetMode="External"/><Relationship Id="rId17" Type="http://schemas.openxmlformats.org/officeDocument/2006/relationships/hyperlink" Target="mailto:tsbsg12@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dms_inf/itu-t/md/17/sg12/td/191126/GEN/T17-SG12-191126-TD-GEN-0979!R1!MSW-E.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dms_inf/itu-t/md/17/sg12/td/191126/GEN/T17-SG12-191126-TD-GEN-0979!R1!MSW-E.docx" TargetMode="External"/><Relationship Id="rId23" Type="http://schemas.openxmlformats.org/officeDocument/2006/relationships/footer" Target="footer3.xml"/><Relationship Id="rId10" Type="http://schemas.openxmlformats.org/officeDocument/2006/relationships/hyperlink" Target="mailto:tsbsg12@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s://www.itu.int/dms_inf/itu-t/md/17/sg12/td/191126/GEN/T17-SG12-191126-TD-GEN-0980!R2!MSW-E.docx"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73C2F-1ABE-4161-A07D-6A7318F1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12</TotalTime>
  <Pages>3</Pages>
  <Words>851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6207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9</cp:revision>
  <cp:lastPrinted>2020-01-21T09:28:00Z</cp:lastPrinted>
  <dcterms:created xsi:type="dcterms:W3CDTF">2020-01-10T12:38:00Z</dcterms:created>
  <dcterms:modified xsi:type="dcterms:W3CDTF">2020-01-21T09:29:00Z</dcterms:modified>
</cp:coreProperties>
</file>