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1154"/>
        <w:gridCol w:w="256"/>
        <w:gridCol w:w="3467"/>
        <w:gridCol w:w="452"/>
        <w:gridCol w:w="4877"/>
      </w:tblGrid>
      <w:tr w:rsidR="007B6316" w14:paraId="232A1D90" w14:textId="77777777" w:rsidTr="007B6316">
        <w:trPr>
          <w:cantSplit/>
          <w:trHeight w:val="340"/>
        </w:trPr>
        <w:tc>
          <w:tcPr>
            <w:tcW w:w="1410" w:type="dxa"/>
            <w:gridSpan w:val="2"/>
          </w:tcPr>
          <w:p w14:paraId="248B3EF9" w14:textId="77777777" w:rsidR="007B6316" w:rsidRDefault="007B6316" w:rsidP="00303D62">
            <w:pPr>
              <w:tabs>
                <w:tab w:val="left" w:pos="4111"/>
              </w:tabs>
              <w:spacing w:before="10"/>
              <w:ind w:left="57"/>
              <w:rPr>
                <w:sz w:val="22"/>
              </w:rPr>
            </w:pPr>
            <w:r w:rsidRPr="00F1238A">
              <w:rPr>
                <w:noProof/>
                <w:lang w:val="en-GB" w:eastAsia="en-GB"/>
              </w:rPr>
              <w:drawing>
                <wp:inline distT="0" distB="0" distL="0" distR="0" wp14:anchorId="5AB9E734" wp14:editId="28E79DA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3"/>
            <w:vAlign w:val="center"/>
          </w:tcPr>
          <w:p w14:paraId="0CFB9241"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A268787"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CA21EA" w14:paraId="67F0B4BA" w14:textId="77777777" w:rsidTr="000B23DF">
        <w:trPr>
          <w:cantSplit/>
          <w:trHeight w:val="340"/>
        </w:trPr>
        <w:tc>
          <w:tcPr>
            <w:tcW w:w="4877" w:type="dxa"/>
            <w:gridSpan w:val="3"/>
          </w:tcPr>
          <w:p w14:paraId="21BCD6C9" w14:textId="77777777" w:rsidR="00CA21EA" w:rsidRPr="00F31DE3" w:rsidRDefault="00CA21EA" w:rsidP="00303D62">
            <w:pPr>
              <w:tabs>
                <w:tab w:val="left" w:pos="4111"/>
              </w:tabs>
              <w:spacing w:before="0"/>
              <w:ind w:left="57"/>
              <w:rPr>
                <w:b/>
                <w:lang w:val="es-ES"/>
              </w:rPr>
            </w:pPr>
          </w:p>
        </w:tc>
        <w:tc>
          <w:tcPr>
            <w:tcW w:w="5329" w:type="dxa"/>
            <w:gridSpan w:val="2"/>
          </w:tcPr>
          <w:p w14:paraId="64889CB5" w14:textId="6ECBA648" w:rsidR="00CA21EA" w:rsidRDefault="00486ECB" w:rsidP="00CD1743">
            <w:pPr>
              <w:tabs>
                <w:tab w:val="clear" w:pos="794"/>
                <w:tab w:val="clear" w:pos="1191"/>
                <w:tab w:val="clear" w:pos="1588"/>
                <w:tab w:val="clear" w:pos="1985"/>
                <w:tab w:val="left" w:pos="284"/>
              </w:tabs>
              <w:spacing w:before="240" w:after="240"/>
              <w:ind w:left="288" w:hanging="230"/>
            </w:pPr>
            <w:r w:rsidRPr="00486ECB">
              <w:t>Ginebra, 13 de febrero de 2020</w:t>
            </w:r>
          </w:p>
        </w:tc>
      </w:tr>
      <w:tr w:rsidR="007B6316" w14:paraId="0B407C2F" w14:textId="77777777" w:rsidTr="00EF178D">
        <w:trPr>
          <w:cantSplit/>
          <w:trHeight w:val="340"/>
        </w:trPr>
        <w:tc>
          <w:tcPr>
            <w:tcW w:w="1154" w:type="dxa"/>
          </w:tcPr>
          <w:p w14:paraId="18522FC5" w14:textId="77777777" w:rsidR="007B6316" w:rsidRPr="007B6316" w:rsidRDefault="007B6316" w:rsidP="00F31DE3">
            <w:pPr>
              <w:spacing w:before="40" w:after="40"/>
              <w:ind w:left="57"/>
            </w:pPr>
            <w:r w:rsidRPr="007B6316">
              <w:t>Ref.:</w:t>
            </w:r>
          </w:p>
        </w:tc>
        <w:tc>
          <w:tcPr>
            <w:tcW w:w="3723" w:type="dxa"/>
            <w:gridSpan w:val="2"/>
          </w:tcPr>
          <w:p w14:paraId="5121B6D0" w14:textId="77777777" w:rsidR="007B6316" w:rsidRDefault="00072232" w:rsidP="003F368A">
            <w:pPr>
              <w:tabs>
                <w:tab w:val="left" w:pos="4111"/>
              </w:tabs>
              <w:spacing w:before="40" w:after="40"/>
              <w:ind w:left="57"/>
              <w:rPr>
                <w:b/>
              </w:rPr>
            </w:pPr>
            <w:r>
              <w:rPr>
                <w:b/>
              </w:rPr>
              <w:t xml:space="preserve">Circular TSB </w:t>
            </w:r>
            <w:r w:rsidR="00140050">
              <w:rPr>
                <w:b/>
              </w:rPr>
              <w:t>22</w:t>
            </w:r>
            <w:r w:rsidR="00486ECB">
              <w:rPr>
                <w:b/>
              </w:rPr>
              <w:t>9</w:t>
            </w:r>
          </w:p>
          <w:p w14:paraId="15BE8088" w14:textId="2C33B7C6" w:rsidR="00486ECB" w:rsidRPr="00486ECB" w:rsidRDefault="00486ECB" w:rsidP="003F368A">
            <w:pPr>
              <w:tabs>
                <w:tab w:val="left" w:pos="4111"/>
              </w:tabs>
              <w:spacing w:before="40" w:after="40"/>
              <w:ind w:left="57"/>
              <w:rPr>
                <w:bCs/>
              </w:rPr>
            </w:pPr>
            <w:r w:rsidRPr="00486ECB">
              <w:rPr>
                <w:bCs/>
              </w:rPr>
              <w:t>SG2/RC</w:t>
            </w:r>
          </w:p>
        </w:tc>
        <w:tc>
          <w:tcPr>
            <w:tcW w:w="5329" w:type="dxa"/>
            <w:gridSpan w:val="2"/>
            <w:vMerge w:val="restart"/>
          </w:tcPr>
          <w:p w14:paraId="35FC99D9" w14:textId="77777777" w:rsidR="00F31DE3" w:rsidRDefault="00F31DE3" w:rsidP="00C03A80">
            <w:pPr>
              <w:tabs>
                <w:tab w:val="clear" w:pos="794"/>
                <w:tab w:val="clear" w:pos="1191"/>
                <w:tab w:val="clear" w:pos="1588"/>
                <w:tab w:val="clear" w:pos="1985"/>
                <w:tab w:val="left" w:pos="284"/>
              </w:tabs>
              <w:spacing w:before="40" w:after="40"/>
              <w:ind w:left="284" w:hanging="227"/>
            </w:pPr>
            <w:bookmarkStart w:id="0" w:name="Addressee_S"/>
            <w:bookmarkEnd w:id="0"/>
            <w:r w:rsidRPr="00F31DE3">
              <w:rPr>
                <w:b/>
                <w:bCs/>
              </w:rPr>
              <w:t>A</w:t>
            </w:r>
            <w:r>
              <w:t>:</w:t>
            </w:r>
          </w:p>
          <w:p w14:paraId="48A0CF6C" w14:textId="77777777" w:rsidR="007B6316" w:rsidRDefault="00072232" w:rsidP="00F31DE3">
            <w:pPr>
              <w:tabs>
                <w:tab w:val="clear" w:pos="794"/>
                <w:tab w:val="clear" w:pos="1191"/>
                <w:tab w:val="clear" w:pos="1588"/>
                <w:tab w:val="clear" w:pos="1985"/>
                <w:tab w:val="left" w:pos="284"/>
              </w:tabs>
              <w:spacing w:before="40" w:after="40"/>
              <w:ind w:left="284" w:hanging="227"/>
            </w:pPr>
            <w:r>
              <w:t>–</w:t>
            </w:r>
            <w:r>
              <w:tab/>
              <w:t xml:space="preserve">las Administraciones de los Estados Miembros </w:t>
            </w:r>
            <w:r>
              <w:br/>
              <w:t>de la Unión</w:t>
            </w:r>
          </w:p>
          <w:p w14:paraId="68B434D7" w14:textId="77777777" w:rsidR="007659ED" w:rsidRDefault="007659ED" w:rsidP="007659ED">
            <w:pPr>
              <w:tabs>
                <w:tab w:val="clear" w:pos="794"/>
                <w:tab w:val="clear" w:pos="1191"/>
                <w:tab w:val="clear" w:pos="1588"/>
                <w:tab w:val="clear" w:pos="1985"/>
                <w:tab w:val="left" w:pos="284"/>
              </w:tabs>
              <w:spacing w:before="40" w:after="40"/>
              <w:ind w:left="284" w:hanging="227"/>
            </w:pPr>
            <w:r w:rsidRPr="00072232">
              <w:rPr>
                <w:b/>
                <w:bCs/>
              </w:rPr>
              <w:t>Copia</w:t>
            </w:r>
            <w:r w:rsidRPr="00EF178D">
              <w:t>:</w:t>
            </w:r>
          </w:p>
          <w:p w14:paraId="645C03CE" w14:textId="77777777" w:rsidR="007659ED" w:rsidRDefault="007659ED" w:rsidP="007659ED">
            <w:pPr>
              <w:tabs>
                <w:tab w:val="clear" w:pos="794"/>
                <w:tab w:val="clear" w:pos="1191"/>
                <w:tab w:val="clear" w:pos="1588"/>
                <w:tab w:val="clear" w:pos="1985"/>
                <w:tab w:val="left" w:pos="284"/>
              </w:tabs>
              <w:spacing w:before="40" w:after="40"/>
              <w:ind w:left="284" w:hanging="227"/>
            </w:pPr>
            <w:r>
              <w:t>–</w:t>
            </w:r>
            <w:r>
              <w:tab/>
              <w:t>a los Miembros de Sector del UIT-T;</w:t>
            </w:r>
          </w:p>
          <w:p w14:paraId="390ADEA9" w14:textId="77777777" w:rsidR="007659ED" w:rsidRDefault="007659ED" w:rsidP="007659ED">
            <w:pPr>
              <w:tabs>
                <w:tab w:val="clear" w:pos="794"/>
                <w:tab w:val="clear" w:pos="1191"/>
                <w:tab w:val="clear" w:pos="1588"/>
                <w:tab w:val="clear" w:pos="1985"/>
                <w:tab w:val="left" w:pos="284"/>
              </w:tabs>
              <w:spacing w:before="40" w:after="40"/>
              <w:ind w:left="284" w:hanging="227"/>
            </w:pPr>
            <w:r>
              <w:t>–</w:t>
            </w:r>
            <w:r>
              <w:tab/>
              <w:t xml:space="preserve">a los Asociados de la Comisión de Estudio 2 </w:t>
            </w:r>
            <w:r>
              <w:br/>
              <w:t>del UIT</w:t>
            </w:r>
            <w:r>
              <w:noBreakHyphen/>
              <w:t>T;</w:t>
            </w:r>
          </w:p>
          <w:p w14:paraId="710CD7A7" w14:textId="77777777" w:rsidR="007659ED" w:rsidRDefault="007659ED" w:rsidP="007659ED">
            <w:pPr>
              <w:tabs>
                <w:tab w:val="clear" w:pos="794"/>
                <w:tab w:val="clear" w:pos="1191"/>
                <w:tab w:val="clear" w:pos="1588"/>
                <w:tab w:val="clear" w:pos="1985"/>
                <w:tab w:val="left" w:pos="284"/>
              </w:tabs>
              <w:spacing w:before="40" w:after="40"/>
              <w:ind w:left="284" w:hanging="227"/>
            </w:pPr>
            <w:r>
              <w:t>–</w:t>
            </w:r>
            <w:r>
              <w:tab/>
              <w:t>a las Instituciones Académicas de la UIT;</w:t>
            </w:r>
          </w:p>
          <w:p w14:paraId="14BA0ED7" w14:textId="77777777" w:rsidR="007659ED" w:rsidRDefault="007659ED" w:rsidP="007659ED">
            <w:pPr>
              <w:tabs>
                <w:tab w:val="clear" w:pos="794"/>
                <w:tab w:val="clear" w:pos="1191"/>
                <w:tab w:val="clear" w:pos="1588"/>
                <w:tab w:val="clear" w:pos="1985"/>
                <w:tab w:val="left" w:pos="284"/>
              </w:tabs>
              <w:spacing w:before="40" w:after="40"/>
              <w:ind w:left="284" w:hanging="227"/>
            </w:pPr>
            <w:r>
              <w:t>–</w:t>
            </w:r>
            <w:r>
              <w:tab/>
              <w:t>al Presidente y a los Vicepresidentes de la Comisión de Estudio 2 del UIT-T;</w:t>
            </w:r>
          </w:p>
          <w:p w14:paraId="40D81A9C" w14:textId="77777777" w:rsidR="007659ED" w:rsidRDefault="007659ED" w:rsidP="007659ED">
            <w:pPr>
              <w:tabs>
                <w:tab w:val="clear" w:pos="794"/>
                <w:tab w:val="clear" w:pos="1191"/>
                <w:tab w:val="clear" w:pos="1588"/>
                <w:tab w:val="clear" w:pos="1985"/>
                <w:tab w:val="left" w:pos="284"/>
              </w:tabs>
              <w:spacing w:before="40" w:after="40"/>
              <w:ind w:left="284" w:hanging="227"/>
            </w:pPr>
            <w:r>
              <w:t>–</w:t>
            </w:r>
            <w:r>
              <w:tab/>
              <w:t>a la Directora de la Oficina de Desarrollo de las Telecomunicaciones;</w:t>
            </w:r>
          </w:p>
          <w:p w14:paraId="02261D58" w14:textId="3D81979B" w:rsidR="007659ED" w:rsidRDefault="007659ED" w:rsidP="007659ED">
            <w:pPr>
              <w:tabs>
                <w:tab w:val="clear" w:pos="794"/>
                <w:tab w:val="clear" w:pos="1191"/>
                <w:tab w:val="clear" w:pos="1588"/>
                <w:tab w:val="clear" w:pos="1985"/>
                <w:tab w:val="left" w:pos="284"/>
              </w:tabs>
              <w:spacing w:before="40" w:after="40"/>
              <w:ind w:left="284" w:hanging="227"/>
            </w:pPr>
            <w:r>
              <w:t>–</w:t>
            </w:r>
            <w:r>
              <w:tab/>
              <w:t>al Director de la Oficina de Radiocomunicaciones</w:t>
            </w:r>
          </w:p>
        </w:tc>
      </w:tr>
      <w:tr w:rsidR="007B6316" w14:paraId="53667C81" w14:textId="77777777" w:rsidTr="00EF178D">
        <w:trPr>
          <w:cantSplit/>
        </w:trPr>
        <w:tc>
          <w:tcPr>
            <w:tcW w:w="1154" w:type="dxa"/>
          </w:tcPr>
          <w:p w14:paraId="43E8C7EE" w14:textId="77777777" w:rsidR="007B6316" w:rsidRPr="007B6316" w:rsidRDefault="007B6316" w:rsidP="00F31DE3">
            <w:pPr>
              <w:spacing w:before="40" w:after="40"/>
              <w:ind w:left="57"/>
            </w:pPr>
            <w:r w:rsidRPr="007B6316">
              <w:t>Tel.:</w:t>
            </w:r>
          </w:p>
        </w:tc>
        <w:tc>
          <w:tcPr>
            <w:tcW w:w="3723" w:type="dxa"/>
            <w:gridSpan w:val="2"/>
          </w:tcPr>
          <w:p w14:paraId="544AD06A" w14:textId="7421D975" w:rsidR="007B6316" w:rsidRPr="00072232" w:rsidRDefault="00486ECB" w:rsidP="00F31DE3">
            <w:pPr>
              <w:tabs>
                <w:tab w:val="left" w:pos="4111"/>
              </w:tabs>
              <w:spacing w:before="40" w:after="40"/>
              <w:ind w:left="57"/>
              <w:rPr>
                <w:rStyle w:val="Hyperlink"/>
                <w:color w:val="auto"/>
              </w:rPr>
            </w:pPr>
            <w:r w:rsidRPr="00486ECB">
              <w:t>+41 22 730 5415</w:t>
            </w:r>
          </w:p>
        </w:tc>
        <w:tc>
          <w:tcPr>
            <w:tcW w:w="5329" w:type="dxa"/>
            <w:gridSpan w:val="2"/>
            <w:vMerge/>
          </w:tcPr>
          <w:p w14:paraId="552A50B1" w14:textId="77777777" w:rsidR="007B6316" w:rsidRDefault="007B6316" w:rsidP="00303D62">
            <w:pPr>
              <w:tabs>
                <w:tab w:val="left" w:pos="4111"/>
              </w:tabs>
              <w:spacing w:before="0"/>
              <w:rPr>
                <w:b/>
              </w:rPr>
            </w:pPr>
          </w:p>
        </w:tc>
      </w:tr>
      <w:tr w:rsidR="007B6316" w14:paraId="2A3F27F9" w14:textId="77777777" w:rsidTr="00EF178D">
        <w:trPr>
          <w:cantSplit/>
        </w:trPr>
        <w:tc>
          <w:tcPr>
            <w:tcW w:w="1154" w:type="dxa"/>
          </w:tcPr>
          <w:p w14:paraId="5601B980" w14:textId="77777777" w:rsidR="007B6316" w:rsidRDefault="007B6316" w:rsidP="00F31DE3">
            <w:pPr>
              <w:spacing w:before="40" w:after="40"/>
              <w:ind w:left="57"/>
            </w:pPr>
            <w:r w:rsidRPr="007B6316">
              <w:t>Fax:</w:t>
            </w:r>
          </w:p>
          <w:p w14:paraId="1DC3316A" w14:textId="4405A408" w:rsidR="007659ED" w:rsidRPr="007B6316" w:rsidRDefault="007659ED" w:rsidP="00F31DE3">
            <w:pPr>
              <w:spacing w:before="40" w:after="40"/>
              <w:ind w:left="57"/>
            </w:pPr>
            <w:r w:rsidRPr="007B6316">
              <w:t>Correo-e:</w:t>
            </w:r>
          </w:p>
        </w:tc>
        <w:tc>
          <w:tcPr>
            <w:tcW w:w="3723" w:type="dxa"/>
            <w:gridSpan w:val="2"/>
          </w:tcPr>
          <w:p w14:paraId="21D6AD6D" w14:textId="77777777" w:rsidR="007B6316" w:rsidRDefault="007B6316" w:rsidP="00F31DE3">
            <w:pPr>
              <w:tabs>
                <w:tab w:val="left" w:pos="4111"/>
              </w:tabs>
              <w:spacing w:before="40" w:after="40"/>
              <w:ind w:left="57"/>
            </w:pPr>
            <w:r w:rsidRPr="00072232">
              <w:t>+41 22 730 5853</w:t>
            </w:r>
          </w:p>
          <w:p w14:paraId="644B6D19" w14:textId="3378BE2E" w:rsidR="007659ED" w:rsidRPr="00072232" w:rsidRDefault="007659ED" w:rsidP="00F31DE3">
            <w:pPr>
              <w:tabs>
                <w:tab w:val="left" w:pos="4111"/>
              </w:tabs>
              <w:spacing w:before="40" w:after="40"/>
              <w:ind w:left="57"/>
              <w:rPr>
                <w:rStyle w:val="Hyperlink"/>
                <w:color w:val="auto"/>
              </w:rPr>
            </w:pPr>
            <w:hyperlink r:id="rId9" w:history="1">
              <w:r w:rsidRPr="00737D91">
                <w:rPr>
                  <w:rStyle w:val="Hyperlink"/>
                </w:rPr>
                <w:t>tsbsg2@itu.int</w:t>
              </w:r>
            </w:hyperlink>
          </w:p>
        </w:tc>
        <w:tc>
          <w:tcPr>
            <w:tcW w:w="5329" w:type="dxa"/>
            <w:gridSpan w:val="2"/>
            <w:vMerge/>
          </w:tcPr>
          <w:p w14:paraId="3CA53DC3" w14:textId="77777777" w:rsidR="007B6316" w:rsidRDefault="007B6316" w:rsidP="00303D62">
            <w:pPr>
              <w:tabs>
                <w:tab w:val="left" w:pos="4111"/>
              </w:tabs>
              <w:spacing w:before="0"/>
              <w:rPr>
                <w:b/>
              </w:rPr>
            </w:pPr>
          </w:p>
        </w:tc>
      </w:tr>
      <w:tr w:rsidR="007659ED" w14:paraId="6C701DE7" w14:textId="77777777" w:rsidTr="00EF178D">
        <w:trPr>
          <w:gridAfter w:val="1"/>
          <w:wAfter w:w="4877" w:type="dxa"/>
          <w:cantSplit/>
        </w:trPr>
        <w:tc>
          <w:tcPr>
            <w:tcW w:w="5329" w:type="dxa"/>
            <w:gridSpan w:val="4"/>
          </w:tcPr>
          <w:p w14:paraId="6391D39D" w14:textId="4911600A" w:rsidR="007659ED" w:rsidRDefault="007659ED" w:rsidP="00486ECB">
            <w:pPr>
              <w:tabs>
                <w:tab w:val="clear" w:pos="794"/>
                <w:tab w:val="clear" w:pos="1191"/>
                <w:tab w:val="clear" w:pos="1588"/>
                <w:tab w:val="clear" w:pos="1985"/>
                <w:tab w:val="left" w:pos="284"/>
              </w:tabs>
              <w:spacing w:before="40" w:after="40"/>
              <w:ind w:left="284" w:hanging="227"/>
            </w:pPr>
          </w:p>
        </w:tc>
      </w:tr>
      <w:tr w:rsidR="007B6316" w14:paraId="41C87E97" w14:textId="77777777" w:rsidTr="00EF178D">
        <w:trPr>
          <w:cantSplit/>
        </w:trPr>
        <w:tc>
          <w:tcPr>
            <w:tcW w:w="1154" w:type="dxa"/>
          </w:tcPr>
          <w:p w14:paraId="24380807" w14:textId="77777777" w:rsidR="007B6316" w:rsidRPr="007B6316" w:rsidRDefault="007B6316" w:rsidP="007D3749">
            <w:pPr>
              <w:ind w:left="57"/>
            </w:pPr>
            <w:r w:rsidRPr="007B6316">
              <w:t>Asunto:</w:t>
            </w:r>
          </w:p>
        </w:tc>
        <w:tc>
          <w:tcPr>
            <w:tcW w:w="9052" w:type="dxa"/>
            <w:gridSpan w:val="4"/>
          </w:tcPr>
          <w:p w14:paraId="1498B79B" w14:textId="43BBD8DD" w:rsidR="007B6316" w:rsidRPr="007D3749" w:rsidRDefault="00486ECB" w:rsidP="00355DAF">
            <w:pPr>
              <w:tabs>
                <w:tab w:val="left" w:pos="4111"/>
              </w:tabs>
              <w:spacing w:after="120"/>
              <w:ind w:left="57"/>
              <w:rPr>
                <w:b/>
                <w:bCs/>
              </w:rPr>
            </w:pPr>
            <w:r w:rsidRPr="00486ECB">
              <w:rPr>
                <w:rFonts w:eastAsia="SimSun"/>
                <w:b/>
                <w:bCs/>
              </w:rPr>
              <w:t>Consulta a los Estados Miembros sobre l</w:t>
            </w:r>
            <w:r w:rsidR="00965B56">
              <w:rPr>
                <w:rFonts w:eastAsia="SimSun"/>
                <w:b/>
                <w:bCs/>
              </w:rPr>
              <w:t>os</w:t>
            </w:r>
            <w:r w:rsidRPr="00486ECB">
              <w:rPr>
                <w:rFonts w:eastAsia="SimSun"/>
                <w:b/>
                <w:bCs/>
              </w:rPr>
              <w:t xml:space="preserve"> proyecto</w:t>
            </w:r>
            <w:r w:rsidR="00965B56">
              <w:rPr>
                <w:rFonts w:eastAsia="SimSun"/>
                <w:b/>
                <w:bCs/>
              </w:rPr>
              <w:t>s</w:t>
            </w:r>
            <w:r w:rsidRPr="00486ECB">
              <w:rPr>
                <w:rFonts w:eastAsia="SimSun"/>
                <w:b/>
                <w:bCs/>
              </w:rPr>
              <w:t xml:space="preserve"> </w:t>
            </w:r>
            <w:r w:rsidR="00FF0518" w:rsidRPr="00FF0518">
              <w:rPr>
                <w:rFonts w:eastAsia="SimSun"/>
                <w:b/>
                <w:bCs/>
              </w:rPr>
              <w:t xml:space="preserve">de texto </w:t>
            </w:r>
            <w:r w:rsidRPr="00486ECB">
              <w:rPr>
                <w:rFonts w:eastAsia="SimSun"/>
                <w:b/>
                <w:bCs/>
              </w:rPr>
              <w:t>determinado</w:t>
            </w:r>
            <w:r w:rsidR="00965B56">
              <w:rPr>
                <w:rFonts w:eastAsia="SimSun"/>
                <w:b/>
                <w:bCs/>
              </w:rPr>
              <w:t>s</w:t>
            </w:r>
            <w:r w:rsidRPr="00486ECB">
              <w:rPr>
                <w:rFonts w:eastAsia="SimSun"/>
                <w:b/>
                <w:bCs/>
              </w:rPr>
              <w:t xml:space="preserve"> </w:t>
            </w:r>
            <w:r w:rsidR="00965B56">
              <w:rPr>
                <w:rFonts w:eastAsia="SimSun"/>
                <w:b/>
                <w:bCs/>
              </w:rPr>
              <w:t xml:space="preserve">UIT-T </w:t>
            </w:r>
            <w:r w:rsidRPr="00486ECB">
              <w:rPr>
                <w:rFonts w:eastAsia="SimSun"/>
                <w:b/>
                <w:bCs/>
              </w:rPr>
              <w:t>E.156, E.164.2, Enmienda</w:t>
            </w:r>
            <w:r w:rsidR="00355DAF">
              <w:rPr>
                <w:rFonts w:eastAsia="SimSun"/>
                <w:b/>
                <w:bCs/>
              </w:rPr>
              <w:t> </w:t>
            </w:r>
            <w:r w:rsidRPr="00486ECB">
              <w:rPr>
                <w:rFonts w:eastAsia="SimSun"/>
                <w:b/>
                <w:bCs/>
              </w:rPr>
              <w:t>2 a E.212 (2016), Enmienda 1 a E.218 (2004) y M.3362 (ex Mrtafm) propuestos</w:t>
            </w:r>
            <w:r w:rsidR="00EF67AE">
              <w:rPr>
                <w:rFonts w:eastAsia="SimSun"/>
                <w:b/>
                <w:bCs/>
              </w:rPr>
              <w:t xml:space="preserve"> </w:t>
            </w:r>
            <w:r w:rsidRPr="00486ECB">
              <w:rPr>
                <w:rFonts w:eastAsia="SimSun"/>
                <w:b/>
                <w:bCs/>
              </w:rPr>
              <w:t xml:space="preserve">para aprobación en la reunión de la Comisión de Estudio 2 del UIT-T </w:t>
            </w:r>
            <w:r>
              <w:rPr>
                <w:rFonts w:eastAsia="SimSun"/>
                <w:b/>
                <w:bCs/>
              </w:rPr>
              <w:br/>
            </w:r>
            <w:r w:rsidRPr="00486ECB">
              <w:rPr>
                <w:rFonts w:eastAsia="SimSun"/>
                <w:b/>
                <w:bCs/>
              </w:rPr>
              <w:t>(Ginebra, 27 de mayo</w:t>
            </w:r>
            <w:r w:rsidR="00355DAF">
              <w:rPr>
                <w:rFonts w:eastAsia="SimSun"/>
                <w:b/>
                <w:bCs/>
              </w:rPr>
              <w:t xml:space="preserve"> </w:t>
            </w:r>
            <w:r w:rsidR="00355DAF" w:rsidRPr="00355DAF">
              <w:rPr>
                <w:rFonts w:eastAsia="SimSun"/>
                <w:b/>
                <w:bCs/>
              </w:rPr>
              <w:t>–</w:t>
            </w:r>
            <w:r w:rsidR="00355DAF">
              <w:rPr>
                <w:rFonts w:eastAsia="SimSun"/>
                <w:b/>
                <w:bCs/>
              </w:rPr>
              <w:t xml:space="preserve"> </w:t>
            </w:r>
            <w:r w:rsidRPr="00486ECB">
              <w:rPr>
                <w:rFonts w:eastAsia="SimSun"/>
                <w:b/>
                <w:bCs/>
              </w:rPr>
              <w:t>5 de junio de 2020)</w:t>
            </w:r>
          </w:p>
        </w:tc>
      </w:tr>
    </w:tbl>
    <w:p w14:paraId="43AD330F" w14:textId="1B1F6987" w:rsidR="00C34772" w:rsidRDefault="00C34772" w:rsidP="00BC4C71">
      <w:pPr>
        <w:pStyle w:val="Normalaftertitle0"/>
      </w:pPr>
      <w:bookmarkStart w:id="1" w:name="StartTyping_S"/>
      <w:bookmarkStart w:id="2" w:name="suitetext"/>
      <w:bookmarkStart w:id="3" w:name="text"/>
      <w:bookmarkEnd w:id="1"/>
      <w:bookmarkEnd w:id="2"/>
      <w:bookmarkEnd w:id="3"/>
      <w:r>
        <w:t>Muy Señora mía/Muy Señor mío</w:t>
      </w:r>
      <w:r w:rsidR="007659ED">
        <w:t>,</w:t>
      </w:r>
    </w:p>
    <w:p w14:paraId="0C82A31B" w14:textId="5521DF33" w:rsidR="00486ECB" w:rsidRPr="00486ECB" w:rsidRDefault="00486ECB" w:rsidP="00486ECB">
      <w:pPr>
        <w:rPr>
          <w:lang w:val="es-ES"/>
        </w:rPr>
      </w:pPr>
      <w:r w:rsidRPr="00486ECB">
        <w:rPr>
          <w:bCs/>
          <w:lang w:val="es-ES"/>
        </w:rPr>
        <w:t>1</w:t>
      </w:r>
      <w:r w:rsidRPr="00486ECB">
        <w:rPr>
          <w:lang w:val="es-ES"/>
        </w:rPr>
        <w:tab/>
        <w:t>La Comisión de Estudio 2</w:t>
      </w:r>
      <w:r w:rsidR="00EF67AE">
        <w:rPr>
          <w:lang w:val="es-ES"/>
        </w:rPr>
        <w:t xml:space="preserve"> del UIT-T</w:t>
      </w:r>
      <w:r w:rsidRPr="00486ECB">
        <w:rPr>
          <w:lang w:val="es-ES"/>
        </w:rPr>
        <w:t xml:space="preserve"> (</w:t>
      </w:r>
      <w:r w:rsidRPr="00486ECB">
        <w:rPr>
          <w:i/>
          <w:iCs/>
          <w:lang w:val="es-ES"/>
        </w:rPr>
        <w:t>Aspectos operacionales del suministro de servicios y la gestión de las telecomunicaciones</w:t>
      </w:r>
      <w:r w:rsidRPr="00486ECB">
        <w:rPr>
          <w:lang w:val="es-ES"/>
        </w:rPr>
        <w:t>) tiene previsto aplicar el procedimiento de aprobación tradicional descrito en la Sección 9 de la Resolución 1 (Rev. Hammamet, 2016) de la AMNT a efectos de la aprobación de los citados proyectos durante la próxima reunión que se celebrará en Ginebra, del 27 de mayo al 5 de junio de 2020. El orden del día y toda la información pertinente sobre la reunión de la Comisión de Estudio 2 del UIT-T figuran en la Carta Colectiva 6/2.</w:t>
      </w:r>
    </w:p>
    <w:p w14:paraId="0AB80CD7" w14:textId="77777777" w:rsidR="00486ECB" w:rsidRPr="00486ECB" w:rsidRDefault="00486ECB" w:rsidP="00486ECB">
      <w:pPr>
        <w:rPr>
          <w:lang w:val="es-ES"/>
        </w:rPr>
      </w:pPr>
      <w:r w:rsidRPr="00486ECB">
        <w:rPr>
          <w:lang w:val="es-ES"/>
        </w:rPr>
        <w:t>2</w:t>
      </w:r>
      <w:r w:rsidRPr="00486ECB">
        <w:rPr>
          <w:lang w:val="es-ES"/>
        </w:rPr>
        <w:tab/>
        <w:t>El Anexo 1 contiene los títulos, resúmenes y documentos de los proyectos de Recomendación UIT propuestos para aprobación.</w:t>
      </w:r>
    </w:p>
    <w:p w14:paraId="51D15943" w14:textId="77777777" w:rsidR="00486ECB" w:rsidRPr="00486ECB" w:rsidRDefault="00486ECB" w:rsidP="00486ECB">
      <w:pPr>
        <w:rPr>
          <w:lang w:val="es-ES"/>
        </w:rPr>
      </w:pPr>
      <w:r w:rsidRPr="00486ECB">
        <w:rPr>
          <w:lang w:val="es-ES"/>
        </w:rPr>
        <w:t>3</w:t>
      </w:r>
      <w:r w:rsidRPr="00486ECB">
        <w:rPr>
          <w:lang w:val="es-ES"/>
        </w:rPr>
        <w:tab/>
        <w:t>Con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Anexo 2 antes de las 23.59 horas UTC del 15 de mayo de 2020.</w:t>
      </w:r>
    </w:p>
    <w:p w14:paraId="65C52550" w14:textId="77777777" w:rsidR="00355DAF" w:rsidRDefault="00355DAF">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675A5247" w14:textId="54769F2B" w:rsidR="00486ECB" w:rsidRPr="00486ECB" w:rsidRDefault="00486ECB" w:rsidP="00486ECB">
      <w:pPr>
        <w:rPr>
          <w:lang w:val="es-ES"/>
        </w:rPr>
      </w:pPr>
      <w:r w:rsidRPr="00486ECB">
        <w:rPr>
          <w:lang w:val="es-ES"/>
        </w:rPr>
        <w:lastRenderedPageBreak/>
        <w:t>4</w:t>
      </w:r>
      <w:r w:rsidRPr="00486ECB">
        <w:rPr>
          <w:lang w:val="es-ES"/>
        </w:rPr>
        <w:tab/>
        <w:t>Si el 70% como mínimo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24BA558F" w14:textId="70448AC5" w:rsidR="00C75172" w:rsidRDefault="00486ECB" w:rsidP="00486ECB">
      <w:pPr>
        <w:rPr>
          <w:lang w:val="es-ES"/>
        </w:rPr>
      </w:pPr>
      <w:r w:rsidRPr="00486ECB">
        <w:rPr>
          <w:lang w:val="es-ES"/>
        </w:rPr>
        <w:t>Atentamente.</w:t>
      </w:r>
    </w:p>
    <w:p w14:paraId="50199109" w14:textId="108CAC7E" w:rsidR="00486ECB" w:rsidRDefault="00AB1AB1" w:rsidP="007659ED">
      <w:pPr>
        <w:spacing w:before="960"/>
        <w:rPr>
          <w:lang w:val="es-ES"/>
        </w:rPr>
      </w:pPr>
      <w:r>
        <w:rPr>
          <w:noProof/>
          <w:lang w:val="en-GB" w:eastAsia="en-GB"/>
        </w:rPr>
        <w:drawing>
          <wp:anchor distT="0" distB="0" distL="114300" distR="114300" simplePos="0" relativeHeight="251658240" behindDoc="1" locked="0" layoutInCell="1" allowOverlap="1" wp14:anchorId="23ECC9E9" wp14:editId="2AF41570">
            <wp:simplePos x="0" y="0"/>
            <wp:positionH relativeFrom="column">
              <wp:posOffset>3810</wp:posOffset>
            </wp:positionH>
            <wp:positionV relativeFrom="paragraph">
              <wp:posOffset>144780</wp:posOffset>
            </wp:positionV>
            <wp:extent cx="742864" cy="334572"/>
            <wp:effectExtent l="0" t="0" r="63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0">
                      <a:extLst>
                        <a:ext uri="{28A0092B-C50C-407E-A947-70E740481C1C}">
                          <a14:useLocalDpi xmlns:a14="http://schemas.microsoft.com/office/drawing/2010/main" val="0"/>
                        </a:ext>
                      </a:extLst>
                    </a:blip>
                    <a:stretch>
                      <a:fillRect/>
                    </a:stretch>
                  </pic:blipFill>
                  <pic:spPr>
                    <a:xfrm>
                      <a:off x="0" y="0"/>
                      <a:ext cx="742864" cy="334572"/>
                    </a:xfrm>
                    <a:prstGeom prst="rect">
                      <a:avLst/>
                    </a:prstGeom>
                  </pic:spPr>
                </pic:pic>
              </a:graphicData>
            </a:graphic>
            <wp14:sizeRelH relativeFrom="margin">
              <wp14:pctWidth>0</wp14:pctWidth>
            </wp14:sizeRelH>
            <wp14:sizeRelV relativeFrom="margin">
              <wp14:pctHeight>0</wp14:pctHeight>
            </wp14:sizeRelV>
          </wp:anchor>
        </w:drawing>
      </w:r>
      <w:r w:rsidR="00486ECB" w:rsidRPr="00486ECB">
        <w:rPr>
          <w:lang w:val="es-ES"/>
        </w:rPr>
        <w:t>Chaesub Lee</w:t>
      </w:r>
      <w:r w:rsidR="00486ECB" w:rsidRPr="00486ECB">
        <w:rPr>
          <w:lang w:val="es-ES"/>
        </w:rPr>
        <w:br/>
        <w:t xml:space="preserve">Director de la Oficina de </w:t>
      </w:r>
      <w:r w:rsidR="00486ECB" w:rsidRPr="00486ECB">
        <w:rPr>
          <w:lang w:val="es-ES"/>
        </w:rPr>
        <w:br/>
        <w:t>Normalización de las Telecomunicaciones</w:t>
      </w:r>
    </w:p>
    <w:p w14:paraId="1A8A41B1" w14:textId="309C1EBE" w:rsidR="00486ECB" w:rsidRDefault="00486ECB" w:rsidP="00355DAF">
      <w:pPr>
        <w:spacing w:before="840"/>
        <w:rPr>
          <w:lang w:val="es-ES"/>
        </w:rPr>
      </w:pPr>
      <w:r w:rsidRPr="00355DAF">
        <w:rPr>
          <w:b/>
          <w:bCs/>
          <w:lang w:val="es-ES"/>
        </w:rPr>
        <w:t>Anexos</w:t>
      </w:r>
      <w:r w:rsidRPr="00486ECB">
        <w:rPr>
          <w:lang w:val="es-ES"/>
        </w:rPr>
        <w:t>: 2</w:t>
      </w:r>
      <w:bookmarkStart w:id="4" w:name="_GoBack"/>
      <w:bookmarkEnd w:id="4"/>
    </w:p>
    <w:p w14:paraId="06553D8E" w14:textId="77777777" w:rsidR="007659ED" w:rsidRDefault="007659ED">
      <w:pPr>
        <w:tabs>
          <w:tab w:val="clear" w:pos="794"/>
          <w:tab w:val="clear" w:pos="1191"/>
          <w:tab w:val="clear" w:pos="1588"/>
          <w:tab w:val="clear" w:pos="1985"/>
        </w:tabs>
        <w:overflowPunct/>
        <w:autoSpaceDE/>
        <w:autoSpaceDN/>
        <w:adjustRightInd/>
        <w:spacing w:before="0"/>
        <w:textAlignment w:val="auto"/>
        <w:rPr>
          <w:lang w:val="es-ES"/>
        </w:rPr>
      </w:pPr>
    </w:p>
    <w:p w14:paraId="7F0BF77A" w14:textId="77777777" w:rsidR="007659ED" w:rsidRDefault="007659ED">
      <w:pPr>
        <w:tabs>
          <w:tab w:val="clear" w:pos="794"/>
          <w:tab w:val="clear" w:pos="1191"/>
          <w:tab w:val="clear" w:pos="1588"/>
          <w:tab w:val="clear" w:pos="1985"/>
        </w:tabs>
        <w:overflowPunct/>
        <w:autoSpaceDE/>
        <w:autoSpaceDN/>
        <w:adjustRightInd/>
        <w:spacing w:before="0"/>
        <w:textAlignment w:val="auto"/>
        <w:rPr>
          <w:lang w:val="es-ES"/>
        </w:rPr>
      </w:pPr>
    </w:p>
    <w:p w14:paraId="76C7E9BC" w14:textId="19B7464E" w:rsidR="00486ECB" w:rsidRDefault="00486ECB">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620CA434" w14:textId="40921601" w:rsidR="00486ECB" w:rsidRPr="00486ECB" w:rsidRDefault="00503E7E" w:rsidP="00486ECB">
      <w:pPr>
        <w:pStyle w:val="AnnexNotitle"/>
        <w:rPr>
          <w:lang w:val="es-ES"/>
        </w:rPr>
      </w:pPr>
      <w:r w:rsidRPr="00486ECB">
        <w:rPr>
          <w:lang w:val="es-ES"/>
        </w:rPr>
        <w:lastRenderedPageBreak/>
        <w:t xml:space="preserve">Anexo </w:t>
      </w:r>
      <w:r w:rsidR="00486ECB" w:rsidRPr="00486ECB">
        <w:rPr>
          <w:lang w:val="es-ES"/>
        </w:rPr>
        <w:t>1</w:t>
      </w:r>
      <w:r w:rsidR="00486ECB" w:rsidRPr="00486ECB">
        <w:rPr>
          <w:lang w:val="es-ES"/>
        </w:rPr>
        <w:br/>
      </w:r>
      <w:r w:rsidR="00486ECB" w:rsidRPr="00486ECB">
        <w:rPr>
          <w:lang w:val="es-ES"/>
        </w:rPr>
        <w:br/>
        <w:t xml:space="preserve">Resumen y ubicación de los proyectos de texto determinados </w:t>
      </w:r>
      <w:r w:rsidR="00486ECB" w:rsidRPr="00486ECB">
        <w:rPr>
          <w:lang w:val="es-ES"/>
        </w:rPr>
        <w:br/>
        <w:t xml:space="preserve">UIT-T E.156, E.164.2, Enmienda 2 a E.212 (2016), </w:t>
      </w:r>
      <w:r w:rsidR="00355DAF">
        <w:rPr>
          <w:lang w:val="es-ES"/>
        </w:rPr>
        <w:br/>
      </w:r>
      <w:r w:rsidR="00486ECB" w:rsidRPr="00486ECB">
        <w:rPr>
          <w:lang w:val="es-ES"/>
        </w:rPr>
        <w:t>Enmienda 1 a E.218 (2004) y M.3362 (ex Mrtafm)</w:t>
      </w:r>
    </w:p>
    <w:p w14:paraId="1A044E16" w14:textId="28F5FDF3" w:rsidR="00486ECB" w:rsidRPr="00486ECB" w:rsidRDefault="00486ECB" w:rsidP="00486ECB">
      <w:pPr>
        <w:pStyle w:val="Heading1"/>
        <w:rPr>
          <w:lang w:val="es-ES"/>
        </w:rPr>
      </w:pPr>
      <w:r w:rsidRPr="00486ECB">
        <w:rPr>
          <w:lang w:val="es-ES"/>
        </w:rPr>
        <w:t>1</w:t>
      </w:r>
      <w:r w:rsidRPr="00486ECB">
        <w:rPr>
          <w:lang w:val="es-ES"/>
        </w:rPr>
        <w:tab/>
      </w:r>
      <w:bookmarkStart w:id="5" w:name="lt_pId074"/>
      <w:r w:rsidRPr="00486ECB">
        <w:rPr>
          <w:lang w:val="es-ES"/>
        </w:rPr>
        <w:t xml:space="preserve">Proyecto de Recomendación UIT-T </w:t>
      </w:r>
      <w:bookmarkEnd w:id="5"/>
      <w:r w:rsidRPr="00486ECB">
        <w:rPr>
          <w:lang w:val="es-ES"/>
        </w:rPr>
        <w:t>E.156 revisada [</w:t>
      </w:r>
      <w:hyperlink r:id="rId11" w:history="1">
        <w:r w:rsidRPr="00486ECB">
          <w:rPr>
            <w:rStyle w:val="Hyperlink"/>
            <w:lang w:val="es-ES"/>
          </w:rPr>
          <w:t>SG2-R19</w:t>
        </w:r>
      </w:hyperlink>
      <w:r w:rsidRPr="00486ECB">
        <w:rPr>
          <w:lang w:val="es-ES"/>
        </w:rPr>
        <w:t>]</w:t>
      </w:r>
    </w:p>
    <w:p w14:paraId="32346AC0" w14:textId="53521133" w:rsidR="00486ECB" w:rsidRPr="00486ECB" w:rsidRDefault="00486ECB" w:rsidP="00486ECB">
      <w:pPr>
        <w:pStyle w:val="Headingb0"/>
        <w:rPr>
          <w:lang w:val="es-ES"/>
        </w:rPr>
      </w:pPr>
      <w:r w:rsidRPr="00486ECB">
        <w:rPr>
          <w:lang w:val="es-ES"/>
        </w:rPr>
        <w:t>Directrices para la acción del UIT-T en caso de utilización indebida de recursos de numeración</w:t>
      </w:r>
      <w:r w:rsidR="007F7E66">
        <w:rPr>
          <w:lang w:val="es-ES"/>
        </w:rPr>
        <w:t> </w:t>
      </w:r>
      <w:r w:rsidRPr="00486ECB">
        <w:rPr>
          <w:lang w:val="es-ES"/>
        </w:rPr>
        <w:t>E.164</w:t>
      </w:r>
    </w:p>
    <w:p w14:paraId="1FF0098A" w14:textId="77777777" w:rsidR="00486ECB" w:rsidRPr="00486ECB" w:rsidRDefault="00486ECB" w:rsidP="00486ECB">
      <w:pPr>
        <w:pStyle w:val="Headingb0"/>
        <w:rPr>
          <w:lang w:val="es-ES"/>
        </w:rPr>
      </w:pPr>
      <w:r w:rsidRPr="00486ECB">
        <w:rPr>
          <w:lang w:val="es-ES"/>
        </w:rPr>
        <w:t>Resumen</w:t>
      </w:r>
    </w:p>
    <w:p w14:paraId="56AAB90A" w14:textId="6CB2874A" w:rsidR="00486ECB" w:rsidRPr="00486ECB" w:rsidRDefault="00486ECB" w:rsidP="00486ECB">
      <w:pPr>
        <w:rPr>
          <w:lang w:val="es-ES"/>
        </w:rPr>
      </w:pPr>
      <w:bookmarkStart w:id="6" w:name="lt_pId081"/>
      <w:r w:rsidRPr="00486ECB">
        <w:rPr>
          <w:lang w:val="es-ES"/>
        </w:rPr>
        <w:t>En la Recomendación UIT-T E.156 se describen los procedimientos para la presentación de informes y la adopción de medidas respecto de la supuesta utilización indebida de números. También se describen los procedimientos que debe aplicar el Director de la TSB al recibir informes de supuesto uso indebido por parte de los miembros, incluidos los métodos para tratar y contrarrestar cualquier uso indebido cuando dichos informes se someten a su atención.</w:t>
      </w:r>
    </w:p>
    <w:bookmarkEnd w:id="6"/>
    <w:p w14:paraId="6E89A087" w14:textId="17DE8636" w:rsidR="00486ECB" w:rsidRPr="00486ECB" w:rsidRDefault="00486ECB" w:rsidP="00486ECB">
      <w:pPr>
        <w:pStyle w:val="Heading1"/>
        <w:rPr>
          <w:lang w:val="es-ES"/>
        </w:rPr>
      </w:pPr>
      <w:r w:rsidRPr="00486ECB">
        <w:rPr>
          <w:lang w:val="es-ES"/>
        </w:rPr>
        <w:t>2</w:t>
      </w:r>
      <w:r w:rsidRPr="00486ECB">
        <w:rPr>
          <w:lang w:val="es-ES"/>
        </w:rPr>
        <w:tab/>
      </w:r>
      <w:bookmarkStart w:id="7" w:name="lt_pId090"/>
      <w:r w:rsidRPr="00486ECB">
        <w:rPr>
          <w:lang w:val="es-ES"/>
        </w:rPr>
        <w:t>Proyecto de Recomendación UIT-T E.164.2</w:t>
      </w:r>
      <w:bookmarkEnd w:id="7"/>
      <w:r w:rsidR="00965B56">
        <w:rPr>
          <w:lang w:val="es-ES"/>
        </w:rPr>
        <w:t xml:space="preserve"> </w:t>
      </w:r>
      <w:r w:rsidR="00965B56" w:rsidRPr="00965B56">
        <w:rPr>
          <w:lang w:val="es-ES"/>
        </w:rPr>
        <w:t>revisada</w:t>
      </w:r>
      <w:r w:rsidRPr="00486ECB">
        <w:rPr>
          <w:lang w:val="es-ES"/>
        </w:rPr>
        <w:t xml:space="preserve"> </w:t>
      </w:r>
      <w:r w:rsidRPr="00486ECB">
        <w:rPr>
          <w:bCs/>
          <w:lang w:val="es-ES"/>
        </w:rPr>
        <w:t>[</w:t>
      </w:r>
      <w:hyperlink r:id="rId12" w:history="1">
        <w:r w:rsidRPr="00486ECB">
          <w:rPr>
            <w:rStyle w:val="Hyperlink"/>
            <w:bCs/>
            <w:lang w:val="es-ES"/>
          </w:rPr>
          <w:t>SG2-R20</w:t>
        </w:r>
      </w:hyperlink>
      <w:r w:rsidRPr="00486ECB">
        <w:rPr>
          <w:bCs/>
          <w:lang w:val="es-ES"/>
        </w:rPr>
        <w:t>]</w:t>
      </w:r>
    </w:p>
    <w:p w14:paraId="30E04A76" w14:textId="77777777" w:rsidR="00486ECB" w:rsidRPr="00486ECB" w:rsidRDefault="00486ECB" w:rsidP="00486ECB">
      <w:pPr>
        <w:pStyle w:val="Headingb0"/>
        <w:rPr>
          <w:lang w:val="es-ES"/>
        </w:rPr>
      </w:pPr>
      <w:r w:rsidRPr="00486ECB">
        <w:rPr>
          <w:lang w:val="es-ES"/>
        </w:rPr>
        <w:t>Recursos de numeración E.164 para ensayos</w:t>
      </w:r>
    </w:p>
    <w:p w14:paraId="27956E9B" w14:textId="77777777" w:rsidR="00486ECB" w:rsidRPr="00486ECB" w:rsidRDefault="00486ECB" w:rsidP="00486ECB">
      <w:pPr>
        <w:pStyle w:val="Headingb0"/>
        <w:rPr>
          <w:lang w:val="es-ES"/>
        </w:rPr>
      </w:pPr>
      <w:r w:rsidRPr="00486ECB">
        <w:rPr>
          <w:lang w:val="es-ES"/>
        </w:rPr>
        <w:t>Resumen</w:t>
      </w:r>
    </w:p>
    <w:p w14:paraId="2AC0ECB4" w14:textId="54F25E38" w:rsidR="00486ECB" w:rsidRPr="00486ECB" w:rsidRDefault="00486ECB" w:rsidP="00486ECB">
      <w:pPr>
        <w:rPr>
          <w:lang w:val="es-ES"/>
        </w:rPr>
      </w:pPr>
      <w:bookmarkStart w:id="8" w:name="lt_pId096"/>
      <w:r w:rsidRPr="00486ECB">
        <w:rPr>
          <w:lang w:val="es-ES"/>
        </w:rPr>
        <w:t xml:space="preserve">En la Recomendación UIT-T E.164.2 se especifican los criterios y procedimientos para la asignación temporal, a un solicitante, de un código de identificación de tres dígitos dentro del indicativo de país compartido 991 de la Recomendación </w:t>
      </w:r>
      <w:r w:rsidR="00965B56">
        <w:rPr>
          <w:lang w:val="es-ES"/>
        </w:rPr>
        <w:t xml:space="preserve">UIT-T </w:t>
      </w:r>
      <w:r w:rsidRPr="00486ECB">
        <w:rPr>
          <w:lang w:val="es-ES"/>
        </w:rPr>
        <w:t>E.164, con el fin de efectuar un ensayo internacional no comercial. El ensayo tendrá por objeto determinar la viabilidad de un nuevo servicio público internacional de correspondencia.</w:t>
      </w:r>
    </w:p>
    <w:p w14:paraId="4645784D" w14:textId="5C1037FD" w:rsidR="00486ECB" w:rsidRPr="00486ECB" w:rsidRDefault="00486ECB" w:rsidP="00486ECB">
      <w:pPr>
        <w:pStyle w:val="Heading1"/>
        <w:rPr>
          <w:lang w:val="es-ES"/>
        </w:rPr>
      </w:pPr>
      <w:r w:rsidRPr="00486ECB">
        <w:rPr>
          <w:lang w:val="es-ES"/>
        </w:rPr>
        <w:t>3</w:t>
      </w:r>
      <w:r w:rsidRPr="00486ECB">
        <w:rPr>
          <w:lang w:val="es-ES"/>
        </w:rPr>
        <w:tab/>
        <w:t xml:space="preserve">Proyecto de </w:t>
      </w:r>
      <w:r w:rsidR="00965B56" w:rsidRPr="00486ECB">
        <w:rPr>
          <w:lang w:val="es-ES"/>
        </w:rPr>
        <w:t xml:space="preserve">Enmienda </w:t>
      </w:r>
      <w:r w:rsidRPr="00486ECB">
        <w:rPr>
          <w:lang w:val="es-ES"/>
        </w:rPr>
        <w:t xml:space="preserve">2 a la Recomendación UIT-T E.212 (2016) </w:t>
      </w:r>
      <w:r w:rsidRPr="00486ECB">
        <w:rPr>
          <w:bCs/>
          <w:lang w:val="es-ES"/>
        </w:rPr>
        <w:t>[</w:t>
      </w:r>
      <w:hyperlink r:id="rId13" w:history="1">
        <w:r w:rsidRPr="00486ECB">
          <w:rPr>
            <w:rStyle w:val="Hyperlink"/>
            <w:bCs/>
            <w:lang w:val="es-ES"/>
          </w:rPr>
          <w:t>SG2-R21</w:t>
        </w:r>
      </w:hyperlink>
      <w:r w:rsidRPr="00486ECB">
        <w:rPr>
          <w:bCs/>
          <w:lang w:val="es-ES"/>
        </w:rPr>
        <w:t>]</w:t>
      </w:r>
    </w:p>
    <w:p w14:paraId="722503AD" w14:textId="77777777" w:rsidR="00486ECB" w:rsidRPr="00486ECB" w:rsidRDefault="00486ECB" w:rsidP="00486ECB">
      <w:pPr>
        <w:pStyle w:val="Headingb0"/>
        <w:rPr>
          <w:lang w:val="es-ES"/>
        </w:rPr>
      </w:pPr>
      <w:r w:rsidRPr="00486ECB">
        <w:rPr>
          <w:lang w:val="es-ES"/>
        </w:rPr>
        <w:t xml:space="preserve">Plan de identificación internacional para redes públicas y suscripciones – Anexo G: Asignación de indicativos de país para el servicio móvil (MCC) E.212 para ensayos </w:t>
      </w:r>
    </w:p>
    <w:p w14:paraId="110AFEA9" w14:textId="77777777" w:rsidR="00486ECB" w:rsidRPr="00486ECB" w:rsidRDefault="00486ECB" w:rsidP="00486ECB">
      <w:pPr>
        <w:pStyle w:val="Headingb0"/>
        <w:rPr>
          <w:lang w:val="es-ES"/>
        </w:rPr>
      </w:pPr>
      <w:r w:rsidRPr="00486ECB">
        <w:rPr>
          <w:lang w:val="es-ES"/>
        </w:rPr>
        <w:t>Resumen</w:t>
      </w:r>
    </w:p>
    <w:p w14:paraId="6DD841C7" w14:textId="77777777" w:rsidR="00486ECB" w:rsidRPr="00486ECB" w:rsidRDefault="00486ECB" w:rsidP="00486ECB">
      <w:pPr>
        <w:rPr>
          <w:lang w:val="es-ES"/>
        </w:rPr>
      </w:pPr>
      <w:r w:rsidRPr="00486ECB">
        <w:rPr>
          <w:lang w:val="es-ES"/>
        </w:rPr>
        <w:t>El Anexo G a la Recomendación UIT-T E.212 contiene los criterios y procedimientos para asignar temporalmente a un solicitante un indicativo de red móvil (MNC) de dos dígitos dentro del indicativo de país para el servicio móvil 991 compartido E.212 con el fin de realizar un ensayo internacional no comercial.</w:t>
      </w:r>
    </w:p>
    <w:p w14:paraId="1C606BD4" w14:textId="4FEE1CE7" w:rsidR="00486ECB" w:rsidRPr="00486ECB" w:rsidRDefault="00486ECB" w:rsidP="00486ECB">
      <w:pPr>
        <w:pStyle w:val="Heading1"/>
        <w:rPr>
          <w:lang w:val="es-ES"/>
        </w:rPr>
      </w:pPr>
      <w:r w:rsidRPr="00486ECB">
        <w:rPr>
          <w:lang w:val="es-ES"/>
        </w:rPr>
        <w:lastRenderedPageBreak/>
        <w:t>4</w:t>
      </w:r>
      <w:r w:rsidRPr="00486ECB">
        <w:rPr>
          <w:lang w:val="es-ES"/>
        </w:rPr>
        <w:tab/>
        <w:t xml:space="preserve">Proyecto de </w:t>
      </w:r>
      <w:r w:rsidR="00965B56" w:rsidRPr="00486ECB">
        <w:rPr>
          <w:lang w:val="es-ES"/>
        </w:rPr>
        <w:t xml:space="preserve">Enmienda </w:t>
      </w:r>
      <w:r w:rsidRPr="00486ECB">
        <w:rPr>
          <w:lang w:val="es-ES"/>
        </w:rPr>
        <w:t xml:space="preserve">1 a la Recomendación UIT-T E.218 (2004) </w:t>
      </w:r>
      <w:r w:rsidRPr="00486ECB">
        <w:rPr>
          <w:bCs/>
          <w:lang w:val="es-ES"/>
        </w:rPr>
        <w:t>[</w:t>
      </w:r>
      <w:hyperlink r:id="rId14" w:history="1">
        <w:r w:rsidRPr="00486ECB">
          <w:rPr>
            <w:rStyle w:val="Hyperlink"/>
            <w:bCs/>
            <w:lang w:val="es-ES"/>
          </w:rPr>
          <w:t>SG2-R22</w:t>
        </w:r>
      </w:hyperlink>
      <w:r w:rsidRPr="00486ECB">
        <w:rPr>
          <w:bCs/>
          <w:lang w:val="es-ES"/>
        </w:rPr>
        <w:t>]</w:t>
      </w:r>
    </w:p>
    <w:p w14:paraId="3A15534C" w14:textId="5772B6B6" w:rsidR="00486ECB" w:rsidRPr="00486ECB" w:rsidRDefault="00486ECB" w:rsidP="00355DAF">
      <w:pPr>
        <w:pStyle w:val="Headingb0"/>
        <w:keepLines/>
        <w:rPr>
          <w:lang w:val="es-ES"/>
        </w:rPr>
      </w:pPr>
      <w:r w:rsidRPr="00486ECB">
        <w:rPr>
          <w:lang w:val="es-ES"/>
        </w:rPr>
        <w:t xml:space="preserve">Gestión </w:t>
      </w:r>
      <w:bookmarkStart w:id="9" w:name="_Hlk32500230"/>
      <w:r w:rsidRPr="00486ECB">
        <w:rPr>
          <w:lang w:val="es-ES"/>
        </w:rPr>
        <w:t xml:space="preserve">de la atribución de indicativos de país para el servicio móvil de radiocomunicación con concentración de enlaces terrenales </w:t>
      </w:r>
      <w:bookmarkEnd w:id="9"/>
      <w:r w:rsidRPr="00486ECB">
        <w:rPr>
          <w:lang w:val="es-ES"/>
        </w:rPr>
        <w:t xml:space="preserve">– Anexo B: Criterios y procedimientos de asignación y reclamación de los indicativos de país UIT-T E.218 para el servicio móvil de acceso radioeléctrico con concentración de enlaces terrenales ((T)MCC) para las redes y sus respectivos indicativos de red para el servicio móvil de acceso radioeléctrico con concentración de enlaces terrenales </w:t>
      </w:r>
      <w:bookmarkStart w:id="10" w:name="_Hlk32508294"/>
      <w:r w:rsidRPr="00486ECB">
        <w:rPr>
          <w:lang w:val="es-ES"/>
        </w:rPr>
        <w:t>((T)MNC)</w:t>
      </w:r>
      <w:bookmarkEnd w:id="10"/>
    </w:p>
    <w:p w14:paraId="5F2955B0" w14:textId="77777777" w:rsidR="00486ECB" w:rsidRPr="00486ECB" w:rsidRDefault="00486ECB" w:rsidP="00486ECB">
      <w:pPr>
        <w:pStyle w:val="Headingb0"/>
        <w:rPr>
          <w:lang w:val="es-ES"/>
        </w:rPr>
      </w:pPr>
      <w:r w:rsidRPr="00486ECB">
        <w:rPr>
          <w:lang w:val="es-ES"/>
        </w:rPr>
        <w:t>Resumen</w:t>
      </w:r>
    </w:p>
    <w:p w14:paraId="4FC91AED" w14:textId="07EE41DB" w:rsidR="00486ECB" w:rsidRPr="00486ECB" w:rsidRDefault="00486ECB" w:rsidP="00486ECB">
      <w:pPr>
        <w:rPr>
          <w:lang w:val="es-ES"/>
        </w:rPr>
      </w:pPr>
      <w:r w:rsidRPr="00486ECB">
        <w:rPr>
          <w:lang w:val="es-ES"/>
        </w:rPr>
        <w:t>En el Anexo B de la Recomendación UIT-T E.218 se especifica la administración de la atribución de indicativos de país para el servicio móvil de radiocomunicación con concentración de enlaces terrenales por parte del UIT-T detallando el alcance del recurso aba</w:t>
      </w:r>
      <w:r w:rsidR="002B6E60">
        <w:rPr>
          <w:lang w:val="es-ES"/>
        </w:rPr>
        <w:t>r</w:t>
      </w:r>
      <w:r w:rsidRPr="00486ECB">
        <w:rPr>
          <w:lang w:val="es-ES"/>
        </w:rPr>
        <w:t>cado por el Anexo. En el Anexo también se especifican los principios utilizados para la asignación, los criterios de asignación (contra los que se evaluarán las solicitudes de asignación de los criterios y procedimientos para la asignación de indicativos de red para el servicio móvil de radiocomunicación con concentración de enlaces terrenales), el proceso de examen de la solicitud, y las circunstancias en las que se reclamaría un indicativo de red móvil de radiocomunicación con concentración de enlaces terrenales.</w:t>
      </w:r>
      <w:bookmarkEnd w:id="8"/>
    </w:p>
    <w:p w14:paraId="711AD5B4" w14:textId="334B3F52" w:rsidR="00486ECB" w:rsidRPr="00486ECB" w:rsidRDefault="00486ECB" w:rsidP="00486ECB">
      <w:pPr>
        <w:pStyle w:val="Heading1"/>
        <w:rPr>
          <w:lang w:val="es-ES"/>
        </w:rPr>
      </w:pPr>
      <w:bookmarkStart w:id="11" w:name="lt_pId103"/>
      <w:r w:rsidRPr="00486ECB">
        <w:rPr>
          <w:lang w:val="es-ES"/>
        </w:rPr>
        <w:t>5</w:t>
      </w:r>
      <w:r w:rsidRPr="00486ECB">
        <w:rPr>
          <w:lang w:val="es-ES"/>
        </w:rPr>
        <w:tab/>
        <w:t xml:space="preserve">Proyecto de nueva Recomendación UIT-T M.3362 </w:t>
      </w:r>
      <w:r w:rsidRPr="00486ECB">
        <w:rPr>
          <w:bCs/>
          <w:lang w:val="es-ES"/>
        </w:rPr>
        <w:t>[</w:t>
      </w:r>
      <w:hyperlink r:id="rId15" w:history="1">
        <w:r w:rsidRPr="00486ECB">
          <w:rPr>
            <w:rStyle w:val="Hyperlink"/>
          </w:rPr>
          <w:t>SG2-R23</w:t>
        </w:r>
      </w:hyperlink>
      <w:r w:rsidRPr="00486ECB">
        <w:rPr>
          <w:bCs/>
          <w:lang w:val="es-ES"/>
        </w:rPr>
        <w:t>]</w:t>
      </w:r>
    </w:p>
    <w:p w14:paraId="2D8551E7" w14:textId="77777777" w:rsidR="00486ECB" w:rsidRPr="00486ECB" w:rsidRDefault="00486ECB" w:rsidP="00486ECB">
      <w:pPr>
        <w:pStyle w:val="Headingb0"/>
        <w:rPr>
          <w:lang w:val="es-ES"/>
        </w:rPr>
      </w:pPr>
      <w:r w:rsidRPr="00486ECB">
        <w:rPr>
          <w:lang w:val="es-ES"/>
        </w:rPr>
        <w:t>Requisitos para la gestión de lucha contra el fraude de telecomunicaciones en la RGT</w:t>
      </w:r>
    </w:p>
    <w:p w14:paraId="6EA3D9F7" w14:textId="77777777" w:rsidR="00486ECB" w:rsidRPr="00486ECB" w:rsidRDefault="00486ECB" w:rsidP="00486ECB">
      <w:pPr>
        <w:pStyle w:val="Headingb0"/>
        <w:rPr>
          <w:lang w:val="es-ES"/>
        </w:rPr>
      </w:pPr>
      <w:r w:rsidRPr="00486ECB">
        <w:rPr>
          <w:lang w:val="es-ES"/>
        </w:rPr>
        <w:t>Resumen</w:t>
      </w:r>
    </w:p>
    <w:p w14:paraId="1EEDCAC6" w14:textId="77777777" w:rsidR="00486ECB" w:rsidRPr="00486ECB" w:rsidRDefault="00486ECB" w:rsidP="00486ECB">
      <w:pPr>
        <w:rPr>
          <w:lang w:val="es-ES"/>
        </w:rPr>
      </w:pPr>
      <w:r w:rsidRPr="00486ECB">
        <w:rPr>
          <w:lang w:val="es-ES"/>
        </w:rPr>
        <w:t>En la Recomendación UIT-T M.3362 se describen los requisitos para la gestión antifraude de las telecomunicaciones en la red de gestión de las telecomunicaciones (RGT), el marco funcional para la gestión antifraude de las telecomunicaciones y la descripción funcional. Los requisitos para la gestión antifraude de las telecomunicaciones incluyen la gestión de la detección del fraude, la gestión de la supervisión del fraude, la gestión de la mitigación del fraude y la gestión del intercambio de información sobre el fraude.</w:t>
      </w:r>
      <w:bookmarkEnd w:id="11"/>
      <w:r w:rsidRPr="00486ECB">
        <w:t xml:space="preserve"> </w:t>
      </w:r>
      <w:r w:rsidRPr="00486ECB">
        <w:rPr>
          <w:lang w:val="es-ES"/>
        </w:rPr>
        <w:t>En esta Recomendación se describen también los escenarios de fraude en las telecomunicaciones, incluidas las llamadas molestas y las llamadas falsificadas.</w:t>
      </w:r>
    </w:p>
    <w:p w14:paraId="5316E5EE" w14:textId="1EFBEAF2" w:rsidR="00486ECB" w:rsidRPr="00486ECB" w:rsidRDefault="00486ECB" w:rsidP="00486ECB">
      <w:pPr>
        <w:rPr>
          <w:lang w:val="es-ES"/>
        </w:rPr>
      </w:pPr>
      <w:r w:rsidRPr="00486ECB">
        <w:rPr>
          <w:lang w:val="es-ES"/>
        </w:rPr>
        <w:t>No se han preparado documentos de justificación UIT-T A.5 para ninguno de los proyectos de texto determinado</w:t>
      </w:r>
      <w:r w:rsidR="00FF0518">
        <w:rPr>
          <w:lang w:val="es-ES"/>
        </w:rPr>
        <w:t>s</w:t>
      </w:r>
      <w:r w:rsidRPr="00486ECB">
        <w:rPr>
          <w:lang w:val="es-ES"/>
        </w:rPr>
        <w:t xml:space="preserve"> antes mencionados.</w:t>
      </w:r>
    </w:p>
    <w:p w14:paraId="307FCDBA" w14:textId="1DCBFFD8" w:rsidR="00486ECB" w:rsidRPr="00486ECB" w:rsidRDefault="00486ECB" w:rsidP="00486ECB">
      <w:pPr>
        <w:pStyle w:val="Note"/>
      </w:pPr>
      <w:r w:rsidRPr="00486ECB">
        <w:rPr>
          <w:lang w:val="es-ES"/>
        </w:rPr>
        <w:t xml:space="preserve">NOTA DE LA TSB – En la fecha de la presente Circular, la TSB no ha recibido ninguna declaración de derechos de propiedad intelectual en relación con estos proyectos de texto. Para tener información actualizada, se invita a los miembros a consultar la base de datos de DPI en la dirección </w:t>
      </w:r>
      <w:hyperlink r:id="rId16" w:history="1">
        <w:r w:rsidRPr="00486ECB">
          <w:rPr>
            <w:rStyle w:val="Hyperlink"/>
            <w:lang w:val="es-ES"/>
          </w:rPr>
          <w:t>www.itu.int/ipr/</w:t>
        </w:r>
      </w:hyperlink>
      <w:r w:rsidRPr="00486ECB">
        <w:rPr>
          <w:lang w:val="es-ES"/>
        </w:rPr>
        <w:t>.</w:t>
      </w:r>
    </w:p>
    <w:p w14:paraId="137B8FDB" w14:textId="77777777" w:rsidR="00486ECB" w:rsidRPr="00486ECB" w:rsidRDefault="00486ECB" w:rsidP="00486ECB">
      <w:pPr>
        <w:rPr>
          <w:b/>
          <w:lang w:val="es-ES"/>
        </w:rPr>
      </w:pPr>
      <w:r w:rsidRPr="00486ECB">
        <w:rPr>
          <w:lang w:val="es-ES"/>
        </w:rPr>
        <w:br w:type="page"/>
      </w:r>
    </w:p>
    <w:p w14:paraId="064A8CCB" w14:textId="13CF9E63" w:rsidR="00486ECB" w:rsidRPr="00486ECB" w:rsidRDefault="00503E7E" w:rsidP="00486ECB">
      <w:pPr>
        <w:pStyle w:val="AnnexNotitle"/>
        <w:rPr>
          <w:lang w:val="es-ES"/>
        </w:rPr>
      </w:pPr>
      <w:r w:rsidRPr="00486ECB">
        <w:rPr>
          <w:lang w:val="es-ES"/>
        </w:rPr>
        <w:lastRenderedPageBreak/>
        <w:t xml:space="preserve">Anexo </w:t>
      </w:r>
      <w:r w:rsidR="00486ECB" w:rsidRPr="00486ECB">
        <w:rPr>
          <w:lang w:val="es-ES"/>
        </w:rPr>
        <w:t>2</w:t>
      </w:r>
      <w:r w:rsidR="00486ECB" w:rsidRPr="00486ECB">
        <w:rPr>
          <w:lang w:val="es-ES"/>
        </w:rPr>
        <w:br/>
      </w:r>
      <w:r w:rsidR="00486ECB" w:rsidRPr="00486ECB">
        <w:rPr>
          <w:lang w:val="es-ES"/>
        </w:rPr>
        <w:br/>
        <w:t>Asunto: Respuesta de Estado Miembro a la Circular 2</w:t>
      </w:r>
      <w:r w:rsidR="00FF0518">
        <w:rPr>
          <w:lang w:val="es-ES"/>
        </w:rPr>
        <w:t>2</w:t>
      </w:r>
      <w:r w:rsidR="00486ECB" w:rsidRPr="00486ECB">
        <w:rPr>
          <w:lang w:val="es-ES"/>
        </w:rPr>
        <w:t>9 de la TSB:</w:t>
      </w:r>
      <w:r w:rsidR="00486ECB" w:rsidRPr="00486ECB">
        <w:rPr>
          <w:lang w:val="es-ES"/>
        </w:rPr>
        <w:br/>
        <w:t xml:space="preserve">Consulta sobre los proyectos de texto determinados </w:t>
      </w:r>
      <w:r w:rsidR="00FF0518">
        <w:rPr>
          <w:lang w:val="es-ES"/>
        </w:rPr>
        <w:t xml:space="preserve">UIT-T </w:t>
      </w:r>
      <w:r w:rsidR="00486ECB" w:rsidRPr="00486ECB">
        <w:rPr>
          <w:lang w:val="es-ES"/>
        </w:rPr>
        <w:t>E.156, E.164.2, Enmienda 2 a E.212 (2016), Enmienda 1 a E.218 (2004) y M.3362 (ex Mrtafm)</w:t>
      </w:r>
    </w:p>
    <w:p w14:paraId="7507FF1D" w14:textId="77777777" w:rsidR="00486ECB" w:rsidRPr="00486ECB" w:rsidRDefault="00486ECB" w:rsidP="00486ECB">
      <w:pPr>
        <w:rPr>
          <w:lang w:val="es-ES"/>
        </w:rPr>
      </w:pPr>
    </w:p>
    <w:tbl>
      <w:tblPr>
        <w:tblW w:w="10240" w:type="dxa"/>
        <w:tblInd w:w="-176" w:type="dxa"/>
        <w:tblLayout w:type="fixed"/>
        <w:tblLook w:val="04A0" w:firstRow="1" w:lastRow="0" w:firstColumn="1" w:lastColumn="0" w:noHBand="0" w:noVBand="1"/>
      </w:tblPr>
      <w:tblGrid>
        <w:gridCol w:w="1169"/>
        <w:gridCol w:w="4788"/>
        <w:gridCol w:w="1165"/>
        <w:gridCol w:w="3118"/>
      </w:tblGrid>
      <w:tr w:rsidR="00486ECB" w:rsidRPr="00486ECB" w14:paraId="07599C52" w14:textId="77777777" w:rsidTr="008264A6">
        <w:tc>
          <w:tcPr>
            <w:tcW w:w="1169" w:type="dxa"/>
            <w:shd w:val="clear" w:color="auto" w:fill="auto"/>
          </w:tcPr>
          <w:p w14:paraId="4ED304A7" w14:textId="77777777" w:rsidR="00486ECB" w:rsidRPr="00486ECB" w:rsidRDefault="00486ECB" w:rsidP="00486ECB">
            <w:pPr>
              <w:jc w:val="right"/>
              <w:rPr>
                <w:b/>
                <w:bCs/>
                <w:lang w:val="es-ES"/>
              </w:rPr>
            </w:pPr>
            <w:bookmarkStart w:id="12" w:name="lt_pId114"/>
            <w:r w:rsidRPr="00486ECB">
              <w:rPr>
                <w:b/>
                <w:bCs/>
                <w:lang w:val="es-ES"/>
              </w:rPr>
              <w:t>A:</w:t>
            </w:r>
            <w:bookmarkEnd w:id="12"/>
          </w:p>
        </w:tc>
        <w:tc>
          <w:tcPr>
            <w:tcW w:w="4788" w:type="dxa"/>
            <w:tcBorders>
              <w:right w:val="single" w:sz="8" w:space="0" w:color="auto"/>
            </w:tcBorders>
            <w:shd w:val="clear" w:color="auto" w:fill="auto"/>
          </w:tcPr>
          <w:p w14:paraId="10666418" w14:textId="77777777" w:rsidR="00486ECB" w:rsidRPr="00486ECB" w:rsidRDefault="00486ECB" w:rsidP="00486ECB">
            <w:pPr>
              <w:rPr>
                <w:lang w:val="es-ES"/>
              </w:rPr>
            </w:pPr>
            <w:bookmarkStart w:id="13" w:name="lt_pId115"/>
            <w:r w:rsidRPr="00486ECB">
              <w:rPr>
                <w:lang w:val="es-ES"/>
              </w:rPr>
              <w:t xml:space="preserve">Director </w:t>
            </w:r>
            <w:bookmarkStart w:id="14" w:name="lt_pId116"/>
            <w:bookmarkEnd w:id="13"/>
            <w:r w:rsidRPr="00486ECB">
              <w:rPr>
                <w:lang w:val="es-ES"/>
              </w:rPr>
              <w:t xml:space="preserve">de la Oficina de </w:t>
            </w:r>
            <w:r w:rsidRPr="00486ECB">
              <w:rPr>
                <w:lang w:val="es-ES"/>
              </w:rPr>
              <w:br/>
              <w:t>Normalización de las Telecomunicaciones,</w:t>
            </w:r>
            <w:bookmarkEnd w:id="14"/>
            <w:r w:rsidRPr="00486ECB">
              <w:rPr>
                <w:lang w:val="es-ES"/>
              </w:rPr>
              <w:t xml:space="preserve"> </w:t>
            </w:r>
            <w:r w:rsidRPr="00486ECB">
              <w:rPr>
                <w:lang w:val="es-ES"/>
              </w:rPr>
              <w:br/>
              <w:t>Unión Internacional de Telecomunicaciones</w:t>
            </w:r>
            <w:bookmarkStart w:id="15" w:name="lt_pId118"/>
            <w:r w:rsidRPr="00486ECB">
              <w:rPr>
                <w:lang w:val="es-ES"/>
              </w:rPr>
              <w:br/>
              <w:t>Place des Nations</w:t>
            </w:r>
            <w:bookmarkStart w:id="16" w:name="lt_pId119"/>
            <w:bookmarkEnd w:id="15"/>
            <w:r w:rsidRPr="00486ECB">
              <w:rPr>
                <w:lang w:val="es-ES"/>
              </w:rPr>
              <w:br/>
              <w:t xml:space="preserve">CH 1211 Ginebra 20, </w:t>
            </w:r>
            <w:bookmarkEnd w:id="16"/>
            <w:r w:rsidRPr="00486ECB">
              <w:rPr>
                <w:lang w:val="es-ES"/>
              </w:rPr>
              <w:t>Suiza</w:t>
            </w:r>
          </w:p>
        </w:tc>
        <w:tc>
          <w:tcPr>
            <w:tcW w:w="1165" w:type="dxa"/>
            <w:tcBorders>
              <w:left w:val="single" w:sz="8" w:space="0" w:color="auto"/>
            </w:tcBorders>
            <w:shd w:val="clear" w:color="auto" w:fill="auto"/>
          </w:tcPr>
          <w:p w14:paraId="431AB600" w14:textId="77777777" w:rsidR="00486ECB" w:rsidRPr="00486ECB" w:rsidRDefault="00486ECB" w:rsidP="00486ECB">
            <w:pPr>
              <w:jc w:val="right"/>
              <w:rPr>
                <w:b/>
                <w:bCs/>
                <w:lang w:val="es-ES"/>
              </w:rPr>
            </w:pPr>
            <w:bookmarkStart w:id="17" w:name="lt_pId120"/>
            <w:r w:rsidRPr="00486ECB">
              <w:rPr>
                <w:b/>
                <w:bCs/>
                <w:lang w:val="es-ES"/>
              </w:rPr>
              <w:t>De:</w:t>
            </w:r>
            <w:bookmarkEnd w:id="17"/>
          </w:p>
        </w:tc>
        <w:tc>
          <w:tcPr>
            <w:tcW w:w="3118" w:type="dxa"/>
            <w:shd w:val="clear" w:color="auto" w:fill="auto"/>
          </w:tcPr>
          <w:p w14:paraId="72C4EA33" w14:textId="5518AFCF" w:rsidR="00486ECB" w:rsidRPr="00486ECB" w:rsidRDefault="00486ECB" w:rsidP="00486ECB">
            <w:pPr>
              <w:rPr>
                <w:lang w:val="es-ES"/>
              </w:rPr>
            </w:pPr>
            <w:bookmarkStart w:id="18" w:name="lt_pId121"/>
            <w:r w:rsidRPr="00486ECB">
              <w:rPr>
                <w:highlight w:val="green"/>
                <w:lang w:val="es-ES"/>
              </w:rPr>
              <w:t>[Nombre]</w:t>
            </w:r>
            <w:bookmarkStart w:id="19" w:name="lt_pId122"/>
            <w:bookmarkEnd w:id="18"/>
            <w:r w:rsidRPr="00486ECB">
              <w:rPr>
                <w:highlight w:val="green"/>
                <w:lang w:val="es-ES"/>
              </w:rPr>
              <w:br/>
              <w:t>[Cargo oficial/</w:t>
            </w:r>
            <w:r w:rsidR="00FF0518" w:rsidRPr="00486ECB">
              <w:rPr>
                <w:highlight w:val="green"/>
                <w:lang w:val="es-ES"/>
              </w:rPr>
              <w:t>t</w:t>
            </w:r>
            <w:r w:rsidRPr="00486ECB">
              <w:rPr>
                <w:highlight w:val="green"/>
                <w:lang w:val="es-ES"/>
              </w:rPr>
              <w:t>ítulo]</w:t>
            </w:r>
            <w:bookmarkStart w:id="20" w:name="lt_pId123"/>
            <w:bookmarkEnd w:id="19"/>
            <w:r w:rsidRPr="00486ECB">
              <w:rPr>
                <w:highlight w:val="green"/>
                <w:lang w:val="es-ES"/>
              </w:rPr>
              <w:br/>
              <w:t>[Dirección]</w:t>
            </w:r>
            <w:bookmarkEnd w:id="20"/>
          </w:p>
        </w:tc>
      </w:tr>
      <w:tr w:rsidR="00486ECB" w:rsidRPr="00486ECB" w14:paraId="783834CC" w14:textId="77777777" w:rsidTr="008264A6">
        <w:tc>
          <w:tcPr>
            <w:tcW w:w="1169" w:type="dxa"/>
            <w:shd w:val="clear" w:color="auto" w:fill="auto"/>
          </w:tcPr>
          <w:p w14:paraId="13CE9796" w14:textId="77777777" w:rsidR="00486ECB" w:rsidRPr="00486ECB" w:rsidRDefault="00486ECB" w:rsidP="00486ECB">
            <w:pPr>
              <w:jc w:val="right"/>
              <w:rPr>
                <w:b/>
                <w:bCs/>
                <w:lang w:val="es-ES"/>
              </w:rPr>
            </w:pPr>
            <w:bookmarkStart w:id="21" w:name="lt_pId124"/>
            <w:r w:rsidRPr="00486ECB">
              <w:rPr>
                <w:b/>
                <w:bCs/>
                <w:lang w:val="es-ES"/>
              </w:rPr>
              <w:t>Fax:</w:t>
            </w:r>
            <w:bookmarkStart w:id="22" w:name="lt_pId125"/>
            <w:bookmarkEnd w:id="21"/>
            <w:r w:rsidRPr="00486ECB">
              <w:rPr>
                <w:b/>
                <w:bCs/>
                <w:lang w:val="es-ES"/>
              </w:rPr>
              <w:br/>
              <w:t>Correo-e:</w:t>
            </w:r>
            <w:bookmarkEnd w:id="22"/>
          </w:p>
        </w:tc>
        <w:tc>
          <w:tcPr>
            <w:tcW w:w="4788" w:type="dxa"/>
            <w:tcBorders>
              <w:right w:val="single" w:sz="8" w:space="0" w:color="auto"/>
            </w:tcBorders>
            <w:shd w:val="clear" w:color="auto" w:fill="auto"/>
          </w:tcPr>
          <w:p w14:paraId="779A05E5" w14:textId="77777777" w:rsidR="00486ECB" w:rsidRPr="00486ECB" w:rsidRDefault="00486ECB" w:rsidP="00486ECB">
            <w:pPr>
              <w:rPr>
                <w:lang w:val="es-ES"/>
              </w:rPr>
            </w:pPr>
            <w:r w:rsidRPr="00486ECB">
              <w:rPr>
                <w:lang w:val="es-ES"/>
              </w:rPr>
              <w:t>+41 22 730 5853</w:t>
            </w:r>
            <w:bookmarkStart w:id="23" w:name="lt_pId127"/>
            <w:r w:rsidRPr="00486ECB">
              <w:rPr>
                <w:lang w:val="es-ES"/>
              </w:rPr>
              <w:br/>
            </w:r>
            <w:hyperlink r:id="rId17" w:history="1">
              <w:r w:rsidRPr="00486ECB">
                <w:rPr>
                  <w:rStyle w:val="Hyperlink"/>
                  <w:lang w:val="es-ES"/>
                </w:rPr>
                <w:t>tsbdir@itu.int</w:t>
              </w:r>
              <w:bookmarkEnd w:id="23"/>
            </w:hyperlink>
          </w:p>
        </w:tc>
        <w:tc>
          <w:tcPr>
            <w:tcW w:w="1165" w:type="dxa"/>
            <w:tcBorders>
              <w:left w:val="single" w:sz="8" w:space="0" w:color="auto"/>
            </w:tcBorders>
            <w:shd w:val="clear" w:color="auto" w:fill="auto"/>
          </w:tcPr>
          <w:p w14:paraId="6AE10911" w14:textId="77777777" w:rsidR="00486ECB" w:rsidRPr="00486ECB" w:rsidRDefault="00486ECB" w:rsidP="00486ECB">
            <w:pPr>
              <w:jc w:val="right"/>
              <w:rPr>
                <w:b/>
                <w:bCs/>
                <w:lang w:val="es-ES"/>
              </w:rPr>
            </w:pPr>
            <w:bookmarkStart w:id="24" w:name="lt_pId128"/>
            <w:r w:rsidRPr="00486ECB">
              <w:rPr>
                <w:b/>
                <w:bCs/>
                <w:lang w:val="es-ES"/>
              </w:rPr>
              <w:t>Fax:</w:t>
            </w:r>
            <w:bookmarkEnd w:id="24"/>
          </w:p>
          <w:p w14:paraId="5625BA26" w14:textId="77777777" w:rsidR="00486ECB" w:rsidRPr="00486ECB" w:rsidRDefault="00486ECB" w:rsidP="00486ECB">
            <w:pPr>
              <w:jc w:val="right"/>
              <w:rPr>
                <w:b/>
                <w:bCs/>
                <w:lang w:val="es-ES"/>
              </w:rPr>
            </w:pPr>
            <w:bookmarkStart w:id="25" w:name="lt_pId129"/>
            <w:r w:rsidRPr="00486ECB">
              <w:rPr>
                <w:b/>
                <w:bCs/>
                <w:lang w:val="es-ES"/>
              </w:rPr>
              <w:t>Correo-e:</w:t>
            </w:r>
            <w:bookmarkEnd w:id="25"/>
          </w:p>
        </w:tc>
        <w:tc>
          <w:tcPr>
            <w:tcW w:w="3118" w:type="dxa"/>
            <w:shd w:val="clear" w:color="auto" w:fill="auto"/>
          </w:tcPr>
          <w:p w14:paraId="55B46389" w14:textId="77777777" w:rsidR="00486ECB" w:rsidRDefault="00486ECB" w:rsidP="00486ECB">
            <w:pPr>
              <w:rPr>
                <w:lang w:val="es-ES"/>
              </w:rPr>
            </w:pPr>
          </w:p>
          <w:p w14:paraId="00633015" w14:textId="45D74522" w:rsidR="00FF0518" w:rsidRPr="00486ECB" w:rsidRDefault="00FF0518" w:rsidP="00486ECB">
            <w:pPr>
              <w:rPr>
                <w:lang w:val="es-ES"/>
              </w:rPr>
            </w:pPr>
            <w:r w:rsidRPr="00FF0518">
              <w:rPr>
                <w:highlight w:val="green"/>
                <w:lang w:val="es-ES"/>
              </w:rPr>
              <w:t>[Lugar,] [Fecha]</w:t>
            </w:r>
          </w:p>
        </w:tc>
      </w:tr>
    </w:tbl>
    <w:p w14:paraId="1F4E6588" w14:textId="77777777" w:rsidR="00486ECB" w:rsidRPr="00486ECB" w:rsidRDefault="00486ECB" w:rsidP="00486ECB">
      <w:pPr>
        <w:pStyle w:val="Normalaftertitle0"/>
        <w:rPr>
          <w:lang w:val="es-ES"/>
        </w:rPr>
      </w:pPr>
      <w:r w:rsidRPr="00486ECB">
        <w:rPr>
          <w:lang w:val="es-ES"/>
        </w:rPr>
        <w:t>Muy Señora mía/Muy Señor mío:</w:t>
      </w:r>
    </w:p>
    <w:p w14:paraId="6DD1EA95" w14:textId="78BF1935" w:rsidR="00486ECB" w:rsidRDefault="00486ECB" w:rsidP="002B6E60">
      <w:pPr>
        <w:spacing w:after="240"/>
        <w:rPr>
          <w:lang w:val="es-ES"/>
        </w:rPr>
      </w:pPr>
      <w:bookmarkStart w:id="26" w:name="lt_pId133"/>
      <w:r w:rsidRPr="00486ECB">
        <w:rPr>
          <w:lang w:val="es-ES"/>
        </w:rPr>
        <w:t xml:space="preserve">En lo que respecta a la consulta a los Estados Miembros sobre los proyectos </w:t>
      </w:r>
      <w:r w:rsidR="00FF0518">
        <w:rPr>
          <w:lang w:val="es-ES"/>
        </w:rPr>
        <w:t xml:space="preserve">de texto </w:t>
      </w:r>
      <w:r w:rsidRPr="00486ECB">
        <w:rPr>
          <w:lang w:val="es-ES"/>
        </w:rPr>
        <w:t>determinados que se enumeran en la Circular 2</w:t>
      </w:r>
      <w:r w:rsidR="00FF0518">
        <w:rPr>
          <w:lang w:val="es-ES"/>
        </w:rPr>
        <w:t>2</w:t>
      </w:r>
      <w:r w:rsidRPr="00486ECB">
        <w:rPr>
          <w:lang w:val="es-ES"/>
        </w:rPr>
        <w:t>9 de la TSB, deseo informarle de la opinión de esta Administración, que se refleja en el siguiente cuadro:</w:t>
      </w:r>
      <w:bookmarkEnd w:id="26"/>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744"/>
      </w:tblGrid>
      <w:tr w:rsidR="00486ECB" w:rsidRPr="00066C6E" w14:paraId="3DFF2315" w14:textId="77777777" w:rsidTr="002B6E60">
        <w:trPr>
          <w:tblHeader/>
          <w:jc w:val="center"/>
        </w:trPr>
        <w:tc>
          <w:tcPr>
            <w:tcW w:w="1975" w:type="dxa"/>
            <w:shd w:val="clear" w:color="auto" w:fill="auto"/>
            <w:vAlign w:val="center"/>
          </w:tcPr>
          <w:p w14:paraId="47989205" w14:textId="77777777" w:rsidR="00486ECB" w:rsidRPr="00066C6E" w:rsidRDefault="00486ECB" w:rsidP="002B6E60">
            <w:pPr>
              <w:pStyle w:val="Tablehead0"/>
              <w:keepNext w:val="0"/>
              <w:rPr>
                <w:lang w:val="es-ES"/>
              </w:rPr>
            </w:pPr>
          </w:p>
        </w:tc>
        <w:tc>
          <w:tcPr>
            <w:tcW w:w="7744" w:type="dxa"/>
            <w:shd w:val="clear" w:color="auto" w:fill="auto"/>
            <w:vAlign w:val="center"/>
          </w:tcPr>
          <w:p w14:paraId="4326AE72" w14:textId="77777777" w:rsidR="00486ECB" w:rsidRPr="00066C6E" w:rsidRDefault="00486ECB" w:rsidP="0026494D">
            <w:pPr>
              <w:pStyle w:val="Tablehead0"/>
              <w:rPr>
                <w:lang w:val="es-ES"/>
              </w:rPr>
            </w:pPr>
            <w:bookmarkStart w:id="27" w:name="lt_pId134"/>
            <w:r w:rsidRPr="00066C6E">
              <w:rPr>
                <w:lang w:val="es-ES"/>
              </w:rPr>
              <w:t>Seleccione una de las dos casillas</w:t>
            </w:r>
            <w:bookmarkEnd w:id="27"/>
            <w:r w:rsidRPr="00066C6E">
              <w:rPr>
                <w:lang w:val="es-ES"/>
              </w:rPr>
              <w:t xml:space="preserve"> para cada texto</w:t>
            </w:r>
          </w:p>
        </w:tc>
      </w:tr>
      <w:tr w:rsidR="00486ECB" w:rsidRPr="00066C6E" w14:paraId="418879C4" w14:textId="77777777" w:rsidTr="002B6E60">
        <w:trPr>
          <w:jc w:val="center"/>
        </w:trPr>
        <w:tc>
          <w:tcPr>
            <w:tcW w:w="1975" w:type="dxa"/>
            <w:vMerge w:val="restart"/>
            <w:shd w:val="clear" w:color="auto" w:fill="auto"/>
            <w:vAlign w:val="center"/>
          </w:tcPr>
          <w:p w14:paraId="7FF1A408" w14:textId="10CF2B5A" w:rsidR="00486ECB" w:rsidRPr="00FE467C" w:rsidRDefault="00486ECB" w:rsidP="00FE467C">
            <w:pPr>
              <w:pStyle w:val="Tabletext0"/>
              <w:jc w:val="center"/>
              <w:rPr>
                <w:b/>
                <w:bCs/>
                <w:lang w:val="es-ES"/>
              </w:rPr>
            </w:pPr>
            <w:r w:rsidRPr="00FE467C">
              <w:rPr>
                <w:b/>
                <w:bCs/>
                <w:lang w:val="es-ES"/>
              </w:rPr>
              <w:t xml:space="preserve">Proyecto de </w:t>
            </w:r>
            <w:r w:rsidRPr="00FE467C">
              <w:rPr>
                <w:b/>
                <w:bCs/>
                <w:lang w:val="es-ES"/>
              </w:rPr>
              <w:br/>
              <w:t>Recomendación UIT-T E.156</w:t>
            </w:r>
          </w:p>
        </w:tc>
        <w:tc>
          <w:tcPr>
            <w:tcW w:w="7744" w:type="dxa"/>
            <w:shd w:val="clear" w:color="auto" w:fill="auto"/>
            <w:vAlign w:val="center"/>
          </w:tcPr>
          <w:p w14:paraId="742ECB14" w14:textId="77777777" w:rsidR="00486ECB" w:rsidRPr="00066C6E" w:rsidRDefault="00486ECB" w:rsidP="0026494D">
            <w:pPr>
              <w:pStyle w:val="Tabletext0"/>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Otorga autoridad </w:t>
            </w:r>
            <w:r w:rsidRPr="00066C6E">
              <w:rPr>
                <w:lang w:val="es-ES"/>
              </w:rPr>
              <w:t xml:space="preserve">a la Comisión de Estudio </w:t>
            </w:r>
            <w:r>
              <w:rPr>
                <w:lang w:val="es-ES"/>
              </w:rPr>
              <w:t>2</w:t>
            </w:r>
            <w:r w:rsidRPr="00066C6E">
              <w:rPr>
                <w:lang w:val="es-ES"/>
              </w:rPr>
              <w:t xml:space="preserve"> a fin de examinar este texto para aprobación (en cuyo caso seleccionará una de las dos opciones ⃝):</w:t>
            </w:r>
          </w:p>
          <w:p w14:paraId="4231A7FD" w14:textId="77777777" w:rsidR="00486ECB" w:rsidRPr="00066C6E" w:rsidRDefault="00486ECB" w:rsidP="0026494D">
            <w:pPr>
              <w:pStyle w:val="Tabletext0"/>
              <w:tabs>
                <w:tab w:val="clear" w:pos="851"/>
                <w:tab w:val="left" w:pos="940"/>
              </w:tabs>
              <w:ind w:left="567"/>
              <w:rPr>
                <w:lang w:val="es-ES"/>
              </w:rPr>
            </w:pPr>
            <w:r w:rsidRPr="00066C6E">
              <w:rPr>
                <w:lang w:val="es-ES"/>
              </w:rPr>
              <w:t>⃝</w:t>
            </w:r>
            <w:r w:rsidRPr="00066C6E">
              <w:rPr>
                <w:lang w:val="es-ES"/>
              </w:rPr>
              <w:tab/>
              <w:t>Sin comentarios o cambios sugeridos</w:t>
            </w:r>
          </w:p>
          <w:p w14:paraId="06067A24" w14:textId="77777777" w:rsidR="00486ECB" w:rsidRPr="00066C6E" w:rsidRDefault="00486ECB" w:rsidP="0026494D">
            <w:pPr>
              <w:pStyle w:val="Tabletext0"/>
              <w:tabs>
                <w:tab w:val="clear" w:pos="851"/>
                <w:tab w:val="left" w:pos="940"/>
              </w:tabs>
              <w:ind w:left="567"/>
              <w:rPr>
                <w:lang w:val="es-ES"/>
              </w:rPr>
            </w:pPr>
            <w:r w:rsidRPr="00066C6E">
              <w:rPr>
                <w:lang w:val="es-ES"/>
              </w:rPr>
              <w:t>⃝</w:t>
            </w:r>
            <w:r w:rsidRPr="00066C6E">
              <w:rPr>
                <w:lang w:val="es-ES"/>
              </w:rPr>
              <w:tab/>
              <w:t>Se adjuntan los comentarios o cambios sugeridos</w:t>
            </w:r>
          </w:p>
        </w:tc>
      </w:tr>
      <w:tr w:rsidR="00486ECB" w:rsidRPr="00066C6E" w14:paraId="49A3D989" w14:textId="77777777" w:rsidTr="002B6E60">
        <w:trPr>
          <w:jc w:val="center"/>
        </w:trPr>
        <w:tc>
          <w:tcPr>
            <w:tcW w:w="1975" w:type="dxa"/>
            <w:vMerge/>
            <w:shd w:val="clear" w:color="auto" w:fill="auto"/>
            <w:vAlign w:val="center"/>
          </w:tcPr>
          <w:p w14:paraId="2BB42102" w14:textId="77777777" w:rsidR="00486ECB" w:rsidRPr="00066C6E" w:rsidRDefault="00486ECB" w:rsidP="0026494D">
            <w:pPr>
              <w:pStyle w:val="Tablehead0"/>
              <w:rPr>
                <w:lang w:val="es-ES"/>
              </w:rPr>
            </w:pPr>
          </w:p>
        </w:tc>
        <w:tc>
          <w:tcPr>
            <w:tcW w:w="7744" w:type="dxa"/>
            <w:shd w:val="clear" w:color="auto" w:fill="auto"/>
            <w:vAlign w:val="center"/>
          </w:tcPr>
          <w:p w14:paraId="3863042C" w14:textId="77777777" w:rsidR="00486ECB" w:rsidRPr="00066C6E" w:rsidRDefault="00486ECB" w:rsidP="0026494D">
            <w:pPr>
              <w:pStyle w:val="Tabletext0"/>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No otorga autoridad </w:t>
            </w:r>
            <w:r w:rsidRPr="00066C6E">
              <w:rPr>
                <w:lang w:val="es-ES"/>
              </w:rPr>
              <w:t xml:space="preserve">a la Comisión de Estudio </w:t>
            </w:r>
            <w:r>
              <w:rPr>
                <w:lang w:val="es-ES"/>
              </w:rPr>
              <w:t>2</w:t>
            </w:r>
            <w:r w:rsidRPr="00066C6E">
              <w:rPr>
                <w:lang w:val="es-ES"/>
              </w:rPr>
              <w:t xml:space="preserve"> a fin de examinar este texto para aprobación (se adjuntan los motivos en que se fundamenta esta opinión y las modificaciones que podrían permitir el proseguimiento de los trabajos)</w:t>
            </w:r>
          </w:p>
        </w:tc>
      </w:tr>
      <w:tr w:rsidR="00486ECB" w:rsidRPr="00066C6E" w14:paraId="4DC5D0B0" w14:textId="77777777" w:rsidTr="002B6E60">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2DDD3689" w14:textId="77777777" w:rsidR="00486ECB" w:rsidRPr="00FE467C" w:rsidRDefault="00486ECB" w:rsidP="008D14D1">
            <w:pPr>
              <w:pStyle w:val="Tabletext0"/>
              <w:keepLines/>
              <w:jc w:val="center"/>
              <w:rPr>
                <w:b/>
                <w:bCs/>
                <w:lang w:val="es-ES"/>
              </w:rPr>
            </w:pPr>
            <w:r w:rsidRPr="00FE467C">
              <w:rPr>
                <w:b/>
                <w:bCs/>
                <w:lang w:val="es-ES"/>
              </w:rPr>
              <w:t xml:space="preserve">Proyecto de </w:t>
            </w:r>
            <w:r w:rsidRPr="00FE467C">
              <w:rPr>
                <w:b/>
                <w:bCs/>
                <w:lang w:val="es-ES"/>
              </w:rPr>
              <w:br/>
              <w:t>Recomendación UIT-T E.164.2</w:t>
            </w:r>
          </w:p>
        </w:tc>
        <w:tc>
          <w:tcPr>
            <w:tcW w:w="7744" w:type="dxa"/>
            <w:shd w:val="clear" w:color="auto" w:fill="auto"/>
            <w:vAlign w:val="center"/>
          </w:tcPr>
          <w:p w14:paraId="1A81F07A" w14:textId="77777777" w:rsidR="00486ECB" w:rsidRPr="00066C6E" w:rsidRDefault="00486ECB" w:rsidP="008D14D1">
            <w:pPr>
              <w:pStyle w:val="Tabletext0"/>
              <w:keepLines/>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Otorga autoridad </w:t>
            </w:r>
            <w:r w:rsidRPr="00066C6E">
              <w:rPr>
                <w:lang w:val="es-ES"/>
              </w:rPr>
              <w:t xml:space="preserve">a la Comisión de Estudio </w:t>
            </w:r>
            <w:r>
              <w:rPr>
                <w:lang w:val="es-ES"/>
              </w:rPr>
              <w:t>2</w:t>
            </w:r>
            <w:r w:rsidRPr="00066C6E">
              <w:rPr>
                <w:lang w:val="es-ES"/>
              </w:rPr>
              <w:t xml:space="preserve"> a fin de examinar este texto para aprobación (en cuyo caso seleccionará una de las dos opciones ⃝):</w:t>
            </w:r>
          </w:p>
          <w:p w14:paraId="05F32F79" w14:textId="77777777" w:rsidR="00486ECB" w:rsidRPr="00066C6E" w:rsidRDefault="00486ECB" w:rsidP="008D14D1">
            <w:pPr>
              <w:pStyle w:val="Tabletext0"/>
              <w:keepLines/>
              <w:tabs>
                <w:tab w:val="clear" w:pos="851"/>
                <w:tab w:val="left" w:pos="940"/>
              </w:tabs>
              <w:ind w:left="567"/>
              <w:rPr>
                <w:lang w:val="es-ES"/>
              </w:rPr>
            </w:pPr>
            <w:r w:rsidRPr="00066C6E">
              <w:rPr>
                <w:lang w:val="es-ES"/>
              </w:rPr>
              <w:t>⃝</w:t>
            </w:r>
            <w:r w:rsidRPr="00066C6E">
              <w:rPr>
                <w:lang w:val="es-ES"/>
              </w:rPr>
              <w:tab/>
              <w:t>Sin comentarios o cambios sugeridos</w:t>
            </w:r>
          </w:p>
          <w:p w14:paraId="5D70DC71" w14:textId="61AC0296" w:rsidR="00486ECB" w:rsidRPr="00066C6E" w:rsidRDefault="00486ECB" w:rsidP="008D14D1">
            <w:pPr>
              <w:pStyle w:val="Tabletext0"/>
              <w:keepLines/>
              <w:tabs>
                <w:tab w:val="clear" w:pos="851"/>
                <w:tab w:val="left" w:pos="940"/>
              </w:tabs>
              <w:ind w:left="567"/>
              <w:rPr>
                <w:lang w:val="es-ES"/>
              </w:rPr>
            </w:pPr>
            <w:r w:rsidRPr="00066C6E">
              <w:rPr>
                <w:lang w:val="es-ES"/>
              </w:rPr>
              <w:t>⃝</w:t>
            </w:r>
            <w:r w:rsidRPr="00066C6E">
              <w:rPr>
                <w:lang w:val="es-ES"/>
              </w:rPr>
              <w:tab/>
              <w:t>Se adjuntan los comentarios o cambios sugeridos</w:t>
            </w:r>
          </w:p>
        </w:tc>
      </w:tr>
      <w:tr w:rsidR="00486ECB" w:rsidRPr="00066C6E" w14:paraId="5FE01F47" w14:textId="77777777" w:rsidTr="002B6E60">
        <w:trPr>
          <w:cantSplit/>
          <w:jc w:val="center"/>
        </w:trPr>
        <w:tc>
          <w:tcPr>
            <w:tcW w:w="1975" w:type="dxa"/>
            <w:vMerge/>
            <w:tcBorders>
              <w:left w:val="single" w:sz="4" w:space="0" w:color="auto"/>
              <w:right w:val="single" w:sz="4" w:space="0" w:color="auto"/>
            </w:tcBorders>
            <w:shd w:val="clear" w:color="auto" w:fill="auto"/>
            <w:vAlign w:val="center"/>
          </w:tcPr>
          <w:p w14:paraId="38E3D085" w14:textId="77777777" w:rsidR="00486ECB" w:rsidRPr="00066C6E" w:rsidRDefault="00486ECB" w:rsidP="008D14D1">
            <w:pPr>
              <w:pStyle w:val="Tablehead0"/>
              <w:keepNext w:val="0"/>
              <w:keepLines/>
              <w:rPr>
                <w:lang w:val="es-ES"/>
              </w:rPr>
            </w:pPr>
          </w:p>
        </w:tc>
        <w:tc>
          <w:tcPr>
            <w:tcW w:w="7744" w:type="dxa"/>
            <w:shd w:val="clear" w:color="auto" w:fill="auto"/>
            <w:vAlign w:val="center"/>
          </w:tcPr>
          <w:p w14:paraId="16C35D54" w14:textId="1C741BBB" w:rsidR="002B6E60" w:rsidRPr="00066C6E" w:rsidRDefault="00486ECB" w:rsidP="008D14D1">
            <w:pPr>
              <w:pStyle w:val="Tabletext0"/>
              <w:keepLines/>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No otorga autoridad </w:t>
            </w:r>
            <w:r w:rsidRPr="00066C6E">
              <w:rPr>
                <w:lang w:val="es-ES"/>
              </w:rPr>
              <w:t xml:space="preserve">a la Comisión de Estudio </w:t>
            </w:r>
            <w:r>
              <w:rPr>
                <w:lang w:val="es-ES"/>
              </w:rPr>
              <w:t>2</w:t>
            </w:r>
            <w:r w:rsidRPr="00066C6E">
              <w:rPr>
                <w:lang w:val="es-ES"/>
              </w:rPr>
              <w:t xml:space="preserve"> a fin de examinar este texto para aprobación (se adjuntan los motivos en que se fundamenta esta opinión y las modificaciones que podrían permitir el proseguimiento de los trabajos)</w:t>
            </w:r>
          </w:p>
        </w:tc>
      </w:tr>
      <w:tr w:rsidR="00486ECB" w:rsidRPr="00066C6E" w14:paraId="75E6EEE2" w14:textId="77777777" w:rsidTr="002B6E60">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341CD6BD" w14:textId="1D7759DA" w:rsidR="00486ECB" w:rsidRPr="00FE467C" w:rsidRDefault="00486ECB" w:rsidP="004915BB">
            <w:pPr>
              <w:pStyle w:val="Tabletext0"/>
              <w:keepLines/>
              <w:jc w:val="center"/>
              <w:rPr>
                <w:b/>
                <w:bCs/>
                <w:lang w:val="es-ES"/>
              </w:rPr>
            </w:pPr>
            <w:r w:rsidRPr="00FE467C">
              <w:rPr>
                <w:b/>
                <w:bCs/>
                <w:lang w:val="es-ES"/>
              </w:rPr>
              <w:t xml:space="preserve">Proyecto de </w:t>
            </w:r>
            <w:r w:rsidR="00FD3130" w:rsidRPr="00FE467C">
              <w:rPr>
                <w:b/>
                <w:bCs/>
                <w:lang w:val="es-ES"/>
              </w:rPr>
              <w:t xml:space="preserve">Enmienda </w:t>
            </w:r>
            <w:r w:rsidRPr="00FE467C">
              <w:rPr>
                <w:b/>
                <w:bCs/>
                <w:lang w:val="es-ES"/>
              </w:rPr>
              <w:t>2 a la</w:t>
            </w:r>
            <w:r w:rsidRPr="00FE467C">
              <w:rPr>
                <w:b/>
                <w:bCs/>
                <w:lang w:val="es-ES"/>
              </w:rPr>
              <w:br/>
              <w:t>Recomendación UIT-T E.212 (2016)</w:t>
            </w:r>
          </w:p>
        </w:tc>
        <w:tc>
          <w:tcPr>
            <w:tcW w:w="7744" w:type="dxa"/>
            <w:shd w:val="clear" w:color="auto" w:fill="auto"/>
            <w:vAlign w:val="center"/>
          </w:tcPr>
          <w:p w14:paraId="5166D25F" w14:textId="77777777" w:rsidR="00486ECB" w:rsidRPr="00066C6E" w:rsidRDefault="00486ECB" w:rsidP="004915BB">
            <w:pPr>
              <w:pStyle w:val="Tabletext0"/>
              <w:keepLines/>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Otorga autoridad </w:t>
            </w:r>
            <w:r w:rsidRPr="00066C6E">
              <w:rPr>
                <w:lang w:val="es-ES"/>
              </w:rPr>
              <w:t xml:space="preserve">a la Comisión de Estudio </w:t>
            </w:r>
            <w:r>
              <w:rPr>
                <w:lang w:val="es-ES"/>
              </w:rPr>
              <w:t>2</w:t>
            </w:r>
            <w:r w:rsidRPr="00066C6E">
              <w:rPr>
                <w:lang w:val="es-ES"/>
              </w:rPr>
              <w:t xml:space="preserve"> a fin de examinar este texto para aprobación (en cuyo caso seleccionará una de las dos opciones ⃝):</w:t>
            </w:r>
          </w:p>
          <w:p w14:paraId="70A16BD0" w14:textId="77777777" w:rsidR="00486ECB" w:rsidRPr="00066C6E" w:rsidRDefault="00486ECB" w:rsidP="004915BB">
            <w:pPr>
              <w:pStyle w:val="Tabletext0"/>
              <w:keepLines/>
              <w:tabs>
                <w:tab w:val="clear" w:pos="851"/>
                <w:tab w:val="left" w:pos="940"/>
              </w:tabs>
              <w:ind w:left="567"/>
              <w:rPr>
                <w:lang w:val="es-ES"/>
              </w:rPr>
            </w:pPr>
            <w:r w:rsidRPr="00066C6E">
              <w:rPr>
                <w:lang w:val="es-ES"/>
              </w:rPr>
              <w:t>⃝</w:t>
            </w:r>
            <w:r w:rsidRPr="00066C6E">
              <w:rPr>
                <w:lang w:val="es-ES"/>
              </w:rPr>
              <w:tab/>
              <w:t>Sin comentarios o cambios sugeridos</w:t>
            </w:r>
          </w:p>
          <w:p w14:paraId="7BB1FA94" w14:textId="3C81B7F3" w:rsidR="00486ECB" w:rsidRPr="00066C6E" w:rsidRDefault="00486ECB" w:rsidP="004915BB">
            <w:pPr>
              <w:pStyle w:val="Tabletext0"/>
              <w:keepLines/>
              <w:tabs>
                <w:tab w:val="clear" w:pos="851"/>
                <w:tab w:val="left" w:pos="940"/>
              </w:tabs>
              <w:ind w:left="567"/>
              <w:rPr>
                <w:lang w:val="es-ES"/>
              </w:rPr>
            </w:pPr>
            <w:r w:rsidRPr="00066C6E">
              <w:rPr>
                <w:lang w:val="es-ES"/>
              </w:rPr>
              <w:t>⃝</w:t>
            </w:r>
            <w:r w:rsidRPr="00066C6E">
              <w:rPr>
                <w:lang w:val="es-ES"/>
              </w:rPr>
              <w:tab/>
              <w:t>Se adjuntan los comentarios o cambios sugeridos</w:t>
            </w:r>
          </w:p>
        </w:tc>
      </w:tr>
      <w:tr w:rsidR="00486ECB" w:rsidRPr="00066C6E" w14:paraId="3363D6FA" w14:textId="77777777" w:rsidTr="002B6E60">
        <w:trPr>
          <w:jc w:val="center"/>
        </w:trPr>
        <w:tc>
          <w:tcPr>
            <w:tcW w:w="1975" w:type="dxa"/>
            <w:vMerge/>
            <w:tcBorders>
              <w:left w:val="single" w:sz="4" w:space="0" w:color="auto"/>
              <w:right w:val="single" w:sz="4" w:space="0" w:color="auto"/>
            </w:tcBorders>
            <w:shd w:val="clear" w:color="auto" w:fill="auto"/>
            <w:vAlign w:val="center"/>
          </w:tcPr>
          <w:p w14:paraId="37673C54" w14:textId="77777777" w:rsidR="00486ECB" w:rsidRPr="00066C6E" w:rsidRDefault="00486ECB" w:rsidP="004915BB">
            <w:pPr>
              <w:pStyle w:val="Tablehead0"/>
              <w:keepNext w:val="0"/>
              <w:keepLines/>
              <w:rPr>
                <w:lang w:val="es-ES"/>
              </w:rPr>
            </w:pPr>
          </w:p>
        </w:tc>
        <w:tc>
          <w:tcPr>
            <w:tcW w:w="7744" w:type="dxa"/>
            <w:shd w:val="clear" w:color="auto" w:fill="auto"/>
            <w:vAlign w:val="center"/>
          </w:tcPr>
          <w:p w14:paraId="0E822F78" w14:textId="77777777" w:rsidR="00486ECB" w:rsidRPr="00066C6E" w:rsidRDefault="00486ECB" w:rsidP="004915BB">
            <w:pPr>
              <w:pStyle w:val="Tabletext0"/>
              <w:keepLines/>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No otorga autoridad </w:t>
            </w:r>
            <w:r w:rsidRPr="00066C6E">
              <w:rPr>
                <w:lang w:val="es-ES"/>
              </w:rPr>
              <w:t xml:space="preserve">a la Comisión de Estudio </w:t>
            </w:r>
            <w:r>
              <w:rPr>
                <w:lang w:val="es-ES"/>
              </w:rPr>
              <w:t>2</w:t>
            </w:r>
            <w:r w:rsidRPr="00066C6E">
              <w:rPr>
                <w:lang w:val="es-ES"/>
              </w:rPr>
              <w:t xml:space="preserve"> a fin de examinar este texto para aprobación (se adjuntan los motivos en que se fundamenta esta opinión y las modificaciones que podrían permitir el proseguimiento de los trabajos)</w:t>
            </w:r>
          </w:p>
        </w:tc>
      </w:tr>
      <w:tr w:rsidR="00486ECB" w:rsidRPr="00066C6E" w14:paraId="14EAC292" w14:textId="77777777" w:rsidTr="002B6E60">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183AFA22" w14:textId="61B9C8B5" w:rsidR="00486ECB" w:rsidRPr="00FE467C" w:rsidRDefault="00486ECB" w:rsidP="00FE467C">
            <w:pPr>
              <w:pStyle w:val="Tabletext0"/>
              <w:keepNext/>
              <w:jc w:val="center"/>
              <w:rPr>
                <w:b/>
                <w:bCs/>
                <w:lang w:val="es-ES"/>
              </w:rPr>
            </w:pPr>
            <w:r w:rsidRPr="00FE467C">
              <w:rPr>
                <w:b/>
                <w:bCs/>
                <w:lang w:val="es-ES"/>
              </w:rPr>
              <w:lastRenderedPageBreak/>
              <w:t xml:space="preserve">Proyecto de </w:t>
            </w:r>
            <w:r w:rsidR="00FD3130" w:rsidRPr="00FE467C">
              <w:rPr>
                <w:b/>
                <w:bCs/>
                <w:lang w:val="es-ES"/>
              </w:rPr>
              <w:t xml:space="preserve">Enmienda </w:t>
            </w:r>
            <w:r w:rsidRPr="00FE467C">
              <w:rPr>
                <w:b/>
                <w:bCs/>
                <w:lang w:val="es-ES"/>
              </w:rPr>
              <w:t>1 a la Recomendación UIT-T E.218 (2004)</w:t>
            </w:r>
          </w:p>
        </w:tc>
        <w:tc>
          <w:tcPr>
            <w:tcW w:w="7744" w:type="dxa"/>
            <w:shd w:val="clear" w:color="auto" w:fill="auto"/>
            <w:vAlign w:val="center"/>
          </w:tcPr>
          <w:p w14:paraId="299A9E81" w14:textId="77777777" w:rsidR="00486ECB" w:rsidRPr="00066C6E" w:rsidRDefault="00486ECB" w:rsidP="002B6E60">
            <w:pPr>
              <w:pStyle w:val="Tabletext0"/>
              <w:keepNext/>
              <w:keepLines/>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Otorga autoridad </w:t>
            </w:r>
            <w:r w:rsidRPr="00066C6E">
              <w:rPr>
                <w:lang w:val="es-ES"/>
              </w:rPr>
              <w:t xml:space="preserve">a la Comisión de Estudio </w:t>
            </w:r>
            <w:r>
              <w:rPr>
                <w:lang w:val="es-ES"/>
              </w:rPr>
              <w:t>2</w:t>
            </w:r>
            <w:r w:rsidRPr="00066C6E">
              <w:rPr>
                <w:lang w:val="es-ES"/>
              </w:rPr>
              <w:t xml:space="preserve"> a fin de examinar este texto para aprobación (en cuyo caso seleccionará una de las dos opciones ⃝):</w:t>
            </w:r>
          </w:p>
          <w:p w14:paraId="2BBF7E86" w14:textId="77777777" w:rsidR="00486ECB" w:rsidRPr="00066C6E" w:rsidRDefault="00486ECB" w:rsidP="002B6E60">
            <w:pPr>
              <w:pStyle w:val="Tabletext0"/>
              <w:keepNext/>
              <w:keepLines/>
              <w:tabs>
                <w:tab w:val="clear" w:pos="851"/>
                <w:tab w:val="left" w:pos="940"/>
              </w:tabs>
              <w:ind w:left="567"/>
              <w:rPr>
                <w:lang w:val="es-ES"/>
              </w:rPr>
            </w:pPr>
            <w:r w:rsidRPr="00066C6E">
              <w:rPr>
                <w:lang w:val="es-ES"/>
              </w:rPr>
              <w:t>⃝</w:t>
            </w:r>
            <w:r w:rsidRPr="00066C6E">
              <w:rPr>
                <w:lang w:val="es-ES"/>
              </w:rPr>
              <w:tab/>
              <w:t>Sin comentarios o cambios sugeridos</w:t>
            </w:r>
          </w:p>
          <w:p w14:paraId="6C65B557" w14:textId="577ACAF4" w:rsidR="00486ECB" w:rsidRPr="00066C6E" w:rsidRDefault="00486ECB" w:rsidP="002B6E60">
            <w:pPr>
              <w:pStyle w:val="Tabletext0"/>
              <w:keepNext/>
              <w:keepLines/>
              <w:tabs>
                <w:tab w:val="clear" w:pos="851"/>
                <w:tab w:val="left" w:pos="940"/>
              </w:tabs>
              <w:ind w:left="567"/>
              <w:rPr>
                <w:lang w:val="es-ES"/>
              </w:rPr>
            </w:pPr>
            <w:r w:rsidRPr="00066C6E">
              <w:rPr>
                <w:lang w:val="es-ES"/>
              </w:rPr>
              <w:t>⃝</w:t>
            </w:r>
            <w:r w:rsidRPr="00066C6E">
              <w:rPr>
                <w:lang w:val="es-ES"/>
              </w:rPr>
              <w:tab/>
              <w:t>Se adjuntan los comentarios o cambios sugeridos</w:t>
            </w:r>
          </w:p>
        </w:tc>
      </w:tr>
      <w:tr w:rsidR="00486ECB" w:rsidRPr="00066C6E" w14:paraId="0D4DDD3C" w14:textId="77777777" w:rsidTr="002B6E60">
        <w:trPr>
          <w:jc w:val="center"/>
        </w:trPr>
        <w:tc>
          <w:tcPr>
            <w:tcW w:w="1975" w:type="dxa"/>
            <w:vMerge/>
            <w:tcBorders>
              <w:left w:val="single" w:sz="4" w:space="0" w:color="auto"/>
              <w:right w:val="single" w:sz="4" w:space="0" w:color="auto"/>
            </w:tcBorders>
            <w:shd w:val="clear" w:color="auto" w:fill="auto"/>
            <w:vAlign w:val="center"/>
          </w:tcPr>
          <w:p w14:paraId="0D37072D" w14:textId="77777777" w:rsidR="00486ECB" w:rsidRPr="00066C6E" w:rsidRDefault="00486ECB" w:rsidP="0026494D">
            <w:pPr>
              <w:pStyle w:val="Tablehead0"/>
              <w:rPr>
                <w:lang w:val="es-ES"/>
              </w:rPr>
            </w:pPr>
          </w:p>
        </w:tc>
        <w:tc>
          <w:tcPr>
            <w:tcW w:w="7744" w:type="dxa"/>
            <w:shd w:val="clear" w:color="auto" w:fill="auto"/>
            <w:vAlign w:val="center"/>
          </w:tcPr>
          <w:p w14:paraId="131AFC4D" w14:textId="77777777" w:rsidR="00486ECB" w:rsidRPr="00066C6E" w:rsidRDefault="00486ECB" w:rsidP="002B6E60">
            <w:pPr>
              <w:pStyle w:val="Tabletext0"/>
              <w:keepNext/>
              <w:keepLines/>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No otorga autoridad </w:t>
            </w:r>
            <w:r w:rsidRPr="00066C6E">
              <w:rPr>
                <w:lang w:val="es-ES"/>
              </w:rPr>
              <w:t xml:space="preserve">a la Comisión de Estudio </w:t>
            </w:r>
            <w:r>
              <w:rPr>
                <w:lang w:val="es-ES"/>
              </w:rPr>
              <w:t>2</w:t>
            </w:r>
            <w:r w:rsidRPr="00066C6E">
              <w:rPr>
                <w:lang w:val="es-ES"/>
              </w:rPr>
              <w:t xml:space="preserve"> a fin de examinar este texto para aprobación (se adjuntan los motivos en que se fundamenta esta opinión y las modificaciones que podrían permitir el proseguimiento de los trabajos)</w:t>
            </w:r>
          </w:p>
        </w:tc>
      </w:tr>
      <w:tr w:rsidR="00486ECB" w:rsidRPr="00066C6E" w14:paraId="05383189" w14:textId="77777777" w:rsidTr="002B6E60">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7F2CF04E" w14:textId="028DB115" w:rsidR="00486ECB" w:rsidRPr="00FE467C" w:rsidRDefault="00486ECB" w:rsidP="00FE467C">
            <w:pPr>
              <w:pStyle w:val="Tabletext0"/>
              <w:keepNext/>
              <w:keepLines/>
              <w:jc w:val="center"/>
              <w:rPr>
                <w:b/>
                <w:bCs/>
                <w:lang w:val="es-ES"/>
              </w:rPr>
            </w:pPr>
            <w:bookmarkStart w:id="28" w:name="lt_pId145"/>
            <w:bookmarkStart w:id="29" w:name="lt_pId163"/>
            <w:r w:rsidRPr="00FE467C">
              <w:rPr>
                <w:b/>
                <w:bCs/>
                <w:lang w:val="es-ES"/>
              </w:rPr>
              <w:t xml:space="preserve">Proyecto de </w:t>
            </w:r>
            <w:r w:rsidRPr="00FE467C">
              <w:rPr>
                <w:b/>
                <w:bCs/>
                <w:lang w:val="es-ES"/>
              </w:rPr>
              <w:br/>
              <w:t xml:space="preserve">Recomendación UIT-T M.3362 </w:t>
            </w:r>
            <w:r w:rsidR="007F7E66" w:rsidRPr="00FE467C">
              <w:rPr>
                <w:b/>
                <w:bCs/>
                <w:lang w:val="es-ES"/>
              </w:rPr>
              <w:br/>
            </w:r>
            <w:r w:rsidRPr="00FE467C">
              <w:rPr>
                <w:b/>
                <w:bCs/>
                <w:lang w:val="es-ES"/>
              </w:rPr>
              <w:t>(ex Mrtafm)</w:t>
            </w:r>
            <w:bookmarkEnd w:id="28"/>
          </w:p>
        </w:tc>
        <w:tc>
          <w:tcPr>
            <w:tcW w:w="7744" w:type="dxa"/>
            <w:tcBorders>
              <w:top w:val="single" w:sz="4" w:space="0" w:color="auto"/>
              <w:left w:val="single" w:sz="4" w:space="0" w:color="auto"/>
              <w:bottom w:val="single" w:sz="4" w:space="0" w:color="auto"/>
              <w:right w:val="single" w:sz="4" w:space="0" w:color="auto"/>
            </w:tcBorders>
            <w:shd w:val="clear" w:color="auto" w:fill="auto"/>
            <w:vAlign w:val="center"/>
          </w:tcPr>
          <w:p w14:paraId="7A0BD24C" w14:textId="77777777" w:rsidR="00486ECB" w:rsidRPr="00066C6E" w:rsidRDefault="00486ECB" w:rsidP="0026494D">
            <w:pPr>
              <w:pStyle w:val="Tabletext0"/>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Otorga autoridad </w:t>
            </w:r>
            <w:r w:rsidRPr="00066C6E">
              <w:rPr>
                <w:lang w:val="es-ES"/>
              </w:rPr>
              <w:t xml:space="preserve">a la Comisión de Estudio </w:t>
            </w:r>
            <w:r>
              <w:rPr>
                <w:lang w:val="es-ES"/>
              </w:rPr>
              <w:t>2</w:t>
            </w:r>
            <w:r w:rsidRPr="00066C6E">
              <w:rPr>
                <w:lang w:val="es-ES"/>
              </w:rPr>
              <w:t xml:space="preserve"> a fin de examinar este texto para aprobación (en cuyo caso seleccionará una de las dos opciones ⃝):</w:t>
            </w:r>
          </w:p>
          <w:p w14:paraId="328FB874" w14:textId="77777777" w:rsidR="00486ECB" w:rsidRPr="00066C6E" w:rsidRDefault="00486ECB" w:rsidP="0026494D">
            <w:pPr>
              <w:pStyle w:val="Tabletext0"/>
              <w:tabs>
                <w:tab w:val="clear" w:pos="851"/>
                <w:tab w:val="left" w:pos="940"/>
              </w:tabs>
              <w:ind w:left="567"/>
              <w:rPr>
                <w:lang w:val="es-ES"/>
              </w:rPr>
            </w:pPr>
            <w:r w:rsidRPr="00066C6E">
              <w:rPr>
                <w:lang w:val="es-ES"/>
              </w:rPr>
              <w:t>⃝</w:t>
            </w:r>
            <w:r w:rsidRPr="00066C6E">
              <w:rPr>
                <w:lang w:val="es-ES"/>
              </w:rPr>
              <w:tab/>
              <w:t>Sin comentarios o cambios sugeridos</w:t>
            </w:r>
          </w:p>
          <w:p w14:paraId="4EA403F2" w14:textId="77777777" w:rsidR="00486ECB" w:rsidRPr="00066C6E" w:rsidRDefault="00486ECB" w:rsidP="0026494D">
            <w:pPr>
              <w:pStyle w:val="Tabletext0"/>
              <w:tabs>
                <w:tab w:val="clear" w:pos="851"/>
                <w:tab w:val="left" w:pos="940"/>
              </w:tabs>
              <w:ind w:left="567"/>
              <w:rPr>
                <w:lang w:val="es-ES"/>
              </w:rPr>
            </w:pPr>
            <w:r w:rsidRPr="00066C6E">
              <w:rPr>
                <w:lang w:val="es-ES"/>
              </w:rPr>
              <w:t>⃝</w:t>
            </w:r>
            <w:r w:rsidRPr="00066C6E">
              <w:rPr>
                <w:lang w:val="es-ES"/>
              </w:rPr>
              <w:tab/>
              <w:t>Se adjuntan los comentarios o cambios sugeridos</w:t>
            </w:r>
          </w:p>
        </w:tc>
      </w:tr>
      <w:tr w:rsidR="00486ECB" w:rsidRPr="00066C6E" w14:paraId="52BE92A6" w14:textId="77777777" w:rsidTr="002B6E60">
        <w:trPr>
          <w:jc w:val="center"/>
        </w:trPr>
        <w:tc>
          <w:tcPr>
            <w:tcW w:w="1975" w:type="dxa"/>
            <w:vMerge/>
            <w:tcBorders>
              <w:left w:val="single" w:sz="4" w:space="0" w:color="auto"/>
              <w:bottom w:val="single" w:sz="4" w:space="0" w:color="auto"/>
              <w:right w:val="single" w:sz="4" w:space="0" w:color="auto"/>
            </w:tcBorders>
            <w:shd w:val="clear" w:color="auto" w:fill="auto"/>
            <w:vAlign w:val="center"/>
          </w:tcPr>
          <w:p w14:paraId="57D10758" w14:textId="77777777" w:rsidR="00486ECB" w:rsidRPr="00066C6E" w:rsidRDefault="00486ECB" w:rsidP="0026494D">
            <w:pPr>
              <w:ind w:right="92"/>
              <w:rPr>
                <w:b/>
                <w:bCs/>
                <w:lang w:val="es-ES"/>
              </w:rPr>
            </w:pPr>
          </w:p>
        </w:tc>
        <w:tc>
          <w:tcPr>
            <w:tcW w:w="7744" w:type="dxa"/>
            <w:tcBorders>
              <w:top w:val="single" w:sz="4" w:space="0" w:color="auto"/>
              <w:left w:val="single" w:sz="4" w:space="0" w:color="auto"/>
              <w:bottom w:val="single" w:sz="4" w:space="0" w:color="auto"/>
              <w:right w:val="single" w:sz="4" w:space="0" w:color="auto"/>
            </w:tcBorders>
            <w:shd w:val="clear" w:color="auto" w:fill="auto"/>
            <w:vAlign w:val="center"/>
          </w:tcPr>
          <w:p w14:paraId="0913AC1D" w14:textId="77777777" w:rsidR="00486ECB" w:rsidRPr="00066C6E" w:rsidRDefault="00486ECB" w:rsidP="0026494D">
            <w:pPr>
              <w:pStyle w:val="Tabletext0"/>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No otorga autoridad </w:t>
            </w:r>
            <w:r w:rsidRPr="00066C6E">
              <w:rPr>
                <w:lang w:val="es-ES"/>
              </w:rPr>
              <w:t xml:space="preserve">a la Comisión de Estudio </w:t>
            </w:r>
            <w:r>
              <w:rPr>
                <w:lang w:val="es-ES"/>
              </w:rPr>
              <w:t>2</w:t>
            </w:r>
            <w:r w:rsidRPr="00066C6E">
              <w:rPr>
                <w:lang w:val="es-ES"/>
              </w:rPr>
              <w:t xml:space="preserve"> a fin de examinar este texto para aprobación (se adjuntan los motivos en que se fundamenta esta opinión y las modificaciones que podrían permitir el proseguimiento de los trabajos)</w:t>
            </w:r>
          </w:p>
        </w:tc>
      </w:tr>
      <w:tr w:rsidR="00486ECB" w:rsidRPr="00066C6E" w14:paraId="60F5B886" w14:textId="77777777" w:rsidTr="002B6E60">
        <w:trPr>
          <w:jc w:val="center"/>
        </w:trPr>
        <w:tc>
          <w:tcPr>
            <w:tcW w:w="1975" w:type="dxa"/>
            <w:vMerge/>
            <w:shd w:val="clear" w:color="auto" w:fill="auto"/>
            <w:vAlign w:val="center"/>
          </w:tcPr>
          <w:p w14:paraId="740CDA65" w14:textId="77777777" w:rsidR="00486ECB" w:rsidRPr="00066C6E" w:rsidRDefault="00486ECB" w:rsidP="0026494D">
            <w:pPr>
              <w:keepNext/>
              <w:keepLines/>
              <w:ind w:right="92"/>
              <w:rPr>
                <w:b/>
                <w:bCs/>
                <w:lang w:val="es-ES"/>
              </w:rPr>
            </w:pPr>
          </w:p>
        </w:tc>
        <w:tc>
          <w:tcPr>
            <w:tcW w:w="7744" w:type="dxa"/>
            <w:shd w:val="clear" w:color="auto" w:fill="auto"/>
            <w:vAlign w:val="center"/>
          </w:tcPr>
          <w:p w14:paraId="2C234AB4" w14:textId="07890354" w:rsidR="00486ECB" w:rsidRPr="00066C6E" w:rsidRDefault="00486ECB" w:rsidP="0026494D">
            <w:pPr>
              <w:pStyle w:val="Tabletext0"/>
              <w:keepNext/>
              <w:keepLines/>
              <w:tabs>
                <w:tab w:val="clear" w:pos="284"/>
                <w:tab w:val="left" w:pos="656"/>
              </w:tabs>
              <w:ind w:left="567" w:hanging="567"/>
              <w:rPr>
                <w:lang w:val="es-ES"/>
              </w:rPr>
            </w:pPr>
            <w:r w:rsidRPr="00066C6E">
              <w:rPr>
                <w:lang w:val="es-ES"/>
              </w:rPr>
              <w:fldChar w:fldCharType="begin">
                <w:ffData>
                  <w:name w:val="Check1"/>
                  <w:enabled/>
                  <w:calcOnExit w:val="0"/>
                  <w:checkBox>
                    <w:sizeAuto/>
                    <w:default w:val="0"/>
                  </w:checkBox>
                </w:ffData>
              </w:fldChar>
            </w:r>
            <w:r w:rsidRPr="00066C6E">
              <w:rPr>
                <w:lang w:val="es-ES"/>
              </w:rPr>
              <w:instrText xml:space="preserve"> FORMCHECKBOX </w:instrText>
            </w:r>
            <w:r w:rsidR="00AB1AB1">
              <w:rPr>
                <w:lang w:val="es-ES"/>
              </w:rPr>
            </w:r>
            <w:r w:rsidR="00AB1AB1">
              <w:rPr>
                <w:lang w:val="es-ES"/>
              </w:rPr>
              <w:fldChar w:fldCharType="separate"/>
            </w:r>
            <w:r w:rsidRPr="00066C6E">
              <w:rPr>
                <w:lang w:val="es-ES"/>
              </w:rPr>
              <w:fldChar w:fldCharType="end"/>
            </w:r>
            <w:r w:rsidRPr="00066C6E">
              <w:rPr>
                <w:lang w:val="es-ES"/>
              </w:rPr>
              <w:tab/>
            </w:r>
            <w:r w:rsidRPr="00066C6E">
              <w:rPr>
                <w:b/>
                <w:bCs/>
                <w:lang w:val="es-ES"/>
              </w:rPr>
              <w:t xml:space="preserve">No otorga autoridad </w:t>
            </w:r>
            <w:r w:rsidRPr="00066C6E">
              <w:rPr>
                <w:lang w:val="es-ES"/>
              </w:rPr>
              <w:t xml:space="preserve">a la Comisión de Estudio </w:t>
            </w:r>
            <w:r w:rsidR="00FD3130">
              <w:rPr>
                <w:lang w:val="es-ES"/>
              </w:rPr>
              <w:t>2</w:t>
            </w:r>
            <w:r w:rsidRPr="00066C6E">
              <w:rPr>
                <w:lang w:val="es-ES"/>
              </w:rPr>
              <w:t xml:space="preserve"> a fin de examinar este texto para aprobación (se adjuntan los motivos en que se fundamenta esta opinión y las modificaciones que podrían permitir el proseguimiento de los trabajos)</w:t>
            </w:r>
          </w:p>
        </w:tc>
      </w:tr>
    </w:tbl>
    <w:p w14:paraId="4DB4E46A" w14:textId="77777777" w:rsidR="00486ECB" w:rsidRPr="00066C6E" w:rsidRDefault="00486ECB" w:rsidP="00486ECB">
      <w:pPr>
        <w:pStyle w:val="Normalaftertitle"/>
        <w:rPr>
          <w:lang w:val="es-ES"/>
        </w:rPr>
      </w:pPr>
      <w:r w:rsidRPr="00066C6E">
        <w:rPr>
          <w:lang w:val="es-ES"/>
        </w:rPr>
        <w:t>Atentamente</w:t>
      </w:r>
      <w:bookmarkEnd w:id="29"/>
      <w:r w:rsidRPr="00066C6E">
        <w:rPr>
          <w:lang w:val="es-ES"/>
        </w:rPr>
        <w:t>,</w:t>
      </w:r>
    </w:p>
    <w:p w14:paraId="2377EC15" w14:textId="6DB5CB3E" w:rsidR="00486ECB" w:rsidRDefault="00486ECB" w:rsidP="00486ECB">
      <w:pPr>
        <w:spacing w:before="480"/>
        <w:rPr>
          <w:lang w:val="es-ES"/>
        </w:rPr>
      </w:pPr>
      <w:bookmarkStart w:id="30" w:name="lt_pId164"/>
      <w:r w:rsidRPr="00066C6E">
        <w:rPr>
          <w:highlight w:val="green"/>
          <w:lang w:val="es-ES"/>
        </w:rPr>
        <w:t>[Nombre]</w:t>
      </w:r>
      <w:bookmarkStart w:id="31" w:name="lt_pId165"/>
      <w:bookmarkEnd w:id="30"/>
      <w:r w:rsidRPr="00066C6E">
        <w:rPr>
          <w:highlight w:val="green"/>
          <w:lang w:val="es-ES"/>
        </w:rPr>
        <w:br/>
        <w:t>[Cargo oficial/</w:t>
      </w:r>
      <w:r w:rsidR="001115E3" w:rsidRPr="00066C6E">
        <w:rPr>
          <w:highlight w:val="green"/>
          <w:lang w:val="es-ES"/>
        </w:rPr>
        <w:t>t</w:t>
      </w:r>
      <w:r w:rsidRPr="00066C6E">
        <w:rPr>
          <w:highlight w:val="green"/>
          <w:lang w:val="es-ES"/>
        </w:rPr>
        <w:t>ítulo]</w:t>
      </w:r>
      <w:bookmarkStart w:id="32" w:name="lt_pId166"/>
      <w:bookmarkEnd w:id="31"/>
      <w:r w:rsidRPr="00066C6E">
        <w:rPr>
          <w:lang w:val="es-ES"/>
        </w:rPr>
        <w:br/>
        <w:t xml:space="preserve">Administración de </w:t>
      </w:r>
      <w:r w:rsidRPr="00066C6E">
        <w:rPr>
          <w:highlight w:val="green"/>
          <w:lang w:val="es-ES"/>
        </w:rPr>
        <w:t>[Estado Miembro]</w:t>
      </w:r>
      <w:bookmarkEnd w:id="32"/>
    </w:p>
    <w:p w14:paraId="6894B9A1" w14:textId="77777777" w:rsidR="002B6E60" w:rsidRDefault="002B6E60" w:rsidP="002B6E60"/>
    <w:p w14:paraId="2CA23A58" w14:textId="77777777" w:rsidR="002B6E60" w:rsidRPr="00FA2471" w:rsidRDefault="002B6E60">
      <w:pPr>
        <w:jc w:val="center"/>
      </w:pPr>
      <w:r w:rsidRPr="00FA2471">
        <w:t>______________</w:t>
      </w:r>
    </w:p>
    <w:sectPr w:rsidR="002B6E60" w:rsidRPr="00FA2471" w:rsidSect="00471035">
      <w:headerReference w:type="default" r:id="rId18"/>
      <w:footerReference w:type="first" r:id="rId1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5F0DA" w14:textId="77777777" w:rsidR="00072232" w:rsidRDefault="00072232">
      <w:r>
        <w:separator/>
      </w:r>
    </w:p>
  </w:endnote>
  <w:endnote w:type="continuationSeparator" w:id="0">
    <w:p w14:paraId="5F4EA139" w14:textId="77777777" w:rsidR="00072232" w:rsidRDefault="0007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2322" w14:textId="2C426C1E" w:rsidR="00C75172" w:rsidRDefault="00AE5760" w:rsidP="00AE5760">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67F8" w14:textId="77777777" w:rsidR="00072232" w:rsidRDefault="00072232">
      <w:r>
        <w:t>____________________</w:t>
      </w:r>
    </w:p>
  </w:footnote>
  <w:footnote w:type="continuationSeparator" w:id="0">
    <w:p w14:paraId="0FB5B578" w14:textId="77777777" w:rsidR="00072232" w:rsidRDefault="0007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B93D" w14:textId="11D46FCF" w:rsidR="00471035" w:rsidRDefault="00471035" w:rsidP="00471035">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B1AB1">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p w14:paraId="69491E04" w14:textId="57B333CA" w:rsidR="00471035" w:rsidRPr="00471035" w:rsidRDefault="00471035" w:rsidP="00471035">
    <w:pPr>
      <w:pStyle w:val="Header"/>
      <w:rPr>
        <w:sz w:val="18"/>
        <w:szCs w:val="18"/>
      </w:rPr>
    </w:pPr>
    <w:r>
      <w:rPr>
        <w:rStyle w:val="PageNumber"/>
        <w:sz w:val="18"/>
        <w:szCs w:val="18"/>
      </w:rPr>
      <w:t xml:space="preserve">Circular TSB </w:t>
    </w:r>
    <w:r w:rsidR="00C75172">
      <w:rPr>
        <w:rStyle w:val="PageNumber"/>
        <w:sz w:val="18"/>
        <w:szCs w:val="18"/>
      </w:rPr>
      <w:t>22</w:t>
    </w:r>
    <w:r w:rsidR="00486ECB">
      <w:rPr>
        <w:rStyle w:val="PageNumber"/>
        <w:sz w:val="18"/>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A22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0ED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7CD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5AD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FC30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2CEF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840F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0E2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8ABF20"/>
    <w:lvl w:ilvl="0">
      <w:start w:val="1"/>
      <w:numFmt w:val="decimal"/>
      <w:lvlText w:val="%1."/>
      <w:lvlJc w:val="left"/>
      <w:pPr>
        <w:tabs>
          <w:tab w:val="num" w:pos="360"/>
        </w:tabs>
        <w:ind w:left="360" w:hanging="360"/>
      </w:pPr>
    </w:lvl>
  </w:abstractNum>
  <w:abstractNum w:abstractNumId="9"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12"/>
  </w:num>
  <w:num w:numId="3">
    <w:abstractNumId w:val="11"/>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32"/>
    <w:rsid w:val="00002529"/>
    <w:rsid w:val="000109C8"/>
    <w:rsid w:val="00072232"/>
    <w:rsid w:val="00085662"/>
    <w:rsid w:val="00095668"/>
    <w:rsid w:val="000C382F"/>
    <w:rsid w:val="000C4103"/>
    <w:rsid w:val="001115E3"/>
    <w:rsid w:val="001173CC"/>
    <w:rsid w:val="00140050"/>
    <w:rsid w:val="0014464D"/>
    <w:rsid w:val="00151B3F"/>
    <w:rsid w:val="0019534E"/>
    <w:rsid w:val="001A54CC"/>
    <w:rsid w:val="001C70AA"/>
    <w:rsid w:val="00205D11"/>
    <w:rsid w:val="002372BD"/>
    <w:rsid w:val="00257FA3"/>
    <w:rsid w:val="00257FB4"/>
    <w:rsid w:val="002B6E60"/>
    <w:rsid w:val="002D72BF"/>
    <w:rsid w:val="002E1217"/>
    <w:rsid w:val="002E496E"/>
    <w:rsid w:val="00303D62"/>
    <w:rsid w:val="003176CB"/>
    <w:rsid w:val="00335367"/>
    <w:rsid w:val="00355DAF"/>
    <w:rsid w:val="00370C2D"/>
    <w:rsid w:val="00375E7B"/>
    <w:rsid w:val="003C0086"/>
    <w:rsid w:val="003D1E8D"/>
    <w:rsid w:val="003D673B"/>
    <w:rsid w:val="003F2855"/>
    <w:rsid w:val="003F368A"/>
    <w:rsid w:val="00401C20"/>
    <w:rsid w:val="004118D3"/>
    <w:rsid w:val="00464691"/>
    <w:rsid w:val="0046621F"/>
    <w:rsid w:val="00471035"/>
    <w:rsid w:val="00486ECB"/>
    <w:rsid w:val="004915BB"/>
    <w:rsid w:val="004A540A"/>
    <w:rsid w:val="004A7957"/>
    <w:rsid w:val="004C4144"/>
    <w:rsid w:val="004F3FA6"/>
    <w:rsid w:val="00503E7E"/>
    <w:rsid w:val="005346C1"/>
    <w:rsid w:val="0055719E"/>
    <w:rsid w:val="005801DF"/>
    <w:rsid w:val="005C0420"/>
    <w:rsid w:val="005F6F30"/>
    <w:rsid w:val="006969B4"/>
    <w:rsid w:val="00697B09"/>
    <w:rsid w:val="006A584D"/>
    <w:rsid w:val="006E4F7B"/>
    <w:rsid w:val="00723591"/>
    <w:rsid w:val="00743DB7"/>
    <w:rsid w:val="007659ED"/>
    <w:rsid w:val="00766193"/>
    <w:rsid w:val="00781E2A"/>
    <w:rsid w:val="007933A2"/>
    <w:rsid w:val="007B6316"/>
    <w:rsid w:val="007D3749"/>
    <w:rsid w:val="007F03A0"/>
    <w:rsid w:val="007F55D0"/>
    <w:rsid w:val="007F7E66"/>
    <w:rsid w:val="00814503"/>
    <w:rsid w:val="008258C2"/>
    <w:rsid w:val="008505BD"/>
    <w:rsid w:val="00850C78"/>
    <w:rsid w:val="0085354C"/>
    <w:rsid w:val="00861C75"/>
    <w:rsid w:val="0086441C"/>
    <w:rsid w:val="00876165"/>
    <w:rsid w:val="00884D12"/>
    <w:rsid w:val="008A2E34"/>
    <w:rsid w:val="008B297A"/>
    <w:rsid w:val="008C17AD"/>
    <w:rsid w:val="008D02CD"/>
    <w:rsid w:val="008D14D1"/>
    <w:rsid w:val="0091370C"/>
    <w:rsid w:val="0095172A"/>
    <w:rsid w:val="00961953"/>
    <w:rsid w:val="00965B56"/>
    <w:rsid w:val="009A0BA0"/>
    <w:rsid w:val="009C282A"/>
    <w:rsid w:val="009E6B64"/>
    <w:rsid w:val="009E7314"/>
    <w:rsid w:val="00A179D3"/>
    <w:rsid w:val="00A54E47"/>
    <w:rsid w:val="00A85611"/>
    <w:rsid w:val="00AB1AB1"/>
    <w:rsid w:val="00AB6E3A"/>
    <w:rsid w:val="00AE5760"/>
    <w:rsid w:val="00AE7093"/>
    <w:rsid w:val="00B422BC"/>
    <w:rsid w:val="00B43F77"/>
    <w:rsid w:val="00B5137F"/>
    <w:rsid w:val="00B55A3E"/>
    <w:rsid w:val="00B73B94"/>
    <w:rsid w:val="00B87E9E"/>
    <w:rsid w:val="00B95F0A"/>
    <w:rsid w:val="00B96180"/>
    <w:rsid w:val="00BC4C71"/>
    <w:rsid w:val="00C03A80"/>
    <w:rsid w:val="00C116FE"/>
    <w:rsid w:val="00C13E84"/>
    <w:rsid w:val="00C17737"/>
    <w:rsid w:val="00C17AC0"/>
    <w:rsid w:val="00C34772"/>
    <w:rsid w:val="00C5465A"/>
    <w:rsid w:val="00C75172"/>
    <w:rsid w:val="00CA21EA"/>
    <w:rsid w:val="00CD1195"/>
    <w:rsid w:val="00CD1743"/>
    <w:rsid w:val="00D27631"/>
    <w:rsid w:val="00D52CF8"/>
    <w:rsid w:val="00D54642"/>
    <w:rsid w:val="00DD00AB"/>
    <w:rsid w:val="00DD77C9"/>
    <w:rsid w:val="00DE10EF"/>
    <w:rsid w:val="00DF3538"/>
    <w:rsid w:val="00E11FED"/>
    <w:rsid w:val="00E13117"/>
    <w:rsid w:val="00E72932"/>
    <w:rsid w:val="00E839B0"/>
    <w:rsid w:val="00E92C09"/>
    <w:rsid w:val="00EF178D"/>
    <w:rsid w:val="00EF67AE"/>
    <w:rsid w:val="00F01115"/>
    <w:rsid w:val="00F14380"/>
    <w:rsid w:val="00F31DE3"/>
    <w:rsid w:val="00F6461F"/>
    <w:rsid w:val="00FA2471"/>
    <w:rsid w:val="00FC416A"/>
    <w:rsid w:val="00FD2B2D"/>
    <w:rsid w:val="00FD3130"/>
    <w:rsid w:val="00FE467C"/>
    <w:rsid w:val="00FF0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8B06261"/>
  <w15:docId w15:val="{B9C443FD-9EB7-4162-BE51-92C91DD3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5"/>
    <w:qFormat/>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20"/>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uiPriority w:val="1"/>
    <w:qFormat/>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1"/>
    <w:qFormat/>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uiPriority w:val="1"/>
    <w:qFormat/>
    <w:rsid w:val="005801DF"/>
    <w:pPr>
      <w:keepNext/>
      <w:keepLines/>
      <w:spacing w:before="480" w:after="80"/>
      <w:jc w:val="center"/>
    </w:pPr>
    <w:rPr>
      <w:rFonts w:ascii="Calibri" w:eastAsia="MS Mincho" w:hAnsi="Calibri"/>
      <w:b/>
      <w:caps/>
      <w:sz w:val="28"/>
      <w:lang w:val="en-GB"/>
    </w:rPr>
  </w:style>
  <w:style w:type="paragraph" w:styleId="BodyText0">
    <w:name w:val="Body Text"/>
    <w:basedOn w:val="Normal"/>
    <w:link w:val="BodyTextChar"/>
    <w:rsid w:val="005801DF"/>
    <w:pPr>
      <w:spacing w:after="120"/>
    </w:pPr>
    <w:rPr>
      <w:rFonts w:ascii="Calibri" w:eastAsia="MS Mincho" w:hAnsi="Calibri"/>
      <w:lang w:val="en-GB"/>
    </w:rPr>
  </w:style>
  <w:style w:type="character" w:customStyle="1" w:styleId="BodyTextChar">
    <w:name w:val="Body Text Char"/>
    <w:basedOn w:val="DefaultParagraphFont"/>
    <w:link w:val="BodyText0"/>
    <w:rsid w:val="005801DF"/>
    <w:rPr>
      <w:rFonts w:ascii="Calibri" w:eastAsia="MS Mincho" w:hAnsi="Calibri"/>
      <w:sz w:val="24"/>
      <w:lang w:val="en-GB" w:eastAsia="en-US"/>
    </w:rPr>
  </w:style>
  <w:style w:type="paragraph" w:styleId="NormalWeb">
    <w:name w:val="Normal (Web)"/>
    <w:basedOn w:val="Normal"/>
    <w:uiPriority w:val="99"/>
    <w:rsid w:val="005801D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qFormat/>
    <w:rsid w:val="005801DF"/>
    <w:pPr>
      <w:autoSpaceDE w:val="0"/>
      <w:autoSpaceDN w:val="0"/>
      <w:adjustRightInd w:val="0"/>
    </w:pPr>
    <w:rPr>
      <w:rFonts w:ascii="Times New Roman" w:eastAsiaTheme="minorEastAsia" w:hAnsi="Times New Roman"/>
      <w:color w:val="000000"/>
      <w:sz w:val="24"/>
      <w:szCs w:val="24"/>
    </w:rPr>
  </w:style>
  <w:style w:type="paragraph" w:customStyle="1" w:styleId="Heading10">
    <w:name w:val="Heading_1"/>
    <w:basedOn w:val="Default"/>
    <w:next w:val="Default"/>
    <w:uiPriority w:val="1"/>
    <w:qFormat/>
    <w:rsid w:val="005801DF"/>
    <w:pPr>
      <w:keepNext/>
      <w:autoSpaceDE/>
      <w:autoSpaceDN/>
      <w:spacing w:beforeLines="100"/>
      <w:ind w:left="200" w:hangingChars="200" w:hanging="200"/>
    </w:pPr>
    <w:rPr>
      <w:rFonts w:ascii="Calibri" w:eastAsia="MS PGothic" w:hAnsi="Calibri"/>
      <w:b/>
      <w:color w:val="auto"/>
      <w:lang w:val="en-GB" w:eastAsia="en-US"/>
    </w:rPr>
  </w:style>
  <w:style w:type="paragraph" w:customStyle="1" w:styleId="Heading20">
    <w:name w:val="Heading_2"/>
    <w:basedOn w:val="Default"/>
    <w:next w:val="Default"/>
    <w:uiPriority w:val="1"/>
    <w:qFormat/>
    <w:rsid w:val="005801DF"/>
    <w:pPr>
      <w:keepNext/>
      <w:autoSpaceDE/>
      <w:autoSpaceDN/>
      <w:spacing w:beforeLines="50"/>
    </w:pPr>
    <w:rPr>
      <w:rFonts w:ascii="Calibri" w:eastAsia="MS PGothic" w:hAnsi="Calibri" w:cstheme="majorBidi"/>
      <w:b/>
      <w:iCs/>
      <w:color w:val="auto"/>
      <w:lang w:val="en-GB" w:eastAsia="en-US"/>
    </w:rPr>
  </w:style>
  <w:style w:type="paragraph" w:styleId="ListBullet">
    <w:name w:val="List Bullet"/>
    <w:basedOn w:val="Default"/>
    <w:next w:val="Default"/>
    <w:uiPriority w:val="5"/>
    <w:qFormat/>
    <w:rsid w:val="005801DF"/>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paragraph" w:customStyle="1" w:styleId="Reasons">
    <w:name w:val="Reasons"/>
    <w:basedOn w:val="Normal"/>
    <w:qFormat/>
    <w:rsid w:val="000C410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
    <w:name w:val="Unresolved Mention"/>
    <w:basedOn w:val="DefaultParagraphFont"/>
    <w:uiPriority w:val="99"/>
    <w:semiHidden/>
    <w:unhideWhenUsed/>
    <w:rsid w:val="007F55D0"/>
    <w:rPr>
      <w:color w:val="605E5C"/>
      <w:shd w:val="clear" w:color="auto" w:fill="E1DFDD"/>
    </w:rPr>
  </w:style>
  <w:style w:type="paragraph" w:customStyle="1" w:styleId="Annextitle0">
    <w:name w:val="Annex_title"/>
    <w:basedOn w:val="Normal"/>
    <w:next w:val="Normal"/>
    <w:rsid w:val="00C75172"/>
    <w:pPr>
      <w:keepNext/>
      <w:keepLines/>
      <w:spacing w:before="240" w:after="280"/>
      <w:jc w:val="center"/>
    </w:pPr>
    <w:rPr>
      <w:rFonts w:ascii="Calibri" w:eastAsia="MS Mincho"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02-R-0021/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SG02-R-0020/es" TargetMode="External"/><Relationship Id="rId17"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hyperlink" Target="http://www.itu.int/i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2-R-0019/es" TargetMode="External"/><Relationship Id="rId5" Type="http://schemas.openxmlformats.org/officeDocument/2006/relationships/webSettings" Target="webSettings.xml"/><Relationship Id="rId15" Type="http://schemas.openxmlformats.org/officeDocument/2006/relationships/hyperlink" Target="https://www.itu.int/md/T17-SG02-R-0023/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17-SG02-R-0022/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E2AD-3DC8-45F1-9670-B8E92488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102</TotalTime>
  <Pages>6</Pages>
  <Words>1725</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11357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16</cp:revision>
  <cp:lastPrinted>2020-02-20T09:58:00Z</cp:lastPrinted>
  <dcterms:created xsi:type="dcterms:W3CDTF">2020-02-18T08:52:00Z</dcterms:created>
  <dcterms:modified xsi:type="dcterms:W3CDTF">2020-02-20T09:59:00Z</dcterms:modified>
</cp:coreProperties>
</file>