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3693993" w14:textId="77777777" w:rsidTr="00D517B2">
        <w:trPr>
          <w:cantSplit/>
          <w:trHeight w:val="1134"/>
        </w:trPr>
        <w:tc>
          <w:tcPr>
            <w:tcW w:w="798" w:type="pct"/>
          </w:tcPr>
          <w:p w14:paraId="37C31FC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203326A" wp14:editId="6FB1D2A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3A7778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AA051A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11"/>
        <w:gridCol w:w="4393"/>
      </w:tblGrid>
      <w:tr w:rsidR="00D517B2" w:rsidRPr="00D517B2" w14:paraId="559C1BAD" w14:textId="77777777" w:rsidTr="00BF12C7">
        <w:trPr>
          <w:cantSplit/>
          <w:trHeight w:val="142"/>
          <w:jc w:val="center"/>
        </w:trPr>
        <w:tc>
          <w:tcPr>
            <w:tcW w:w="796" w:type="pct"/>
          </w:tcPr>
          <w:p w14:paraId="06D2A84E" w14:textId="77777777" w:rsidR="00D517B2" w:rsidRPr="00D517B2" w:rsidRDefault="00D517B2" w:rsidP="007658FE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25" w:type="pct"/>
          </w:tcPr>
          <w:p w14:paraId="5A8F5B07" w14:textId="77777777" w:rsidR="00D517B2" w:rsidRPr="00D517B2" w:rsidRDefault="00D517B2" w:rsidP="007658FE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79" w:type="pct"/>
          </w:tcPr>
          <w:p w14:paraId="48A3F934" w14:textId="77777777" w:rsidR="00D517B2" w:rsidRPr="00873469" w:rsidRDefault="00D517B2" w:rsidP="007658FE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1C556CF6" w14:textId="77777777" w:rsidTr="00BF12C7">
        <w:trPr>
          <w:cantSplit/>
          <w:trHeight w:val="148"/>
          <w:jc w:val="center"/>
        </w:trPr>
        <w:tc>
          <w:tcPr>
            <w:tcW w:w="796" w:type="pct"/>
          </w:tcPr>
          <w:p w14:paraId="60DEA93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5" w:type="pct"/>
          </w:tcPr>
          <w:p w14:paraId="590F90D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9" w:type="pct"/>
          </w:tcPr>
          <w:p w14:paraId="4534F986" w14:textId="37E90D46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C158F6">
              <w:rPr>
                <w:rFonts w:hint="cs"/>
                <w:position w:val="2"/>
                <w:rtl/>
              </w:rPr>
              <w:t>26 فبراير 2020</w:t>
            </w:r>
          </w:p>
        </w:tc>
      </w:tr>
      <w:tr w:rsidR="00E84438" w:rsidRPr="00D517B2" w14:paraId="68BCA3DB" w14:textId="77777777" w:rsidTr="00BF12C7">
        <w:trPr>
          <w:cantSplit/>
          <w:trHeight w:val="831"/>
          <w:jc w:val="center"/>
        </w:trPr>
        <w:tc>
          <w:tcPr>
            <w:tcW w:w="796" w:type="pct"/>
          </w:tcPr>
          <w:p w14:paraId="1441E6B2" w14:textId="77777777" w:rsidR="00E84438" w:rsidRPr="00A9156F" w:rsidRDefault="00E84438" w:rsidP="007658FE">
            <w:pPr>
              <w:spacing w:before="8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5" w:type="pct"/>
          </w:tcPr>
          <w:p w14:paraId="3F3BFF86" w14:textId="10A6586A" w:rsidR="00E84438" w:rsidRPr="00D517B2" w:rsidRDefault="00E84438" w:rsidP="007658FE">
            <w:pPr>
              <w:spacing w:before="80" w:after="6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C158F6">
              <w:rPr>
                <w:b/>
                <w:position w:val="2"/>
              </w:rPr>
              <w:t>232</w:t>
            </w:r>
            <w:r>
              <w:rPr>
                <w:b/>
                <w:position w:val="2"/>
              </w:rPr>
              <w:br/>
            </w:r>
            <w:r w:rsidR="00C158F6" w:rsidRPr="00C158F6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t xml:space="preserve"> </w:t>
            </w:r>
            <w:r w:rsidR="00C158F6" w:rsidRPr="00C158F6">
              <w:rPr>
                <w:bCs/>
                <w:position w:val="2"/>
                <w:lang w:val="en-GB"/>
              </w:rPr>
              <w:t>SG15/HO</w:t>
            </w:r>
          </w:p>
        </w:tc>
        <w:tc>
          <w:tcPr>
            <w:tcW w:w="2279" w:type="pct"/>
            <w:vMerge w:val="restart"/>
          </w:tcPr>
          <w:p w14:paraId="7BC68EBE" w14:textId="77777777" w:rsidR="00E84438" w:rsidRPr="00863F83" w:rsidRDefault="00E84438" w:rsidP="007658FE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863F83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624E884" w14:textId="0DE83D15" w:rsidR="00E84438" w:rsidRDefault="00E84438" w:rsidP="007658FE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="00C158F6">
              <w:rPr>
                <w:rFonts w:hint="cs"/>
                <w:position w:val="2"/>
                <w:rtl/>
              </w:rPr>
              <w:t>؛</w:t>
            </w:r>
          </w:p>
          <w:p w14:paraId="217C08C7" w14:textId="61C14C00" w:rsidR="00C158F6" w:rsidRDefault="00C158F6" w:rsidP="007658FE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338F066" w14:textId="1184CB4F" w:rsidR="00C158F6" w:rsidRPr="00863F83" w:rsidRDefault="00C158F6" w:rsidP="007658FE">
            <w:pPr>
              <w:tabs>
                <w:tab w:val="left" w:pos="284"/>
                <w:tab w:val="left" w:pos="4111"/>
              </w:tabs>
              <w:spacing w:before="2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BF12C7">
              <w:rPr>
                <w:rFonts w:hint="cs"/>
                <w:spacing w:val="-10"/>
                <w:position w:val="2"/>
                <w:rtl/>
              </w:rPr>
              <w:t>المنتسبين إلى</w:t>
            </w:r>
            <w:r w:rsidRPr="00BF12C7"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 xml:space="preserve"> لجنة الدراسات </w:t>
            </w:r>
            <w:r>
              <w:rPr>
                <w:rFonts w:eastAsia="Times New Roman" w:hint="cs"/>
                <w:spacing w:val="-10"/>
                <w:position w:val="2"/>
                <w:rtl/>
                <w:lang w:eastAsia="en-US" w:bidi="ar-EG"/>
              </w:rPr>
              <w:t>15</w:t>
            </w:r>
            <w:r w:rsidRPr="00BF12C7">
              <w:rPr>
                <w:rFonts w:eastAsia="Times New Roman" w:hint="cs"/>
                <w:spacing w:val="-10"/>
                <w:position w:val="2"/>
                <w:rtl/>
                <w:lang w:eastAsia="en-US" w:bidi="ar-EG"/>
              </w:rPr>
              <w:t xml:space="preserve"> لقطاع </w:t>
            </w:r>
            <w:r w:rsidRPr="00BF12C7">
              <w:rPr>
                <w:rFonts w:hint="cs"/>
                <w:spacing w:val="-10"/>
                <w:position w:val="2"/>
                <w:rtl/>
              </w:rPr>
              <w:t>تقييس الاتصالات؛</w:t>
            </w:r>
          </w:p>
          <w:p w14:paraId="4F8D8520" w14:textId="34A49D56" w:rsidR="00C158F6" w:rsidRPr="00863F83" w:rsidRDefault="00C158F6" w:rsidP="007658FE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rFonts w:hint="cs"/>
                <w:position w:val="2"/>
                <w:rtl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63F83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00F8FDCD" w14:textId="159D6C8B" w:rsidR="00E84438" w:rsidRDefault="00E84438" w:rsidP="007658FE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863F83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B2D6009" w14:textId="318BB6B9" w:rsidR="00002A63" w:rsidRPr="00863F83" w:rsidRDefault="00E84438" w:rsidP="007658FE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="00424BCC"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رئيس لجنة الدراسات </w:t>
            </w:r>
            <w:r w:rsidR="00C158F6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15</w:t>
            </w:r>
            <w:r w:rsidR="00424BCC" w:rsidRPr="00424BCC"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 xml:space="preserve"> لقطاع تقييس الاتصالات</w:t>
            </w:r>
            <w:r w:rsidR="00002A63"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 </w:t>
            </w:r>
            <w:r w:rsidR="00424BCC"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ونوابه</w:t>
            </w:r>
            <w:r w:rsidR="00002A63"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؛</w:t>
            </w:r>
          </w:p>
          <w:p w14:paraId="46CA2CCF" w14:textId="77777777" w:rsidR="00002A63" w:rsidRPr="00863F83" w:rsidRDefault="00002A63" w:rsidP="007658FE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863F83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A8FC671" w14:textId="3C37920B" w:rsidR="00E84438" w:rsidRPr="00D517B2" w:rsidRDefault="00002A63" w:rsidP="007658FE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position w:val="2"/>
                <w:rtl/>
              </w:rPr>
            </w:pP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D517B2" w:rsidRPr="00D517B2" w14:paraId="2AE5AB1D" w14:textId="77777777" w:rsidTr="00BF12C7">
        <w:trPr>
          <w:cantSplit/>
          <w:trHeight w:val="340"/>
          <w:jc w:val="center"/>
        </w:trPr>
        <w:tc>
          <w:tcPr>
            <w:tcW w:w="796" w:type="pct"/>
          </w:tcPr>
          <w:p w14:paraId="27E6FB5A" w14:textId="77777777" w:rsidR="00D517B2" w:rsidRPr="00A9156F" w:rsidRDefault="00D517B2" w:rsidP="007658FE">
            <w:pPr>
              <w:spacing w:before="80" w:after="6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5" w:type="pct"/>
          </w:tcPr>
          <w:p w14:paraId="634569A9" w14:textId="08DF5F69" w:rsidR="00D517B2" w:rsidRPr="00D517B2" w:rsidRDefault="00D517B2" w:rsidP="007658FE">
            <w:pPr>
              <w:spacing w:before="80" w:after="6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C158F6" w:rsidRPr="00C158F6">
              <w:rPr>
                <w:position w:val="2"/>
                <w:lang w:val="en-GB"/>
              </w:rPr>
              <w:t>6356</w:t>
            </w:r>
          </w:p>
        </w:tc>
        <w:tc>
          <w:tcPr>
            <w:tcW w:w="2279" w:type="pct"/>
            <w:vMerge/>
          </w:tcPr>
          <w:p w14:paraId="78F35A8C" w14:textId="77777777" w:rsidR="00D517B2" w:rsidRPr="00D517B2" w:rsidRDefault="00D517B2" w:rsidP="007658FE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F6E795F" w14:textId="77777777" w:rsidTr="00BF12C7">
        <w:trPr>
          <w:cantSplit/>
          <w:trHeight w:val="340"/>
          <w:jc w:val="center"/>
        </w:trPr>
        <w:tc>
          <w:tcPr>
            <w:tcW w:w="796" w:type="pct"/>
          </w:tcPr>
          <w:p w14:paraId="47E253EC" w14:textId="77777777" w:rsidR="00D517B2" w:rsidRPr="00A9156F" w:rsidRDefault="00D517B2" w:rsidP="007658FE">
            <w:pPr>
              <w:spacing w:before="8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5" w:type="pct"/>
          </w:tcPr>
          <w:p w14:paraId="50BA5D26" w14:textId="77777777" w:rsidR="00D517B2" w:rsidRPr="00D517B2" w:rsidRDefault="00D517B2" w:rsidP="007658FE">
            <w:pPr>
              <w:spacing w:before="80" w:after="60" w:line="26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9" w:type="pct"/>
            <w:vMerge/>
          </w:tcPr>
          <w:p w14:paraId="18946189" w14:textId="77777777" w:rsidR="00D517B2" w:rsidRPr="00D517B2" w:rsidRDefault="00D517B2" w:rsidP="007658FE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EB271AB" w14:textId="77777777" w:rsidTr="00BF12C7">
        <w:trPr>
          <w:cantSplit/>
          <w:jc w:val="center"/>
        </w:trPr>
        <w:tc>
          <w:tcPr>
            <w:tcW w:w="796" w:type="pct"/>
          </w:tcPr>
          <w:p w14:paraId="1C32F89F" w14:textId="77777777" w:rsidR="00D517B2" w:rsidRPr="00A9156F" w:rsidRDefault="00D517B2" w:rsidP="007658FE">
            <w:pPr>
              <w:spacing w:before="8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5" w:type="pct"/>
          </w:tcPr>
          <w:p w14:paraId="6A78ADB2" w14:textId="44787F93" w:rsidR="00D517B2" w:rsidRPr="00A8214B" w:rsidRDefault="00E16AD2" w:rsidP="007658FE">
            <w:pPr>
              <w:spacing w:before="80" w:after="60" w:line="260" w:lineRule="exact"/>
              <w:jc w:val="left"/>
              <w:rPr>
                <w:position w:val="2"/>
                <w:highlight w:val="red"/>
              </w:rPr>
            </w:pPr>
            <w:hyperlink r:id="rId9" w:history="1">
              <w:r w:rsidR="0025167B" w:rsidRPr="0025167B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2279" w:type="pct"/>
            <w:vMerge/>
          </w:tcPr>
          <w:p w14:paraId="32AC7FE0" w14:textId="77777777" w:rsidR="00D517B2" w:rsidRPr="00D517B2" w:rsidRDefault="00D517B2" w:rsidP="007658FE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4520304" w14:textId="77777777" w:rsidTr="00BF12C7">
        <w:trPr>
          <w:cantSplit/>
          <w:jc w:val="center"/>
        </w:trPr>
        <w:tc>
          <w:tcPr>
            <w:tcW w:w="796" w:type="pct"/>
          </w:tcPr>
          <w:p w14:paraId="3EBF76ED" w14:textId="77777777" w:rsidR="00D517B2" w:rsidRPr="00A9156F" w:rsidRDefault="00D517B2" w:rsidP="00652B46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5" w:type="pct"/>
          </w:tcPr>
          <w:p w14:paraId="524238B7" w14:textId="77777777" w:rsidR="00D517B2" w:rsidRPr="00D517B2" w:rsidRDefault="00D517B2" w:rsidP="00652B46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79" w:type="pct"/>
          </w:tcPr>
          <w:p w14:paraId="51869D6B" w14:textId="77777777" w:rsidR="00D517B2" w:rsidRPr="00D517B2" w:rsidRDefault="00D517B2" w:rsidP="00652B46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A34C2D" w14:paraId="2CA47537" w14:textId="77777777" w:rsidTr="00D517B2">
        <w:trPr>
          <w:cantSplit/>
          <w:jc w:val="center"/>
        </w:trPr>
        <w:tc>
          <w:tcPr>
            <w:tcW w:w="796" w:type="pct"/>
          </w:tcPr>
          <w:p w14:paraId="494A6E92" w14:textId="77777777" w:rsidR="00D517B2" w:rsidRPr="00A34C2D" w:rsidRDefault="00D517B2" w:rsidP="00A34C2D">
            <w:pPr>
              <w:spacing w:before="60" w:after="60"/>
              <w:jc w:val="left"/>
              <w:rPr>
                <w:b/>
                <w:bCs/>
                <w:rtl/>
                <w:lang w:bidi="ar-SY"/>
              </w:rPr>
            </w:pPr>
            <w:r w:rsidRPr="00A34C2D">
              <w:rPr>
                <w:rFonts w:hint="cs"/>
                <w:b/>
                <w:bCs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780A0C5" w14:textId="7FA74BDA" w:rsidR="00D517B2" w:rsidRPr="00A34C2D" w:rsidRDefault="00D44611" w:rsidP="00C158F6">
            <w:pPr>
              <w:spacing w:before="60" w:after="60"/>
              <w:rPr>
                <w:b/>
                <w:bCs/>
                <w:lang w:bidi="ar-EG"/>
              </w:rPr>
            </w:pPr>
            <w:r w:rsidRPr="0025167B">
              <w:rPr>
                <w:rFonts w:hint="cs"/>
                <w:b/>
                <w:bCs/>
                <w:spacing w:val="-2"/>
                <w:rtl/>
              </w:rPr>
              <w:t>حالة التوصية</w:t>
            </w:r>
            <w:r w:rsidR="00A34C2D" w:rsidRPr="0025167B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C158F6" w:rsidRPr="0025167B">
              <w:rPr>
                <w:rFonts w:ascii="Calibri" w:eastAsia="Times New Roman" w:hAnsi="Calibri" w:cs="Times New Roman"/>
                <w:b/>
                <w:spacing w:val="-2"/>
                <w:sz w:val="24"/>
                <w:szCs w:val="20"/>
                <w:lang w:eastAsia="en-US"/>
              </w:rPr>
              <w:t>ITU-T </w:t>
            </w:r>
            <w:r w:rsidR="00C158F6" w:rsidRPr="0025167B">
              <w:rPr>
                <w:b/>
                <w:bCs/>
                <w:spacing w:val="-2"/>
                <w:lang w:val="en-GB"/>
              </w:rPr>
              <w:t>G.9710</w:t>
            </w:r>
            <w:r w:rsidR="00C158F6" w:rsidRPr="0025167B">
              <w:rPr>
                <w:rFonts w:hint="cs"/>
                <w:b/>
                <w:bCs/>
                <w:spacing w:val="-2"/>
                <w:rtl/>
                <w:lang w:val="en-GB"/>
              </w:rPr>
              <w:t xml:space="preserve"> </w:t>
            </w:r>
            <w:r w:rsidRPr="0025167B">
              <w:rPr>
                <w:rFonts w:hint="cs"/>
                <w:b/>
                <w:bCs/>
                <w:spacing w:val="-2"/>
                <w:rtl/>
                <w:lang w:val="en-GB"/>
              </w:rPr>
              <w:t xml:space="preserve">والتعديل </w:t>
            </w:r>
            <w:r w:rsidR="00C158F6" w:rsidRPr="0025167B">
              <w:rPr>
                <w:b/>
                <w:bCs/>
                <w:spacing w:val="-2"/>
                <w:lang w:val="en-GB"/>
              </w:rPr>
              <w:t>ITU-T G.996</w:t>
            </w:r>
            <w:r w:rsidRPr="0025167B">
              <w:rPr>
                <w:b/>
                <w:bCs/>
                <w:spacing w:val="-2"/>
                <w:lang w:val="en-GB"/>
              </w:rPr>
              <w:t>4 (2011) Amd.3</w:t>
            </w:r>
            <w:r w:rsidR="00C158F6" w:rsidRPr="0025167B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</w:t>
            </w:r>
            <w:r w:rsidR="00D176D6" w:rsidRPr="0025167B">
              <w:rPr>
                <w:rFonts w:hint="cs"/>
                <w:b/>
                <w:bCs/>
                <w:spacing w:val="-2"/>
                <w:rtl/>
                <w:lang w:bidi="ar-EG"/>
              </w:rPr>
              <w:t>بعد اجتماع لجنة الدراسات</w:t>
            </w:r>
            <w:r w:rsidR="0025167B" w:rsidRPr="0025167B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="00C158F6">
              <w:rPr>
                <w:rFonts w:hint="cs"/>
                <w:b/>
                <w:bCs/>
                <w:rtl/>
                <w:lang w:bidi="ar-EG"/>
              </w:rPr>
              <w:t>15</w:t>
            </w:r>
            <w:r w:rsidR="00D176D6" w:rsidRPr="00A34C2D"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 (</w:t>
            </w:r>
            <w:r w:rsidR="00C158F6">
              <w:rPr>
                <w:rFonts w:hint="cs"/>
                <w:b/>
                <w:bCs/>
                <w:rtl/>
                <w:lang w:bidi="ar-EG"/>
              </w:rPr>
              <w:t>جنيف</w:t>
            </w:r>
            <w:r w:rsidR="00D176D6" w:rsidRPr="00A34C2D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="00C158F6">
              <w:rPr>
                <w:rFonts w:hint="cs"/>
                <w:b/>
                <w:bCs/>
                <w:rtl/>
                <w:lang w:bidi="ar-EG"/>
              </w:rPr>
              <w:t>27 يناير - 7 فبراير 2020</w:t>
            </w:r>
            <w:r w:rsidR="00D176D6" w:rsidRPr="00A34C2D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14:paraId="1D70C06C" w14:textId="77777777" w:rsidR="00D517B2" w:rsidRPr="00D517B2" w:rsidRDefault="00D517B2" w:rsidP="0025167B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992BD0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D69E465" w14:textId="520DB473" w:rsidR="00D517B2" w:rsidRDefault="00E26443" w:rsidP="00E26443">
      <w:pPr>
        <w:spacing w:after="120"/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 w:rsidR="000C7A32" w:rsidRPr="00403BCD">
        <w:rPr>
          <w:rFonts w:hint="cs"/>
          <w:rtl/>
        </w:rPr>
        <w:t xml:space="preserve">إلحاقاً </w:t>
      </w:r>
      <w:r w:rsidR="000C7A32" w:rsidRPr="00C158F6">
        <w:rPr>
          <w:rFonts w:hint="cs"/>
          <w:rtl/>
          <w:lang w:bidi="ar-SY"/>
        </w:rPr>
        <w:t>بالرسالة المعممة</w:t>
      </w:r>
      <w:r w:rsidR="000C7A32" w:rsidRPr="00C158F6">
        <w:rPr>
          <w:rFonts w:hint="cs"/>
          <w:rtl/>
          <w:lang w:bidi="ar-EG"/>
        </w:rPr>
        <w:t xml:space="preserve"> </w:t>
      </w:r>
      <w:r w:rsidR="000C7A32" w:rsidRPr="00C158F6">
        <w:rPr>
          <w:lang w:bidi="ar-EG"/>
        </w:rPr>
        <w:t>1</w:t>
      </w:r>
      <w:r w:rsidR="00C158F6" w:rsidRPr="00C158F6">
        <w:rPr>
          <w:lang w:bidi="ar-EG"/>
        </w:rPr>
        <w:t>88</w:t>
      </w:r>
      <w:r w:rsidR="000C7A32" w:rsidRPr="00C158F6">
        <w:rPr>
          <w:rFonts w:hint="cs"/>
          <w:rtl/>
        </w:rPr>
        <w:t xml:space="preserve"> لمكتب تقييس الاتصالات</w:t>
      </w:r>
      <w:r w:rsidR="000C7A32" w:rsidRPr="00403BCD">
        <w:rPr>
          <w:rFonts w:hint="cs"/>
          <w:rtl/>
        </w:rPr>
        <w:t xml:space="preserve"> المؤرخة </w:t>
      </w:r>
      <w:r w:rsidR="00D44611">
        <w:rPr>
          <w:lang w:bidi="ar-EG"/>
        </w:rPr>
        <w:t>22</w:t>
      </w:r>
      <w:r w:rsidR="000C7A32" w:rsidRPr="00403BCD">
        <w:rPr>
          <w:rFonts w:hint="eastAsia"/>
          <w:rtl/>
        </w:rPr>
        <w:t> </w:t>
      </w:r>
      <w:r w:rsidR="00D44611">
        <w:rPr>
          <w:rFonts w:hint="cs"/>
          <w:rtl/>
        </w:rPr>
        <w:t>يوليو</w:t>
      </w:r>
      <w:r w:rsidR="000C7A32" w:rsidRPr="00403BCD">
        <w:rPr>
          <w:rFonts w:hint="eastAsia"/>
          <w:rtl/>
          <w:lang w:bidi="ar-EG"/>
        </w:rPr>
        <w:t> </w:t>
      </w:r>
      <w:r w:rsidR="000C7A32" w:rsidRPr="00403BCD">
        <w:rPr>
          <w:lang w:bidi="ar-EG"/>
        </w:rPr>
        <w:t>2019</w:t>
      </w:r>
      <w:r w:rsidR="000C7A32" w:rsidRPr="00AA4C73">
        <w:rPr>
          <w:rFonts w:hint="cs"/>
          <w:rtl/>
          <w:lang w:bidi="ar-EG"/>
        </w:rPr>
        <w:t>، وعملاً بالفقرة</w:t>
      </w:r>
      <w:r w:rsidR="000C7A32">
        <w:rPr>
          <w:rFonts w:hint="eastAsia"/>
          <w:rtl/>
          <w:lang w:bidi="ar-EG"/>
        </w:rPr>
        <w:t> </w:t>
      </w:r>
      <w:r w:rsidR="000C7A32" w:rsidRPr="00AA4C73">
        <w:rPr>
          <w:lang w:bidi="ar-EG"/>
        </w:rPr>
        <w:t>5.9</w:t>
      </w:r>
      <w:r w:rsidR="000C7A32" w:rsidRPr="00AA4C73">
        <w:rPr>
          <w:rFonts w:hint="cs"/>
          <w:rtl/>
          <w:lang w:bidi="ar-EG"/>
        </w:rPr>
        <w:t xml:space="preserve"> من القرار</w:t>
      </w:r>
      <w:r w:rsidR="000C7A32" w:rsidRPr="00AA4C73">
        <w:rPr>
          <w:rFonts w:hint="eastAsia"/>
          <w:rtl/>
          <w:lang w:bidi="ar-EG"/>
        </w:rPr>
        <w:t> </w:t>
      </w:r>
      <w:r w:rsidR="000C7A32" w:rsidRPr="00AA4C73">
        <w:rPr>
          <w:lang w:bidi="ar-EG"/>
        </w:rPr>
        <w:t>1</w:t>
      </w:r>
      <w:r w:rsidR="000C7A32" w:rsidRPr="00AA4C73">
        <w:rPr>
          <w:rFonts w:hint="cs"/>
          <w:rtl/>
          <w:lang w:bidi="ar-EG"/>
        </w:rPr>
        <w:t xml:space="preserve"> (المراجَع في</w:t>
      </w:r>
      <w:r w:rsidR="000C7A32" w:rsidRPr="00AA4C73">
        <w:rPr>
          <w:rFonts w:hint="eastAsia"/>
          <w:rtl/>
          <w:lang w:bidi="ar-EG"/>
        </w:rPr>
        <w:t> </w:t>
      </w:r>
      <w:r w:rsidR="000C7A32" w:rsidRPr="00AA4C73">
        <w:rPr>
          <w:rFonts w:hint="cs"/>
          <w:rtl/>
          <w:lang w:bidi="ar-EG"/>
        </w:rPr>
        <w:t>الحمامات،</w:t>
      </w:r>
      <w:r w:rsidR="000C7A32">
        <w:rPr>
          <w:rFonts w:hint="eastAsia"/>
          <w:rtl/>
          <w:lang w:bidi="ar-EG"/>
        </w:rPr>
        <w:t> </w:t>
      </w:r>
      <w:r w:rsidR="000C7A32" w:rsidRPr="00AA4C73">
        <w:rPr>
          <w:lang w:bidi="ar-EG"/>
        </w:rPr>
        <w:t>2016</w:t>
      </w:r>
      <w:r w:rsidR="000C7A32" w:rsidRPr="00AA4C73">
        <w:rPr>
          <w:rFonts w:hint="cs"/>
          <w:rtl/>
          <w:lang w:bidi="ar-EG"/>
        </w:rPr>
        <w:t>)، أود إفادتكم بأن لجنة الدراسات</w:t>
      </w:r>
      <w:r w:rsidR="000C7A32">
        <w:rPr>
          <w:rFonts w:hint="eastAsia"/>
          <w:rtl/>
          <w:lang w:bidi="ar-EG"/>
        </w:rPr>
        <w:t> </w:t>
      </w:r>
      <w:r w:rsidR="00C158F6">
        <w:rPr>
          <w:rFonts w:hint="cs"/>
          <w:rtl/>
          <w:lang w:bidi="ar-EG"/>
        </w:rPr>
        <w:t>15</w:t>
      </w:r>
      <w:r w:rsidR="000C7A32" w:rsidRPr="00AA4C73">
        <w:rPr>
          <w:rFonts w:hint="cs"/>
          <w:rtl/>
          <w:lang w:bidi="ar-EG"/>
        </w:rPr>
        <w:t xml:space="preserve"> لقطاع تقييس الاتصالات قد توصلت إلى القرارات التالية في</w:t>
      </w:r>
      <w:r w:rsidR="000C7A32" w:rsidRPr="00AA4C73">
        <w:rPr>
          <w:rFonts w:hint="eastAsia"/>
          <w:rtl/>
          <w:lang w:bidi="ar-EG"/>
        </w:rPr>
        <w:t> </w:t>
      </w:r>
      <w:r w:rsidR="000C7A32" w:rsidRPr="00AA4C73">
        <w:rPr>
          <w:rFonts w:hint="cs"/>
          <w:rtl/>
          <w:lang w:bidi="ar-EG"/>
        </w:rPr>
        <w:t>جلستها العامة التي عُقدت في</w:t>
      </w:r>
      <w:r w:rsidR="000C7A32" w:rsidRPr="00AA4C73">
        <w:rPr>
          <w:rFonts w:hint="eastAsia"/>
          <w:rtl/>
          <w:lang w:bidi="ar-EG"/>
        </w:rPr>
        <w:t> </w:t>
      </w:r>
      <w:r w:rsidR="00C158F6">
        <w:rPr>
          <w:rFonts w:hint="cs"/>
          <w:rtl/>
          <w:lang w:bidi="ar-EG"/>
        </w:rPr>
        <w:t>7 فبراير</w:t>
      </w:r>
      <w:r w:rsidR="000C7A32" w:rsidRPr="00AA4C73">
        <w:rPr>
          <w:rFonts w:hint="eastAsia"/>
          <w:rtl/>
          <w:lang w:bidi="ar-EG"/>
        </w:rPr>
        <w:t> </w:t>
      </w:r>
      <w:r w:rsidR="005D788D">
        <w:rPr>
          <w:lang w:bidi="ar-EG"/>
        </w:rPr>
        <w:t>2020</w:t>
      </w:r>
      <w:r w:rsidR="000C7A32" w:rsidRPr="00AA4C73">
        <w:rPr>
          <w:rFonts w:hint="cs"/>
          <w:rtl/>
          <w:lang w:bidi="ar-EG"/>
        </w:rPr>
        <w:t xml:space="preserve"> فيما</w:t>
      </w:r>
      <w:r w:rsidR="000C7A32" w:rsidRPr="00AA4C73">
        <w:rPr>
          <w:rFonts w:hint="eastAsia"/>
          <w:rtl/>
          <w:lang w:bidi="ar-EG"/>
        </w:rPr>
        <w:t> </w:t>
      </w:r>
      <w:r w:rsidR="000C7A32" w:rsidRPr="00AA4C73">
        <w:rPr>
          <w:rFonts w:hint="cs"/>
          <w:rtl/>
          <w:lang w:bidi="ar-EG"/>
        </w:rPr>
        <w:t xml:space="preserve">يتعلق بمشاريع </w:t>
      </w:r>
      <w:r w:rsidR="000C7A32" w:rsidRPr="00AA4C73">
        <w:rPr>
          <w:rFonts w:hint="cs"/>
          <w:rtl/>
        </w:rPr>
        <w:t xml:space="preserve">نصوص </w:t>
      </w:r>
      <w:r w:rsidR="000C7A32" w:rsidRPr="00AA4C73">
        <w:rPr>
          <w:rFonts w:hint="cs"/>
          <w:rtl/>
          <w:lang w:bidi="ar-EG"/>
        </w:rPr>
        <w:t>قطاع تقييس الاتصالات المبينة فيما يلي: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276"/>
        <w:gridCol w:w="1698"/>
      </w:tblGrid>
      <w:tr w:rsidR="00E26443" w:rsidRPr="0025167B" w14:paraId="72DE4150" w14:textId="77777777" w:rsidTr="0025167B">
        <w:trPr>
          <w:cantSplit/>
          <w:tblHeader/>
          <w:jc w:val="center"/>
        </w:trPr>
        <w:tc>
          <w:tcPr>
            <w:tcW w:w="1655" w:type="dxa"/>
            <w:vAlign w:val="center"/>
          </w:tcPr>
          <w:p w14:paraId="59BA85E3" w14:textId="4381639F" w:rsidR="00E26443" w:rsidRPr="0025167B" w:rsidRDefault="002672F4" w:rsidP="0025167B">
            <w:pPr>
              <w:pStyle w:val="Tablehead0"/>
              <w:bidi/>
              <w:spacing w:before="60" w:after="60" w:line="340" w:lineRule="exact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</w:rPr>
            </w:pPr>
            <w:r w:rsidRPr="0025167B">
              <w:rPr>
                <w:rFonts w:ascii="Dubai" w:hAnsi="Dubai" w:cs="Dubai" w:hint="cs"/>
                <w:b w:val="0"/>
                <w:bCs/>
                <w:position w:val="2"/>
                <w:sz w:val="22"/>
                <w:szCs w:val="22"/>
                <w:rtl/>
              </w:rPr>
              <w:t>الرقم</w:t>
            </w:r>
          </w:p>
        </w:tc>
        <w:tc>
          <w:tcPr>
            <w:tcW w:w="6276" w:type="dxa"/>
            <w:vAlign w:val="center"/>
          </w:tcPr>
          <w:p w14:paraId="63AF29AF" w14:textId="726083AE" w:rsidR="00E26443" w:rsidRPr="0025167B" w:rsidRDefault="002672F4" w:rsidP="0025167B">
            <w:pPr>
              <w:pStyle w:val="Tablehead0"/>
              <w:bidi/>
              <w:spacing w:before="60" w:after="60" w:line="340" w:lineRule="exact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</w:rPr>
            </w:pPr>
            <w:r w:rsidRPr="0025167B">
              <w:rPr>
                <w:rFonts w:ascii="Dubai" w:hAnsi="Dubai" w:cs="Dubai" w:hint="cs"/>
                <w:b w:val="0"/>
                <w:bCs/>
                <w:position w:val="2"/>
                <w:sz w:val="22"/>
                <w:szCs w:val="22"/>
                <w:rtl/>
              </w:rPr>
              <w:t>العنوان</w:t>
            </w:r>
          </w:p>
        </w:tc>
        <w:tc>
          <w:tcPr>
            <w:tcW w:w="1698" w:type="dxa"/>
            <w:vAlign w:val="center"/>
          </w:tcPr>
          <w:p w14:paraId="51DEFEB5" w14:textId="36A6B169" w:rsidR="00E26443" w:rsidRPr="0025167B" w:rsidRDefault="002672F4" w:rsidP="0025167B">
            <w:pPr>
              <w:pStyle w:val="Tablehead0"/>
              <w:bidi/>
              <w:spacing w:before="60" w:after="60" w:line="340" w:lineRule="exact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</w:rPr>
            </w:pPr>
            <w:r w:rsidRPr="0025167B">
              <w:rPr>
                <w:rFonts w:ascii="Dubai" w:hAnsi="Dubai" w:cs="Dubai" w:hint="cs"/>
                <w:b w:val="0"/>
                <w:bCs/>
                <w:position w:val="2"/>
                <w:sz w:val="22"/>
                <w:szCs w:val="22"/>
                <w:rtl/>
              </w:rPr>
              <w:t>القرار</w:t>
            </w:r>
          </w:p>
        </w:tc>
      </w:tr>
      <w:tr w:rsidR="00C158F6" w:rsidRPr="0025167B" w14:paraId="5916252B" w14:textId="77777777" w:rsidTr="0025167B">
        <w:trPr>
          <w:cantSplit/>
          <w:jc w:val="center"/>
        </w:trPr>
        <w:tc>
          <w:tcPr>
            <w:tcW w:w="1655" w:type="dxa"/>
            <w:vAlign w:val="center"/>
          </w:tcPr>
          <w:p w14:paraId="537C98EA" w14:textId="0C26076A" w:rsidR="00C158F6" w:rsidRPr="0025167B" w:rsidRDefault="00C158F6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position w:val="2"/>
                <w:sz w:val="22"/>
                <w:szCs w:val="22"/>
                <w:lang w:val="fr-CH"/>
              </w:rPr>
            </w:pPr>
            <w:bookmarkStart w:id="0" w:name="lt_pId053"/>
            <w:r w:rsidRPr="0025167B">
              <w:rPr>
                <w:position w:val="2"/>
                <w:lang w:val="fr-CH"/>
              </w:rPr>
              <w:t>ITU-T G.9710</w:t>
            </w:r>
            <w:bookmarkEnd w:id="0"/>
          </w:p>
        </w:tc>
        <w:tc>
          <w:tcPr>
            <w:tcW w:w="6276" w:type="dxa"/>
            <w:vAlign w:val="center"/>
          </w:tcPr>
          <w:p w14:paraId="6E0336C6" w14:textId="5B0EA785" w:rsidR="00C158F6" w:rsidRPr="002C2344" w:rsidRDefault="00C158F6" w:rsidP="0025167B">
            <w:pPr>
              <w:pStyle w:val="Tabletext"/>
              <w:bidi/>
              <w:spacing w:before="60" w:after="60" w:line="340" w:lineRule="exact"/>
              <w:jc w:val="both"/>
              <w:rPr>
                <w:rFonts w:ascii="Dubai" w:hAnsi="Dubai" w:cs="Dubai"/>
                <w:position w:val="2"/>
                <w:sz w:val="22"/>
                <w:szCs w:val="22"/>
                <w:lang w:val="fr-CH"/>
              </w:rPr>
            </w:pPr>
            <w:r w:rsidRPr="002C2344">
              <w:rPr>
                <w:rFonts w:ascii="Dubai" w:hAnsi="Dubai" w:cs="Dubai"/>
                <w:spacing w:val="-2"/>
                <w:position w:val="2"/>
                <w:sz w:val="22"/>
                <w:szCs w:val="22"/>
                <w:rtl/>
                <w:lang w:val="en-US" w:bidi="ar-EG"/>
              </w:rPr>
              <w:t>النفاذ السريع</w:t>
            </w:r>
            <w:r w:rsidRPr="002C2344">
              <w:rPr>
                <w:rFonts w:ascii="Dubai" w:hAnsi="Dubai" w:cs="Dubai"/>
                <w:spacing w:val="-2"/>
                <w:position w:val="2"/>
                <w:sz w:val="22"/>
                <w:szCs w:val="22"/>
                <w:rtl/>
                <w:lang w:val="en-US"/>
              </w:rPr>
              <w:t xml:space="preserve"> متعدد </w:t>
            </w:r>
            <w:proofErr w:type="spellStart"/>
            <w:r w:rsidRPr="002C2344">
              <w:rPr>
                <w:rFonts w:ascii="Dubai" w:hAnsi="Dubai" w:cs="Dubai"/>
                <w:spacing w:val="-2"/>
                <w:position w:val="2"/>
                <w:sz w:val="22"/>
                <w:szCs w:val="22"/>
                <w:rtl/>
                <w:lang w:val="en-US"/>
              </w:rPr>
              <w:t>الجيغابتات</w:t>
            </w:r>
            <w:proofErr w:type="spellEnd"/>
            <w:r w:rsidRPr="002C2344">
              <w:rPr>
                <w:rFonts w:ascii="Dubai" w:hAnsi="Dubai" w:cs="Dubai"/>
                <w:spacing w:val="-2"/>
                <w:position w:val="2"/>
                <w:sz w:val="22"/>
                <w:szCs w:val="22"/>
                <w:rtl/>
                <w:lang w:val="en-US" w:bidi="ar-EG"/>
              </w:rPr>
              <w:t xml:space="preserve"> إلى </w:t>
            </w:r>
            <w:proofErr w:type="spellStart"/>
            <w:r w:rsidRPr="002C2344">
              <w:rPr>
                <w:rFonts w:ascii="Dubai" w:hAnsi="Dubai" w:cs="Dubai"/>
                <w:spacing w:val="-2"/>
                <w:position w:val="2"/>
                <w:sz w:val="22"/>
                <w:szCs w:val="22"/>
                <w:rtl/>
                <w:lang w:val="en-US" w:bidi="ar-EG"/>
              </w:rPr>
              <w:t>مطاريف</w:t>
            </w:r>
            <w:proofErr w:type="spellEnd"/>
            <w:r w:rsidRPr="002C2344">
              <w:rPr>
                <w:rFonts w:ascii="Dubai" w:hAnsi="Dubai" w:cs="Dubai"/>
                <w:spacing w:val="-2"/>
                <w:position w:val="2"/>
                <w:sz w:val="22"/>
                <w:szCs w:val="22"/>
                <w:rtl/>
                <w:lang w:val="en-US" w:bidi="ar-EG"/>
              </w:rPr>
              <w:t xml:space="preserve"> المشتركين</w:t>
            </w:r>
            <w:r w:rsidRPr="002C2344">
              <w:rPr>
                <w:rFonts w:ascii="Dubai" w:hAnsi="Dubai" w:cs="Dubai" w:hint="cs"/>
                <w:spacing w:val="-2"/>
                <w:position w:val="2"/>
                <w:sz w:val="22"/>
                <w:szCs w:val="22"/>
                <w:rtl/>
                <w:lang w:val="en-US" w:bidi="ar-EG"/>
              </w:rPr>
              <w:t xml:space="preserve"> </w:t>
            </w:r>
            <w:r w:rsidRPr="002C2344">
              <w:rPr>
                <w:rFonts w:ascii="Dubai" w:hAnsi="Dubai" w:cs="Dubai"/>
                <w:spacing w:val="-2"/>
                <w:position w:val="2"/>
                <w:sz w:val="22"/>
                <w:szCs w:val="22"/>
                <w:lang w:val="en-US"/>
              </w:rPr>
              <w:t>(</w:t>
            </w:r>
            <w:proofErr w:type="spellStart"/>
            <w:r w:rsidRPr="00E16AD2">
              <w:rPr>
                <w:rFonts w:ascii="Dubai" w:hAnsi="Dubai" w:cs="Dubai"/>
                <w:position w:val="2"/>
                <w:sz w:val="22"/>
                <w:szCs w:val="22"/>
                <w:lang w:val="en-US"/>
              </w:rPr>
              <w:t>MGfast</w:t>
            </w:r>
            <w:proofErr w:type="spellEnd"/>
            <w:r w:rsidRPr="002C2344">
              <w:rPr>
                <w:rFonts w:ascii="Dubai" w:hAnsi="Dubai" w:cs="Dubai"/>
                <w:spacing w:val="-2"/>
                <w:position w:val="2"/>
                <w:sz w:val="22"/>
                <w:szCs w:val="22"/>
                <w:lang w:val="en-US"/>
              </w:rPr>
              <w:t>)</w:t>
            </w:r>
            <w:r w:rsidRPr="002C2344">
              <w:rPr>
                <w:rFonts w:ascii="Dubai" w:hAnsi="Dubai" w:cs="Dubai" w:hint="cs"/>
                <w:spacing w:val="-2"/>
                <w:position w:val="2"/>
                <w:sz w:val="22"/>
                <w:szCs w:val="22"/>
                <w:rtl/>
                <w:lang w:val="en-US" w:bidi="ar-EG"/>
              </w:rPr>
              <w:t xml:space="preserve"> - مواصفات</w:t>
            </w:r>
            <w:r w:rsidRPr="002C2344">
              <w:rPr>
                <w:rFonts w:ascii="Dubai" w:hAnsi="Dubai" w:cs="Dubai" w:hint="cs"/>
                <w:position w:val="2"/>
                <w:sz w:val="22"/>
                <w:szCs w:val="22"/>
                <w:rtl/>
                <w:lang w:val="en-US" w:bidi="ar-EG"/>
              </w:rPr>
              <w:t xml:space="preserve"> الكثافة الطيفية</w:t>
            </w:r>
            <w:r w:rsidRPr="002C2344">
              <w:rPr>
                <w:rFonts w:ascii="Dubai" w:hAnsi="Dubai" w:cs="Dubai" w:hint="eastAsia"/>
                <w:position w:val="2"/>
                <w:sz w:val="22"/>
                <w:szCs w:val="22"/>
                <w:rtl/>
                <w:lang w:val="en-US" w:bidi="ar-EG"/>
              </w:rPr>
              <w:t> </w:t>
            </w:r>
            <w:r w:rsidRPr="002C2344">
              <w:rPr>
                <w:rFonts w:ascii="Dubai" w:hAnsi="Dubai" w:cs="Dubai" w:hint="cs"/>
                <w:position w:val="2"/>
                <w:sz w:val="22"/>
                <w:szCs w:val="22"/>
                <w:rtl/>
                <w:lang w:val="en-US" w:bidi="ar-EG"/>
              </w:rPr>
              <w:t>للقدرة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0C594E1B" w14:textId="505DA393" w:rsidR="00C158F6" w:rsidRPr="0025167B" w:rsidRDefault="00C158F6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position w:val="2"/>
                <w:sz w:val="22"/>
                <w:szCs w:val="22"/>
                <w:rtl/>
              </w:rPr>
            </w:pPr>
            <w:r w:rsidRPr="0025167B">
              <w:rPr>
                <w:rFonts w:ascii="Dubai" w:hAnsi="Dubai" w:cs="Dubai" w:hint="cs"/>
                <w:position w:val="2"/>
                <w:sz w:val="22"/>
                <w:szCs w:val="22"/>
                <w:rtl/>
              </w:rPr>
              <w:t>تمت الموافقة عليها</w:t>
            </w:r>
          </w:p>
        </w:tc>
      </w:tr>
      <w:tr w:rsidR="00C158F6" w:rsidRPr="0025167B" w14:paraId="60BE6885" w14:textId="77777777" w:rsidTr="0025167B">
        <w:trPr>
          <w:cantSplit/>
          <w:jc w:val="center"/>
        </w:trPr>
        <w:tc>
          <w:tcPr>
            <w:tcW w:w="1655" w:type="dxa"/>
            <w:vAlign w:val="center"/>
          </w:tcPr>
          <w:p w14:paraId="419CC7C6" w14:textId="3E0477DB" w:rsidR="00C158F6" w:rsidRPr="0025167B" w:rsidRDefault="00581E83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position w:val="2"/>
                <w:sz w:val="22"/>
                <w:szCs w:val="22"/>
                <w:lang w:val="fr-CH"/>
              </w:rPr>
            </w:pPr>
            <w:r w:rsidRPr="0025167B">
              <w:rPr>
                <w:position w:val="2"/>
              </w:rPr>
              <w:t>ITU-T G.9964 (2011) Amd.3</w:t>
            </w:r>
          </w:p>
        </w:tc>
        <w:tc>
          <w:tcPr>
            <w:tcW w:w="6276" w:type="dxa"/>
            <w:vAlign w:val="center"/>
          </w:tcPr>
          <w:p w14:paraId="36A8D903" w14:textId="537F1EBD" w:rsidR="00C158F6" w:rsidRPr="0025167B" w:rsidRDefault="00C158F6" w:rsidP="0025167B">
            <w:pPr>
              <w:pStyle w:val="Tabletext"/>
              <w:bidi/>
              <w:spacing w:before="60" w:after="60" w:line="340" w:lineRule="exact"/>
              <w:jc w:val="both"/>
              <w:rPr>
                <w:rFonts w:ascii="Dubai" w:hAnsi="Dubai" w:cs="Dubai"/>
                <w:spacing w:val="-4"/>
                <w:position w:val="2"/>
                <w:sz w:val="22"/>
                <w:szCs w:val="22"/>
                <w:rtl/>
                <w:lang w:val="en-US"/>
              </w:rPr>
            </w:pPr>
            <w:r w:rsidRPr="0025167B">
              <w:rPr>
                <w:rFonts w:ascii="Dubai" w:hAnsi="Dubai" w:cs="Dubai" w:hint="cs"/>
                <w:spacing w:val="-4"/>
                <w:position w:val="2"/>
                <w:sz w:val="22"/>
                <w:szCs w:val="22"/>
                <w:rtl/>
                <w:lang w:val="en-US"/>
              </w:rPr>
              <w:t>المرسِلات والمستقبِلات الموحدة القائمة على خط سلكي عال</w:t>
            </w:r>
            <w:r w:rsidR="00AF69C5" w:rsidRPr="0025167B">
              <w:rPr>
                <w:rFonts w:ascii="Dubai" w:hAnsi="Dubai" w:cs="Dubai" w:hint="cs"/>
                <w:spacing w:val="-4"/>
                <w:position w:val="2"/>
                <w:sz w:val="22"/>
                <w:szCs w:val="22"/>
                <w:rtl/>
                <w:lang w:val="en-US"/>
              </w:rPr>
              <w:t>ي</w:t>
            </w:r>
            <w:r w:rsidRPr="0025167B">
              <w:rPr>
                <w:rFonts w:ascii="Dubai" w:hAnsi="Dubai" w:cs="Dubai" w:hint="cs"/>
                <w:spacing w:val="-4"/>
                <w:position w:val="2"/>
                <w:sz w:val="22"/>
                <w:szCs w:val="22"/>
                <w:rtl/>
                <w:lang w:val="en-US"/>
              </w:rPr>
              <w:t xml:space="preserve"> السرعة والمستعملة </w:t>
            </w:r>
            <w:r w:rsidRPr="001D7041">
              <w:rPr>
                <w:rFonts w:ascii="Dubai" w:hAnsi="Dubai" w:cs="Dubai" w:hint="cs"/>
                <w:position w:val="2"/>
                <w:sz w:val="22"/>
                <w:szCs w:val="22"/>
                <w:rtl/>
                <w:lang w:val="en-US"/>
              </w:rPr>
              <w:t xml:space="preserve">للتواصل الشبكي </w:t>
            </w:r>
            <w:r w:rsidR="0025167B" w:rsidRPr="001D7041">
              <w:rPr>
                <w:rFonts w:ascii="Dubai" w:hAnsi="Dubai" w:cs="Dubai" w:hint="cs"/>
                <w:position w:val="2"/>
                <w:sz w:val="22"/>
                <w:szCs w:val="22"/>
                <w:rtl/>
                <w:lang w:val="en-US"/>
              </w:rPr>
              <w:t>المنزلي</w:t>
            </w:r>
            <w:r w:rsidRPr="001D7041">
              <w:rPr>
                <w:rFonts w:ascii="Dubai" w:hAnsi="Dubai" w:cs="Dubai" w:hint="eastAsia"/>
                <w:position w:val="2"/>
                <w:sz w:val="22"/>
                <w:szCs w:val="22"/>
                <w:rtl/>
                <w:lang w:val="en-US"/>
              </w:rPr>
              <w:t> </w:t>
            </w:r>
            <w:r w:rsidRPr="001D7041">
              <w:rPr>
                <w:rFonts w:ascii="Dubai" w:hAnsi="Dubai" w:cs="Dubai" w:hint="cs"/>
                <w:position w:val="2"/>
                <w:sz w:val="22"/>
                <w:szCs w:val="22"/>
                <w:rtl/>
                <w:lang w:val="en-US"/>
              </w:rPr>
              <w:t xml:space="preserve">- مواصفات الكثافة الطيفية للقدرة - التعديل </w:t>
            </w:r>
            <w:r w:rsidRPr="001D7041">
              <w:rPr>
                <w:rFonts w:ascii="Dubai" w:hAnsi="Dubai" w:cs="Dubai"/>
                <w:positio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069A1904" w14:textId="232E5A95" w:rsidR="00C158F6" w:rsidRPr="0025167B" w:rsidRDefault="00C158F6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position w:val="2"/>
                <w:sz w:val="22"/>
                <w:szCs w:val="22"/>
                <w:lang w:bidi="ar-EG"/>
              </w:rPr>
            </w:pPr>
            <w:r w:rsidRPr="0025167B">
              <w:rPr>
                <w:rFonts w:ascii="Dubai" w:hAnsi="Dubai" w:cs="Dubai" w:hint="cs"/>
                <w:position w:val="2"/>
                <w:sz w:val="22"/>
                <w:szCs w:val="22"/>
                <w:rtl/>
              </w:rPr>
              <w:t>تمت الموافقة عليه</w:t>
            </w:r>
          </w:p>
        </w:tc>
      </w:tr>
    </w:tbl>
    <w:p w14:paraId="7BBB8FFB" w14:textId="54183183" w:rsidR="00E26443" w:rsidRPr="00DD40C5" w:rsidRDefault="00E26443" w:rsidP="0025167B">
      <w:pPr>
        <w:spacing w:before="240"/>
        <w:rPr>
          <w:color w:val="000000"/>
          <w:rtl/>
          <w:lang w:val="fr-CH" w:bidi="ar-EG"/>
        </w:rPr>
      </w:pPr>
      <w:r w:rsidRPr="00DD40C5">
        <w:rPr>
          <w:lang w:val="fr-CH"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براءات الاختراع بالرجوع إلى </w:t>
      </w:r>
      <w:hyperlink r:id="rId10" w:history="1">
        <w:r w:rsidRPr="00E26443">
          <w:rPr>
            <w:rStyle w:val="Hyperlink"/>
            <w:rtl/>
          </w:rPr>
          <w:t>الموقع الإلكتروني لقطاع تقييس الاتصالات</w:t>
        </w:r>
      </w:hyperlink>
      <w:r w:rsidR="00C158F6" w:rsidRPr="00C158F6">
        <w:rPr>
          <w:rFonts w:hint="cs"/>
          <w:rtl/>
        </w:rPr>
        <w:t>.</w:t>
      </w:r>
    </w:p>
    <w:p w14:paraId="2FDA033A" w14:textId="15A2E2DB" w:rsidR="00E26443" w:rsidRDefault="00E26443" w:rsidP="00D67FE4">
      <w:pPr>
        <w:rPr>
          <w:rtl/>
          <w:lang w:bidi="ar-EG"/>
        </w:rPr>
      </w:pPr>
      <w:r w:rsidRPr="00E26443">
        <w:rPr>
          <w:rFonts w:hint="cs"/>
          <w:color w:val="000000"/>
          <w:rtl/>
          <w:lang w:bidi="ar-EG"/>
        </w:rPr>
        <w:t>3</w:t>
      </w:r>
      <w:r w:rsidRPr="00DD40C5">
        <w:rPr>
          <w:color w:val="000000"/>
          <w:lang w:val="fr-CH" w:bidi="ar-EG"/>
        </w:rPr>
        <w:tab/>
      </w:r>
      <w:r w:rsidRPr="00E26443">
        <w:rPr>
          <w:color w:val="000000"/>
          <w:rtl/>
        </w:rPr>
        <w:t>و</w:t>
      </w:r>
      <w:r w:rsidR="005676D2">
        <w:rPr>
          <w:rFonts w:hint="cs"/>
          <w:color w:val="000000"/>
          <w:rtl/>
        </w:rPr>
        <w:t>س</w:t>
      </w:r>
      <w:r w:rsidRPr="00E26443">
        <w:rPr>
          <w:color w:val="000000"/>
          <w:rtl/>
        </w:rPr>
        <w:t>تتاح</w:t>
      </w:r>
      <w:r w:rsidR="005676D2">
        <w:rPr>
          <w:rFonts w:hint="cs"/>
          <w:color w:val="000000"/>
          <w:rtl/>
        </w:rPr>
        <w:t xml:space="preserve"> قريباً</w:t>
      </w:r>
      <w:r w:rsidRPr="00E26443">
        <w:rPr>
          <w:color w:val="000000"/>
          <w:rtl/>
        </w:rPr>
        <w:t xml:space="preserve"> نصوص </w:t>
      </w:r>
      <w:r w:rsidR="005A7DEC">
        <w:rPr>
          <w:rFonts w:hint="cs"/>
          <w:color w:val="000000"/>
          <w:rtl/>
        </w:rPr>
        <w:t>التوصيتين</w:t>
      </w:r>
      <w:r w:rsidR="00AF69C5">
        <w:rPr>
          <w:rFonts w:hint="cs"/>
          <w:color w:val="000000"/>
          <w:rtl/>
        </w:rPr>
        <w:t xml:space="preserve"> </w:t>
      </w:r>
      <w:r w:rsidRPr="00E26443">
        <w:rPr>
          <w:color w:val="000000"/>
          <w:rtl/>
        </w:rPr>
        <w:t>بصيغته</w:t>
      </w:r>
      <w:r w:rsidR="00AF69C5">
        <w:rPr>
          <w:rFonts w:hint="cs"/>
          <w:color w:val="000000"/>
          <w:rtl/>
        </w:rPr>
        <w:t>م</w:t>
      </w:r>
      <w:r w:rsidRPr="00E26443">
        <w:rPr>
          <w:color w:val="000000"/>
          <w:rtl/>
        </w:rPr>
        <w:t>ا السابقة للنشر في الموقع الإلكتروني التالي لقطاع تقييس الاتصالا</w:t>
      </w:r>
      <w:r w:rsidRPr="00E26443">
        <w:rPr>
          <w:rFonts w:hint="cs"/>
          <w:color w:val="000000"/>
          <w:rtl/>
        </w:rPr>
        <w:t>ت في</w:t>
      </w:r>
      <w:r w:rsidR="00700553">
        <w:rPr>
          <w:rFonts w:hint="eastAsia"/>
          <w:color w:val="000000"/>
          <w:rtl/>
        </w:rPr>
        <w:t> </w:t>
      </w:r>
      <w:r w:rsidRPr="00E26443">
        <w:rPr>
          <w:rFonts w:hint="cs"/>
          <w:color w:val="000000"/>
          <w:rtl/>
        </w:rPr>
        <w:t>العنوان</w:t>
      </w:r>
      <w:r w:rsidR="00700553">
        <w:rPr>
          <w:rFonts w:hint="cs"/>
          <w:color w:val="000000"/>
          <w:rtl/>
        </w:rPr>
        <w:t xml:space="preserve"> </w:t>
      </w:r>
      <w:hyperlink r:id="rId11" w:history="1">
        <w:r w:rsidRPr="00DD40C5">
          <w:rPr>
            <w:rStyle w:val="Hyperlink"/>
            <w:lang w:val="fr-CH"/>
          </w:rPr>
          <w:t>http://itu.int/itu-t/recommendations/</w:t>
        </w:r>
      </w:hyperlink>
      <w:r w:rsidRPr="00E26443">
        <w:rPr>
          <w:rFonts w:hint="cs"/>
          <w:rtl/>
          <w:lang w:bidi="ar-EG"/>
        </w:rPr>
        <w:t>.</w:t>
      </w:r>
    </w:p>
    <w:p w14:paraId="212C368D" w14:textId="780E6A93" w:rsidR="00E26443" w:rsidRPr="00E26443" w:rsidRDefault="00E26443" w:rsidP="007658FE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>
        <w:rPr>
          <w:rFonts w:hint="cs"/>
          <w:color w:val="000000"/>
          <w:rtl/>
        </w:rPr>
        <w:t>نصوص</w:t>
      </w:r>
      <w:r>
        <w:rPr>
          <w:color w:val="000000"/>
          <w:rtl/>
        </w:rPr>
        <w:t xml:space="preserve"> </w:t>
      </w:r>
      <w:r w:rsidR="00897712">
        <w:rPr>
          <w:rFonts w:hint="cs"/>
          <w:color w:val="000000"/>
          <w:rtl/>
        </w:rPr>
        <w:t>التوصي</w:t>
      </w:r>
      <w:r w:rsidR="005A7DEC">
        <w:rPr>
          <w:rFonts w:hint="cs"/>
          <w:color w:val="000000"/>
          <w:rtl/>
        </w:rPr>
        <w:t xml:space="preserve">تين </w:t>
      </w:r>
      <w:r>
        <w:rPr>
          <w:color w:val="000000"/>
          <w:rtl/>
        </w:rPr>
        <w:t>الموافَق عليه</w:t>
      </w:r>
      <w:r w:rsidR="00897712">
        <w:rPr>
          <w:rFonts w:hint="cs"/>
          <w:color w:val="000000"/>
          <w:rtl/>
        </w:rPr>
        <w:t>م</w:t>
      </w:r>
      <w:r>
        <w:rPr>
          <w:color w:val="000000"/>
          <w:rtl/>
        </w:rPr>
        <w:t>ا في أقرب وقت ممكن</w:t>
      </w:r>
      <w:r>
        <w:rPr>
          <w:color w:val="000000"/>
        </w:rPr>
        <w:t>.</w:t>
      </w:r>
    </w:p>
    <w:p w14:paraId="426BDB65" w14:textId="3C4B9F21" w:rsidR="00E84438" w:rsidRDefault="00E84438" w:rsidP="007658FE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C249A38" w14:textId="01635A76" w:rsidR="00C158F6" w:rsidRPr="00C158F6" w:rsidRDefault="00C158F6" w:rsidP="007658FE">
      <w:pPr>
        <w:spacing w:before="480" w:after="480"/>
        <w:ind w:left="-57"/>
        <w:jc w:val="left"/>
        <w:rPr>
          <w:i/>
          <w:iCs/>
          <w:rtl/>
          <w:lang w:bidi="ar-EG"/>
        </w:rPr>
      </w:pPr>
      <w:r w:rsidRPr="00C158F6">
        <w:rPr>
          <w:rFonts w:hint="cs"/>
          <w:i/>
          <w:iCs/>
          <w:rtl/>
          <w:lang w:bidi="ar-EG"/>
        </w:rPr>
        <w:t>(توقيع)</w:t>
      </w:r>
    </w:p>
    <w:p w14:paraId="2F31BBED" w14:textId="51B4FD90" w:rsidR="00596808" w:rsidRPr="00D517B2" w:rsidRDefault="00E84438" w:rsidP="007658FE">
      <w:pPr>
        <w:spacing w:before="480"/>
        <w:jc w:val="left"/>
        <w:rPr>
          <w:rtl/>
          <w:lang w:bidi="ar-EG"/>
        </w:rPr>
      </w:pPr>
      <w:r w:rsidRPr="00D517B2">
        <w:rPr>
          <w:rFonts w:hint="cs"/>
          <w:rtl/>
          <w:lang w:bidi="ar-SY"/>
        </w:rPr>
        <w:t>تشيساب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32535" w14:textId="77777777" w:rsidR="00F6709E" w:rsidRDefault="00F6709E" w:rsidP="006C3242">
      <w:pPr>
        <w:spacing w:before="0" w:line="240" w:lineRule="auto"/>
      </w:pPr>
      <w:r>
        <w:separator/>
      </w:r>
    </w:p>
  </w:endnote>
  <w:endnote w:type="continuationSeparator" w:id="0">
    <w:p w14:paraId="026925D7" w14:textId="77777777" w:rsidR="00F6709E" w:rsidRDefault="00F6709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4238C" w14:textId="62E58B82" w:rsidR="006C3242" w:rsidRPr="0026373E" w:rsidRDefault="0025167B" w:rsidP="0025167B">
    <w:pPr>
      <w:pStyle w:val="Footer"/>
      <w:rPr>
        <w:sz w:val="16"/>
        <w:szCs w:val="16"/>
        <w:lang w:val="fr-FR"/>
      </w:rPr>
    </w:pPr>
    <w:r w:rsidRPr="0025167B">
      <w:rPr>
        <w:sz w:val="16"/>
        <w:szCs w:val="16"/>
        <w:lang w:val="fr-FR"/>
      </w:rPr>
      <w:fldChar w:fldCharType="begin"/>
    </w:r>
    <w:r w:rsidRPr="0025167B">
      <w:rPr>
        <w:sz w:val="16"/>
        <w:szCs w:val="16"/>
        <w:lang w:val="fr-FR"/>
      </w:rPr>
      <w:instrText xml:space="preserve"> FILENAME \p \* MERGEFORMAT </w:instrText>
    </w:r>
    <w:r w:rsidRPr="0025167B">
      <w:rPr>
        <w:sz w:val="16"/>
        <w:szCs w:val="16"/>
        <w:lang w:val="fr-FR"/>
      </w:rPr>
      <w:fldChar w:fldCharType="separate"/>
    </w:r>
    <w:r w:rsidR="008F194F">
      <w:rPr>
        <w:noProof/>
        <w:sz w:val="16"/>
        <w:szCs w:val="16"/>
        <w:lang w:val="fr-FR"/>
      </w:rPr>
      <w:t>P:\ARA\ITU-T\BUREAU\CIRC\200\232A.docx</w:t>
    </w:r>
    <w:r w:rsidRPr="0025167B">
      <w:rPr>
        <w:sz w:val="16"/>
        <w:szCs w:val="16"/>
        <w:lang w:val="fr-FR"/>
      </w:rPr>
      <w:fldChar w:fldCharType="end"/>
    </w:r>
    <w:proofErr w:type="gramStart"/>
    <w:r w:rsidRPr="0025167B">
      <w:rPr>
        <w:sz w:val="16"/>
        <w:szCs w:val="16"/>
        <w:lang w:val="fr-CH"/>
      </w:rPr>
      <w:t xml:space="preserve">  </w:t>
    </w:r>
    <w:r w:rsidRPr="0025167B">
      <w:rPr>
        <w:sz w:val="16"/>
        <w:szCs w:val="16"/>
        <w:lang w:val="fr-FR"/>
      </w:rPr>
      <w:t xml:space="preserve"> (</w:t>
    </w:r>
    <w:proofErr w:type="gramEnd"/>
    <w:r w:rsidRPr="0025167B">
      <w:rPr>
        <w:sz w:val="16"/>
        <w:szCs w:val="16"/>
        <w:lang w:val="fr-CH"/>
      </w:rPr>
      <w:t>468636</w:t>
    </w:r>
    <w:r w:rsidRPr="0025167B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E27C8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International </w:t>
    </w:r>
    <w:proofErr w:type="spellStart"/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>Telecommunication</w:t>
    </w:r>
    <w:proofErr w:type="spellEnd"/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Union • Place des Nations • CH</w:t>
    </w:r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>Switzerland</w:t>
    </w:r>
    <w:proofErr w:type="spellEnd"/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</w:t>
    </w:r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AC4915">
        <w:rPr>
          <w:rStyle w:val="Hyperlink"/>
          <w:rFonts w:asciiTheme="minorHAnsi" w:eastAsia="Times New Roman" w:hAnsiTheme="minorHAnsi" w:cstheme="minorHAnsi"/>
          <w:color w:val="0070C0"/>
          <w:sz w:val="18"/>
          <w:szCs w:val="18"/>
          <w:lang w:val="fr-CH" w:eastAsia="en-US"/>
        </w:rPr>
        <w:t>itumail@itu.int</w:t>
      </w:r>
    </w:hyperlink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AC4915">
        <w:rPr>
          <w:rStyle w:val="Hyperlink"/>
          <w:rFonts w:asciiTheme="minorHAnsi" w:eastAsia="Times New Roman" w:hAnsiTheme="minorHAnsi" w:cstheme="minorHAnsi"/>
          <w:color w:val="0070C0"/>
          <w:sz w:val="18"/>
          <w:szCs w:val="18"/>
          <w:lang w:val="fr-CH" w:eastAsia="en-US"/>
        </w:rPr>
        <w:t>www.itu.int</w:t>
      </w:r>
    </w:hyperlink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AB805" w14:textId="77777777" w:rsidR="00F6709E" w:rsidRDefault="00F6709E" w:rsidP="006C3242">
      <w:pPr>
        <w:spacing w:before="0" w:line="240" w:lineRule="auto"/>
      </w:pPr>
      <w:r>
        <w:separator/>
      </w:r>
    </w:p>
  </w:footnote>
  <w:footnote w:type="continuationSeparator" w:id="0">
    <w:p w14:paraId="2493BDE2" w14:textId="77777777" w:rsidR="00F6709E" w:rsidRDefault="00F6709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44206" w14:textId="046D34DF" w:rsidR="00447F32" w:rsidRPr="00596808" w:rsidRDefault="00596808" w:rsidP="00E2118C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25167B">
      <w:rPr>
        <w:sz w:val="20"/>
        <w:szCs w:val="20"/>
        <w:lang w:val="en-GB"/>
      </w:rPr>
      <w:t>232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E"/>
    <w:rsid w:val="00002A63"/>
    <w:rsid w:val="00050CD5"/>
    <w:rsid w:val="0006468A"/>
    <w:rsid w:val="00090574"/>
    <w:rsid w:val="000C1C0E"/>
    <w:rsid w:val="000C548A"/>
    <w:rsid w:val="000C7A32"/>
    <w:rsid w:val="000E1965"/>
    <w:rsid w:val="000E327F"/>
    <w:rsid w:val="001200C5"/>
    <w:rsid w:val="00146FE2"/>
    <w:rsid w:val="0016532E"/>
    <w:rsid w:val="00186222"/>
    <w:rsid w:val="001C0169"/>
    <w:rsid w:val="001D1D50"/>
    <w:rsid w:val="001D6745"/>
    <w:rsid w:val="001D7041"/>
    <w:rsid w:val="001E446E"/>
    <w:rsid w:val="002154EE"/>
    <w:rsid w:val="002276D2"/>
    <w:rsid w:val="0023283D"/>
    <w:rsid w:val="0025167B"/>
    <w:rsid w:val="0026373E"/>
    <w:rsid w:val="002672F4"/>
    <w:rsid w:val="00271C43"/>
    <w:rsid w:val="00290728"/>
    <w:rsid w:val="002978F4"/>
    <w:rsid w:val="002B028D"/>
    <w:rsid w:val="002C2344"/>
    <w:rsid w:val="002E196B"/>
    <w:rsid w:val="002E6541"/>
    <w:rsid w:val="002F003F"/>
    <w:rsid w:val="00334924"/>
    <w:rsid w:val="003409BC"/>
    <w:rsid w:val="00343411"/>
    <w:rsid w:val="00357185"/>
    <w:rsid w:val="00383829"/>
    <w:rsid w:val="003840CF"/>
    <w:rsid w:val="003A3046"/>
    <w:rsid w:val="003E62AB"/>
    <w:rsid w:val="003F4B29"/>
    <w:rsid w:val="00400EC6"/>
    <w:rsid w:val="00403BCD"/>
    <w:rsid w:val="00413014"/>
    <w:rsid w:val="00424BCC"/>
    <w:rsid w:val="0042686F"/>
    <w:rsid w:val="004317D8"/>
    <w:rsid w:val="00434183"/>
    <w:rsid w:val="00443869"/>
    <w:rsid w:val="00447F32"/>
    <w:rsid w:val="004E11DC"/>
    <w:rsid w:val="00516378"/>
    <w:rsid w:val="00525DDD"/>
    <w:rsid w:val="005409AC"/>
    <w:rsid w:val="005457B7"/>
    <w:rsid w:val="0055516A"/>
    <w:rsid w:val="005676D2"/>
    <w:rsid w:val="00581E83"/>
    <w:rsid w:val="0058491B"/>
    <w:rsid w:val="00592EA5"/>
    <w:rsid w:val="00595B52"/>
    <w:rsid w:val="00596808"/>
    <w:rsid w:val="005A300B"/>
    <w:rsid w:val="005A3170"/>
    <w:rsid w:val="005A7DEC"/>
    <w:rsid w:val="005D23A8"/>
    <w:rsid w:val="005D788D"/>
    <w:rsid w:val="00646397"/>
    <w:rsid w:val="00652B46"/>
    <w:rsid w:val="00677396"/>
    <w:rsid w:val="0069200F"/>
    <w:rsid w:val="006A65CB"/>
    <w:rsid w:val="006C1530"/>
    <w:rsid w:val="006C3242"/>
    <w:rsid w:val="006C7CC0"/>
    <w:rsid w:val="006F63F7"/>
    <w:rsid w:val="006F7888"/>
    <w:rsid w:val="00700553"/>
    <w:rsid w:val="007025C7"/>
    <w:rsid w:val="00706D7A"/>
    <w:rsid w:val="00722F0D"/>
    <w:rsid w:val="0074420E"/>
    <w:rsid w:val="007658FE"/>
    <w:rsid w:val="00783E26"/>
    <w:rsid w:val="007C3BC7"/>
    <w:rsid w:val="007C3BCD"/>
    <w:rsid w:val="007D4ACF"/>
    <w:rsid w:val="007E0A05"/>
    <w:rsid w:val="007F0787"/>
    <w:rsid w:val="00810B7B"/>
    <w:rsid w:val="0082358A"/>
    <w:rsid w:val="008235CD"/>
    <w:rsid w:val="008247DE"/>
    <w:rsid w:val="00840B10"/>
    <w:rsid w:val="008513CB"/>
    <w:rsid w:val="00863F83"/>
    <w:rsid w:val="00870BE5"/>
    <w:rsid w:val="00873469"/>
    <w:rsid w:val="00897712"/>
    <w:rsid w:val="008A7F84"/>
    <w:rsid w:val="008F194F"/>
    <w:rsid w:val="0091702E"/>
    <w:rsid w:val="00923B0C"/>
    <w:rsid w:val="0094021C"/>
    <w:rsid w:val="0094432F"/>
    <w:rsid w:val="00952F86"/>
    <w:rsid w:val="0097291C"/>
    <w:rsid w:val="00982B28"/>
    <w:rsid w:val="009A7327"/>
    <w:rsid w:val="009D313F"/>
    <w:rsid w:val="00A34C2D"/>
    <w:rsid w:val="00A47A5A"/>
    <w:rsid w:val="00A610C8"/>
    <w:rsid w:val="00A6683B"/>
    <w:rsid w:val="00A8214B"/>
    <w:rsid w:val="00A9156F"/>
    <w:rsid w:val="00A97F94"/>
    <w:rsid w:val="00AA7EA2"/>
    <w:rsid w:val="00AC4915"/>
    <w:rsid w:val="00AF69C5"/>
    <w:rsid w:val="00AF6B5C"/>
    <w:rsid w:val="00B03099"/>
    <w:rsid w:val="00B05BC8"/>
    <w:rsid w:val="00B64B47"/>
    <w:rsid w:val="00B932D1"/>
    <w:rsid w:val="00BB0F08"/>
    <w:rsid w:val="00BC50CB"/>
    <w:rsid w:val="00BF12C7"/>
    <w:rsid w:val="00BF2054"/>
    <w:rsid w:val="00C002DE"/>
    <w:rsid w:val="00C158F6"/>
    <w:rsid w:val="00C53BF8"/>
    <w:rsid w:val="00C66157"/>
    <w:rsid w:val="00C674FE"/>
    <w:rsid w:val="00C67501"/>
    <w:rsid w:val="00C75633"/>
    <w:rsid w:val="00CD5E4F"/>
    <w:rsid w:val="00CE2EE1"/>
    <w:rsid w:val="00CE3349"/>
    <w:rsid w:val="00CE36E5"/>
    <w:rsid w:val="00CF27F5"/>
    <w:rsid w:val="00CF3FFD"/>
    <w:rsid w:val="00D10CCF"/>
    <w:rsid w:val="00D176D6"/>
    <w:rsid w:val="00D22846"/>
    <w:rsid w:val="00D44611"/>
    <w:rsid w:val="00D517B2"/>
    <w:rsid w:val="00D67FE4"/>
    <w:rsid w:val="00D77D0F"/>
    <w:rsid w:val="00DA1CF0"/>
    <w:rsid w:val="00DC1E02"/>
    <w:rsid w:val="00DC24B4"/>
    <w:rsid w:val="00DC5FB0"/>
    <w:rsid w:val="00DD1EBB"/>
    <w:rsid w:val="00DD40C5"/>
    <w:rsid w:val="00DF16DC"/>
    <w:rsid w:val="00E16AD2"/>
    <w:rsid w:val="00E2118C"/>
    <w:rsid w:val="00E26443"/>
    <w:rsid w:val="00E45211"/>
    <w:rsid w:val="00E473C5"/>
    <w:rsid w:val="00E84438"/>
    <w:rsid w:val="00E92863"/>
    <w:rsid w:val="00EB796D"/>
    <w:rsid w:val="00F058DC"/>
    <w:rsid w:val="00F24FC4"/>
    <w:rsid w:val="00F26191"/>
    <w:rsid w:val="00F2676C"/>
    <w:rsid w:val="00F52941"/>
    <w:rsid w:val="00F6709E"/>
    <w:rsid w:val="00F84366"/>
    <w:rsid w:val="00F85089"/>
    <w:rsid w:val="00F974C5"/>
    <w:rsid w:val="00FA6F46"/>
    <w:rsid w:val="00FB69D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8DFD2D2"/>
  <w15:chartTrackingRefBased/>
  <w15:docId w15:val="{146858CB-FA92-4627-B21A-69AFBB10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E26443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E26443"/>
    <w:pPr>
      <w:keepNext/>
      <w:spacing w:before="80" w:after="8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1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T%20(TSB)\PA_TSB%20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395E-3794-48F1-B110-6C644F6A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CIRC.dotx</Template>
  <TotalTime>25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Arabic</cp:lastModifiedBy>
  <cp:revision>12</cp:revision>
  <cp:lastPrinted>2020-04-21T14:05:00Z</cp:lastPrinted>
  <dcterms:created xsi:type="dcterms:W3CDTF">2020-04-30T09:21:00Z</dcterms:created>
  <dcterms:modified xsi:type="dcterms:W3CDTF">2020-04-30T11:35:00Z</dcterms:modified>
</cp:coreProperties>
</file>