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693"/>
        <w:gridCol w:w="3119"/>
        <w:gridCol w:w="2126"/>
        <w:gridCol w:w="8"/>
      </w:tblGrid>
      <w:tr w:rsidR="00036F4F" w:rsidRPr="00D17DC1" w14:paraId="79968F8F" w14:textId="77777777" w:rsidTr="00036F4F">
        <w:trPr>
          <w:gridAfter w:val="1"/>
          <w:wAfter w:w="8" w:type="dxa"/>
          <w:cantSplit/>
        </w:trPr>
        <w:tc>
          <w:tcPr>
            <w:tcW w:w="1418" w:type="dxa"/>
            <w:gridSpan w:val="3"/>
            <w:vAlign w:val="center"/>
          </w:tcPr>
          <w:p w14:paraId="39B1985F" w14:textId="77777777" w:rsidR="00036F4F" w:rsidRPr="00D17DC1" w:rsidRDefault="00036F4F" w:rsidP="00863FA4">
            <w:pPr>
              <w:tabs>
                <w:tab w:val="right" w:pos="8732"/>
              </w:tabs>
              <w:spacing w:before="0"/>
              <w:rPr>
                <w:b/>
                <w:bCs/>
                <w:iCs/>
                <w:color w:val="FFFFFF"/>
                <w:sz w:val="30"/>
                <w:szCs w:val="30"/>
              </w:rPr>
            </w:pPr>
            <w:r w:rsidRPr="00D17DC1">
              <w:rPr>
                <w:noProof/>
                <w:lang w:eastAsia="zh-CN"/>
              </w:rPr>
              <w:drawing>
                <wp:inline distT="0" distB="0" distL="0" distR="0" wp14:anchorId="4AD076C3" wp14:editId="3A68E33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D2F4715" w14:textId="56B47B24" w:rsidR="00036F4F" w:rsidRPr="00D17DC1" w:rsidRDefault="00036F4F" w:rsidP="00863FA4">
            <w:pPr>
              <w:spacing w:before="0"/>
              <w:rPr>
                <w:rFonts w:cs="Times New Roman Bold"/>
                <w:b/>
                <w:bCs/>
                <w:iCs/>
                <w:smallCaps/>
                <w:sz w:val="34"/>
                <w:szCs w:val="34"/>
              </w:rPr>
            </w:pPr>
            <w:r w:rsidRPr="00D17DC1">
              <w:rPr>
                <w:rFonts w:cs="Times New Roman Bold"/>
                <w:b/>
                <w:bCs/>
                <w:iCs/>
                <w:smallCaps/>
                <w:sz w:val="34"/>
                <w:szCs w:val="34"/>
              </w:rPr>
              <w:t>Union internationale des télécommunications</w:t>
            </w:r>
          </w:p>
          <w:p w14:paraId="49C6D0E9" w14:textId="77777777" w:rsidR="00036F4F" w:rsidRPr="00D17DC1" w:rsidRDefault="00036F4F" w:rsidP="00863FA4">
            <w:pPr>
              <w:tabs>
                <w:tab w:val="right" w:pos="8732"/>
              </w:tabs>
              <w:spacing w:before="0"/>
              <w:rPr>
                <w:b/>
                <w:bCs/>
                <w:iCs/>
                <w:color w:val="FFFFFF"/>
                <w:sz w:val="30"/>
                <w:szCs w:val="30"/>
              </w:rPr>
            </w:pPr>
            <w:r w:rsidRPr="00D17DC1">
              <w:rPr>
                <w:rFonts w:cs="Times New Roman Bold"/>
                <w:b/>
                <w:bCs/>
                <w:iCs/>
                <w:smallCaps/>
                <w:sz w:val="28"/>
                <w:szCs w:val="28"/>
              </w:rPr>
              <w:t>B</w:t>
            </w:r>
            <w:r w:rsidRPr="00D17DC1">
              <w:rPr>
                <w:b/>
                <w:bCs/>
                <w:iCs/>
                <w:smallCaps/>
                <w:sz w:val="28"/>
                <w:szCs w:val="28"/>
              </w:rPr>
              <w:t>ureau de la Normalisation des Télécommunications</w:t>
            </w:r>
          </w:p>
        </w:tc>
        <w:tc>
          <w:tcPr>
            <w:tcW w:w="2126" w:type="dxa"/>
            <w:vAlign w:val="center"/>
          </w:tcPr>
          <w:p w14:paraId="6B496437" w14:textId="77777777" w:rsidR="00036F4F" w:rsidRPr="00D17DC1" w:rsidRDefault="00036F4F" w:rsidP="00863FA4">
            <w:pPr>
              <w:spacing w:before="0"/>
              <w:jc w:val="right"/>
              <w:rPr>
                <w:color w:val="FFFFFF"/>
                <w:sz w:val="26"/>
                <w:szCs w:val="26"/>
              </w:rPr>
            </w:pPr>
          </w:p>
        </w:tc>
      </w:tr>
      <w:tr w:rsidR="00036F4F" w:rsidRPr="00D17DC1" w14:paraId="44BB880B" w14:textId="77777777" w:rsidTr="0082234C">
        <w:trPr>
          <w:gridBefore w:val="1"/>
          <w:wBefore w:w="8" w:type="dxa"/>
          <w:cantSplit/>
          <w:trHeight w:val="702"/>
        </w:trPr>
        <w:tc>
          <w:tcPr>
            <w:tcW w:w="1977" w:type="dxa"/>
            <w:gridSpan w:val="3"/>
          </w:tcPr>
          <w:p w14:paraId="200E4B46" w14:textId="77777777" w:rsidR="00036F4F" w:rsidRPr="00D17DC1" w:rsidRDefault="00036F4F" w:rsidP="00863FA4">
            <w:pPr>
              <w:tabs>
                <w:tab w:val="left" w:pos="4111"/>
              </w:tabs>
              <w:spacing w:before="10"/>
              <w:ind w:left="57"/>
            </w:pPr>
          </w:p>
        </w:tc>
        <w:tc>
          <w:tcPr>
            <w:tcW w:w="2693" w:type="dxa"/>
          </w:tcPr>
          <w:p w14:paraId="5F6A8CAD" w14:textId="77777777" w:rsidR="00036F4F" w:rsidRPr="00D17DC1" w:rsidRDefault="00036F4F" w:rsidP="00863FA4">
            <w:pPr>
              <w:tabs>
                <w:tab w:val="left" w:pos="4111"/>
              </w:tabs>
              <w:spacing w:before="10"/>
              <w:ind w:left="57"/>
              <w:rPr>
                <w:b/>
              </w:rPr>
            </w:pPr>
          </w:p>
        </w:tc>
        <w:tc>
          <w:tcPr>
            <w:tcW w:w="5253" w:type="dxa"/>
            <w:gridSpan w:val="3"/>
          </w:tcPr>
          <w:p w14:paraId="15A3B74B" w14:textId="62B4199E" w:rsidR="00036F4F" w:rsidRPr="00D17DC1" w:rsidRDefault="00036F4F" w:rsidP="00863FA4">
            <w:pPr>
              <w:tabs>
                <w:tab w:val="clear" w:pos="794"/>
                <w:tab w:val="clear" w:pos="1191"/>
                <w:tab w:val="clear" w:pos="1588"/>
                <w:tab w:val="clear" w:pos="1985"/>
                <w:tab w:val="left" w:pos="284"/>
              </w:tabs>
              <w:spacing w:after="120"/>
              <w:ind w:left="284" w:hanging="227"/>
            </w:pPr>
            <w:r w:rsidRPr="00D17DC1">
              <w:t>Genève, le</w:t>
            </w:r>
            <w:r w:rsidR="00863FA4" w:rsidRPr="00D17DC1">
              <w:t xml:space="preserve"> 27 février 2020</w:t>
            </w:r>
          </w:p>
        </w:tc>
      </w:tr>
      <w:tr w:rsidR="00036F4F" w:rsidRPr="00D17DC1" w14:paraId="1B1279D0" w14:textId="77777777" w:rsidTr="00D726FF">
        <w:trPr>
          <w:gridBefore w:val="1"/>
          <w:wBefore w:w="8" w:type="dxa"/>
          <w:cantSplit/>
          <w:trHeight w:val="340"/>
        </w:trPr>
        <w:tc>
          <w:tcPr>
            <w:tcW w:w="822" w:type="dxa"/>
          </w:tcPr>
          <w:p w14:paraId="695EF8FE" w14:textId="77777777" w:rsidR="00036F4F" w:rsidRPr="00D17DC1" w:rsidRDefault="00036F4F" w:rsidP="00863FA4">
            <w:pPr>
              <w:tabs>
                <w:tab w:val="left" w:pos="4111"/>
              </w:tabs>
              <w:spacing w:before="10"/>
              <w:ind w:left="57"/>
              <w:rPr>
                <w:b/>
                <w:bCs/>
              </w:rPr>
            </w:pPr>
            <w:proofErr w:type="gramStart"/>
            <w:r w:rsidRPr="00D17DC1">
              <w:rPr>
                <w:b/>
                <w:bCs/>
              </w:rPr>
              <w:t>Réf.:</w:t>
            </w:r>
            <w:proofErr w:type="gramEnd"/>
          </w:p>
          <w:p w14:paraId="7B8310CC" w14:textId="77777777" w:rsidR="00036F4F" w:rsidRPr="00D17DC1" w:rsidRDefault="00036F4F" w:rsidP="00863FA4">
            <w:pPr>
              <w:tabs>
                <w:tab w:val="left" w:pos="4111"/>
              </w:tabs>
              <w:spacing w:before="10"/>
              <w:ind w:left="57"/>
              <w:rPr>
                <w:b/>
                <w:bCs/>
              </w:rPr>
            </w:pPr>
          </w:p>
        </w:tc>
        <w:tc>
          <w:tcPr>
            <w:tcW w:w="3848" w:type="dxa"/>
            <w:gridSpan w:val="3"/>
          </w:tcPr>
          <w:p w14:paraId="6E284ADB" w14:textId="250A96EC" w:rsidR="00036F4F" w:rsidRPr="00D17DC1" w:rsidRDefault="00036F4F" w:rsidP="00863FA4">
            <w:pPr>
              <w:tabs>
                <w:tab w:val="left" w:pos="4111"/>
              </w:tabs>
              <w:spacing w:before="10"/>
              <w:ind w:left="57"/>
              <w:rPr>
                <w:b/>
              </w:rPr>
            </w:pPr>
            <w:r w:rsidRPr="00D17DC1">
              <w:rPr>
                <w:b/>
              </w:rPr>
              <w:t xml:space="preserve">Circulaire TSB </w:t>
            </w:r>
            <w:r w:rsidR="00863FA4" w:rsidRPr="00D17DC1">
              <w:rPr>
                <w:b/>
              </w:rPr>
              <w:t>235</w:t>
            </w:r>
          </w:p>
          <w:p w14:paraId="1ACCB15E" w14:textId="24783E49" w:rsidR="00036F4F" w:rsidRPr="00D17DC1" w:rsidRDefault="00036F4F" w:rsidP="00863FA4">
            <w:pPr>
              <w:tabs>
                <w:tab w:val="left" w:pos="4111"/>
              </w:tabs>
              <w:spacing w:before="10"/>
              <w:ind w:left="57"/>
              <w:rPr>
                <w:b/>
              </w:rPr>
            </w:pPr>
            <w:r w:rsidRPr="00D17DC1">
              <w:t>C</w:t>
            </w:r>
            <w:r w:rsidR="00863FA4" w:rsidRPr="00D17DC1">
              <w:t>E 13</w:t>
            </w:r>
            <w:r w:rsidRPr="00D17DC1">
              <w:t>/</w:t>
            </w:r>
            <w:r w:rsidR="00863FA4" w:rsidRPr="00D17DC1">
              <w:t>TK</w:t>
            </w:r>
          </w:p>
        </w:tc>
        <w:tc>
          <w:tcPr>
            <w:tcW w:w="5253" w:type="dxa"/>
            <w:gridSpan w:val="3"/>
            <w:vMerge w:val="restart"/>
          </w:tcPr>
          <w:p w14:paraId="39BD15BA" w14:textId="02106D04" w:rsidR="00036F4F" w:rsidRPr="00D17DC1" w:rsidRDefault="00036F4F" w:rsidP="00863FA4">
            <w:pPr>
              <w:tabs>
                <w:tab w:val="clear" w:pos="794"/>
                <w:tab w:val="clear" w:pos="1191"/>
                <w:tab w:val="clear" w:pos="1588"/>
                <w:tab w:val="clear" w:pos="1985"/>
                <w:tab w:val="left" w:pos="284"/>
              </w:tabs>
              <w:spacing w:before="0"/>
              <w:ind w:left="284" w:hanging="227"/>
            </w:pPr>
            <w:bookmarkStart w:id="0" w:name="Addressee_F"/>
            <w:bookmarkEnd w:id="0"/>
            <w:r w:rsidRPr="00D17DC1">
              <w:t>-</w:t>
            </w:r>
            <w:r w:rsidRPr="00D17DC1">
              <w:tab/>
              <w:t xml:space="preserve">Aux administrations des </w:t>
            </w:r>
            <w:r w:rsidR="00863FA4" w:rsidRPr="00D17DC1">
              <w:t>États</w:t>
            </w:r>
            <w:r w:rsidRPr="00D17DC1">
              <w:t xml:space="preserve"> Membres de l'Union</w:t>
            </w:r>
          </w:p>
          <w:p w14:paraId="1D46B2AA" w14:textId="77777777" w:rsidR="0082234C" w:rsidRPr="00D17DC1" w:rsidRDefault="0082234C" w:rsidP="0082234C">
            <w:pPr>
              <w:tabs>
                <w:tab w:val="left" w:pos="4111"/>
              </w:tabs>
            </w:pPr>
            <w:proofErr w:type="gramStart"/>
            <w:r w:rsidRPr="00D17DC1">
              <w:rPr>
                <w:b/>
              </w:rPr>
              <w:t>Copie</w:t>
            </w:r>
            <w:r w:rsidRPr="00D17DC1">
              <w:t>:</w:t>
            </w:r>
            <w:proofErr w:type="gramEnd"/>
          </w:p>
          <w:p w14:paraId="3C40E4DF" w14:textId="77777777" w:rsidR="0082234C" w:rsidRPr="00D17DC1" w:rsidRDefault="0082234C" w:rsidP="0082234C">
            <w:pPr>
              <w:tabs>
                <w:tab w:val="clear" w:pos="794"/>
                <w:tab w:val="left" w:pos="226"/>
                <w:tab w:val="left" w:pos="4111"/>
              </w:tabs>
              <w:spacing w:before="0"/>
            </w:pPr>
            <w:r w:rsidRPr="00D17DC1">
              <w:t>-</w:t>
            </w:r>
            <w:r w:rsidRPr="00D17DC1">
              <w:tab/>
              <w:t>Aux Membres du Secteur UIT-</w:t>
            </w:r>
            <w:proofErr w:type="gramStart"/>
            <w:r w:rsidRPr="00D17DC1">
              <w:t>T;</w:t>
            </w:r>
            <w:proofErr w:type="gramEnd"/>
          </w:p>
          <w:p w14:paraId="209912EF" w14:textId="77777777" w:rsidR="0082234C" w:rsidRPr="00D17DC1" w:rsidRDefault="0082234C" w:rsidP="0082234C">
            <w:pPr>
              <w:tabs>
                <w:tab w:val="clear" w:pos="794"/>
                <w:tab w:val="left" w:pos="226"/>
                <w:tab w:val="left" w:pos="4111"/>
              </w:tabs>
              <w:spacing w:before="0"/>
              <w:ind w:left="226" w:hanging="226"/>
            </w:pPr>
            <w:r w:rsidRPr="00D17DC1">
              <w:t>-</w:t>
            </w:r>
            <w:r w:rsidRPr="00D17DC1">
              <w:tab/>
              <w:t>Aux Associés de la Commission d'études 13 de l'UIT-</w:t>
            </w:r>
            <w:proofErr w:type="gramStart"/>
            <w:r w:rsidRPr="00D17DC1">
              <w:t>T;</w:t>
            </w:r>
            <w:proofErr w:type="gramEnd"/>
          </w:p>
          <w:p w14:paraId="2B781F16" w14:textId="77777777" w:rsidR="0082234C" w:rsidRPr="00D17DC1" w:rsidRDefault="0082234C" w:rsidP="0082234C">
            <w:pPr>
              <w:tabs>
                <w:tab w:val="clear" w:pos="794"/>
                <w:tab w:val="left" w:pos="226"/>
                <w:tab w:val="left" w:pos="4111"/>
              </w:tabs>
              <w:spacing w:before="0"/>
              <w:ind w:left="226" w:hanging="226"/>
            </w:pPr>
            <w:r w:rsidRPr="00D17DC1">
              <w:t>-</w:t>
            </w:r>
            <w:r w:rsidRPr="00D17DC1">
              <w:tab/>
              <w:t xml:space="preserve">Aux établissements universitaires participant aux travaux de </w:t>
            </w:r>
            <w:proofErr w:type="gramStart"/>
            <w:r w:rsidRPr="00D17DC1">
              <w:t>l'UIT;</w:t>
            </w:r>
            <w:proofErr w:type="gramEnd"/>
          </w:p>
          <w:p w14:paraId="3A4D54AD" w14:textId="77777777" w:rsidR="0082234C" w:rsidRPr="00D17DC1" w:rsidRDefault="0082234C" w:rsidP="0082234C">
            <w:pPr>
              <w:tabs>
                <w:tab w:val="clear" w:pos="794"/>
                <w:tab w:val="left" w:pos="226"/>
                <w:tab w:val="left" w:pos="4111"/>
              </w:tabs>
              <w:spacing w:before="0"/>
              <w:ind w:left="226" w:hanging="226"/>
            </w:pPr>
            <w:r w:rsidRPr="00D17DC1">
              <w:t>-</w:t>
            </w:r>
            <w:r w:rsidRPr="00D17DC1">
              <w:tab/>
              <w:t>Aux Président et Vice-Présidents de la Commission d'études 13 de l'UIT</w:t>
            </w:r>
            <w:r w:rsidRPr="00D17DC1">
              <w:noBreakHyphen/>
            </w:r>
            <w:proofErr w:type="gramStart"/>
            <w:r w:rsidRPr="00D17DC1">
              <w:t>T;</w:t>
            </w:r>
            <w:proofErr w:type="gramEnd"/>
          </w:p>
          <w:p w14:paraId="43B647D7" w14:textId="77777777" w:rsidR="0082234C" w:rsidRPr="00D17DC1" w:rsidRDefault="0082234C" w:rsidP="0082234C">
            <w:pPr>
              <w:tabs>
                <w:tab w:val="clear" w:pos="794"/>
                <w:tab w:val="left" w:pos="226"/>
                <w:tab w:val="left" w:pos="4111"/>
              </w:tabs>
              <w:spacing w:before="0"/>
              <w:ind w:left="226" w:hanging="226"/>
            </w:pPr>
            <w:r w:rsidRPr="00D17DC1">
              <w:t>-</w:t>
            </w:r>
            <w:r w:rsidRPr="00D17DC1">
              <w:tab/>
              <w:t>À la Directrice du Bureau de développement des </w:t>
            </w:r>
            <w:proofErr w:type="gramStart"/>
            <w:r w:rsidRPr="00D17DC1">
              <w:t>télécommunications;</w:t>
            </w:r>
            <w:proofErr w:type="gramEnd"/>
          </w:p>
          <w:p w14:paraId="25F74B5A" w14:textId="42EED886" w:rsidR="00036F4F" w:rsidRPr="00D17DC1" w:rsidRDefault="0082234C" w:rsidP="0082234C">
            <w:pPr>
              <w:tabs>
                <w:tab w:val="clear" w:pos="794"/>
                <w:tab w:val="clear" w:pos="1191"/>
                <w:tab w:val="clear" w:pos="1588"/>
                <w:tab w:val="clear" w:pos="1985"/>
                <w:tab w:val="left" w:pos="284"/>
              </w:tabs>
              <w:spacing w:before="0"/>
              <w:ind w:left="284" w:hanging="227"/>
            </w:pPr>
            <w:r w:rsidRPr="00D17DC1">
              <w:t>-</w:t>
            </w:r>
            <w:r w:rsidRPr="00D17DC1">
              <w:tab/>
              <w:t>Au Directeur du Bureau des radiocommunications</w:t>
            </w:r>
          </w:p>
        </w:tc>
      </w:tr>
      <w:tr w:rsidR="00036F4F" w:rsidRPr="00D17DC1" w14:paraId="6DD33C04" w14:textId="77777777" w:rsidTr="00D726FF">
        <w:trPr>
          <w:gridBefore w:val="1"/>
          <w:wBefore w:w="8" w:type="dxa"/>
          <w:cantSplit/>
        </w:trPr>
        <w:tc>
          <w:tcPr>
            <w:tcW w:w="822" w:type="dxa"/>
          </w:tcPr>
          <w:p w14:paraId="2ED7EA4B" w14:textId="77777777" w:rsidR="00036F4F" w:rsidRPr="00D17DC1" w:rsidRDefault="00036F4F" w:rsidP="00863FA4">
            <w:pPr>
              <w:tabs>
                <w:tab w:val="left" w:pos="4111"/>
              </w:tabs>
              <w:spacing w:before="10"/>
              <w:ind w:left="57"/>
              <w:rPr>
                <w:b/>
                <w:bCs/>
                <w:sz w:val="20"/>
              </w:rPr>
            </w:pPr>
            <w:r w:rsidRPr="00D17DC1">
              <w:rPr>
                <w:b/>
                <w:bCs/>
              </w:rPr>
              <w:t>Tél.:</w:t>
            </w:r>
          </w:p>
        </w:tc>
        <w:tc>
          <w:tcPr>
            <w:tcW w:w="3848" w:type="dxa"/>
            <w:gridSpan w:val="3"/>
          </w:tcPr>
          <w:p w14:paraId="2C440EE5" w14:textId="1B5C6A97" w:rsidR="00036F4F" w:rsidRPr="00D17DC1" w:rsidRDefault="00036F4F" w:rsidP="00863FA4">
            <w:pPr>
              <w:tabs>
                <w:tab w:val="left" w:pos="4111"/>
              </w:tabs>
              <w:spacing w:before="0"/>
              <w:ind w:left="57"/>
            </w:pPr>
            <w:r w:rsidRPr="00D17DC1">
              <w:t>+41 22 730</w:t>
            </w:r>
            <w:r w:rsidR="00863FA4" w:rsidRPr="00D17DC1">
              <w:t xml:space="preserve"> 5126</w:t>
            </w:r>
          </w:p>
        </w:tc>
        <w:tc>
          <w:tcPr>
            <w:tcW w:w="5253" w:type="dxa"/>
            <w:gridSpan w:val="3"/>
            <w:vMerge/>
          </w:tcPr>
          <w:p w14:paraId="49FC4441" w14:textId="77777777" w:rsidR="00036F4F" w:rsidRPr="00D17DC1" w:rsidRDefault="00036F4F" w:rsidP="00863FA4">
            <w:pPr>
              <w:tabs>
                <w:tab w:val="left" w:pos="4111"/>
              </w:tabs>
              <w:spacing w:before="0"/>
              <w:rPr>
                <w:b/>
              </w:rPr>
            </w:pPr>
          </w:p>
        </w:tc>
      </w:tr>
      <w:tr w:rsidR="00036F4F" w:rsidRPr="00D17DC1" w14:paraId="00434664" w14:textId="77777777" w:rsidTr="0082234C">
        <w:trPr>
          <w:gridBefore w:val="1"/>
          <w:wBefore w:w="8" w:type="dxa"/>
          <w:cantSplit/>
          <w:trHeight w:val="2952"/>
        </w:trPr>
        <w:tc>
          <w:tcPr>
            <w:tcW w:w="822" w:type="dxa"/>
          </w:tcPr>
          <w:p w14:paraId="1BE14AE1" w14:textId="77777777" w:rsidR="00036F4F" w:rsidRDefault="00036F4F" w:rsidP="00863FA4">
            <w:pPr>
              <w:tabs>
                <w:tab w:val="left" w:pos="4111"/>
              </w:tabs>
              <w:spacing w:before="10"/>
              <w:ind w:left="57"/>
              <w:rPr>
                <w:b/>
                <w:bCs/>
              </w:rPr>
            </w:pPr>
            <w:proofErr w:type="gramStart"/>
            <w:r w:rsidRPr="00D17DC1">
              <w:rPr>
                <w:b/>
                <w:bCs/>
              </w:rPr>
              <w:t>Fax:</w:t>
            </w:r>
            <w:proofErr w:type="gramEnd"/>
          </w:p>
          <w:p w14:paraId="5BB24D74" w14:textId="2D024FC3" w:rsidR="0082234C" w:rsidRPr="00D17DC1" w:rsidRDefault="0082234C" w:rsidP="00863FA4">
            <w:pPr>
              <w:tabs>
                <w:tab w:val="left" w:pos="4111"/>
              </w:tabs>
              <w:spacing w:before="10"/>
              <w:ind w:left="57"/>
              <w:rPr>
                <w:b/>
                <w:bCs/>
                <w:sz w:val="20"/>
              </w:rPr>
            </w:pPr>
            <w:proofErr w:type="gramStart"/>
            <w:r w:rsidRPr="00D17DC1">
              <w:rPr>
                <w:b/>
                <w:bCs/>
              </w:rPr>
              <w:t>E-mail:</w:t>
            </w:r>
            <w:proofErr w:type="gramEnd"/>
          </w:p>
        </w:tc>
        <w:tc>
          <w:tcPr>
            <w:tcW w:w="3848" w:type="dxa"/>
            <w:gridSpan w:val="3"/>
          </w:tcPr>
          <w:p w14:paraId="0B428BC4" w14:textId="2ED78CAB" w:rsidR="00036F4F" w:rsidRDefault="00036F4F" w:rsidP="00863FA4">
            <w:pPr>
              <w:tabs>
                <w:tab w:val="left" w:pos="4111"/>
              </w:tabs>
              <w:spacing w:before="0"/>
              <w:ind w:left="57"/>
            </w:pPr>
            <w:r w:rsidRPr="00D17DC1">
              <w:t>+41 22 730 5853</w:t>
            </w:r>
          </w:p>
          <w:p w14:paraId="62523979" w14:textId="60D47176" w:rsidR="0082234C" w:rsidRPr="00D17DC1" w:rsidRDefault="0082234C" w:rsidP="00863FA4">
            <w:pPr>
              <w:tabs>
                <w:tab w:val="left" w:pos="4111"/>
              </w:tabs>
              <w:spacing w:before="0"/>
              <w:ind w:left="57"/>
            </w:pPr>
            <w:hyperlink r:id="rId9" w:history="1">
              <w:r w:rsidRPr="00D17DC1">
                <w:rPr>
                  <w:rStyle w:val="Hyperlink"/>
                </w:rPr>
                <w:t>tsbsg13@itu.int</w:t>
              </w:r>
            </w:hyperlink>
          </w:p>
        </w:tc>
        <w:tc>
          <w:tcPr>
            <w:tcW w:w="5253" w:type="dxa"/>
            <w:gridSpan w:val="3"/>
            <w:vMerge/>
          </w:tcPr>
          <w:p w14:paraId="0773CB1A" w14:textId="77777777" w:rsidR="00036F4F" w:rsidRPr="00D17DC1" w:rsidRDefault="00036F4F" w:rsidP="00863FA4">
            <w:pPr>
              <w:tabs>
                <w:tab w:val="left" w:pos="4111"/>
              </w:tabs>
              <w:spacing w:before="0"/>
              <w:rPr>
                <w:b/>
              </w:rPr>
            </w:pPr>
          </w:p>
        </w:tc>
      </w:tr>
      <w:tr w:rsidR="00517A03" w:rsidRPr="00D17DC1" w14:paraId="2429A61D" w14:textId="77777777" w:rsidTr="00036F4F">
        <w:trPr>
          <w:gridBefore w:val="1"/>
          <w:gridAfter w:val="1"/>
          <w:wBefore w:w="8" w:type="dxa"/>
          <w:wAfter w:w="8" w:type="dxa"/>
          <w:cantSplit/>
          <w:trHeight w:val="680"/>
        </w:trPr>
        <w:tc>
          <w:tcPr>
            <w:tcW w:w="822" w:type="dxa"/>
          </w:tcPr>
          <w:p w14:paraId="23F6D477" w14:textId="77777777" w:rsidR="00517A03" w:rsidRPr="00D17DC1" w:rsidRDefault="00517A03" w:rsidP="00D726FF">
            <w:pPr>
              <w:tabs>
                <w:tab w:val="left" w:pos="4111"/>
              </w:tabs>
              <w:ind w:left="57"/>
              <w:rPr>
                <w:b/>
                <w:bCs/>
                <w:szCs w:val="22"/>
              </w:rPr>
            </w:pPr>
            <w:proofErr w:type="gramStart"/>
            <w:r w:rsidRPr="00D17DC1">
              <w:rPr>
                <w:b/>
                <w:bCs/>
                <w:szCs w:val="22"/>
              </w:rPr>
              <w:t>Objet:</w:t>
            </w:r>
            <w:proofErr w:type="gramEnd"/>
          </w:p>
        </w:tc>
        <w:tc>
          <w:tcPr>
            <w:tcW w:w="9093" w:type="dxa"/>
            <w:gridSpan w:val="5"/>
          </w:tcPr>
          <w:p w14:paraId="4F41A37C" w14:textId="799F2C91" w:rsidR="00517A03" w:rsidRPr="00D17DC1" w:rsidRDefault="00863FA4" w:rsidP="00D726FF">
            <w:pPr>
              <w:tabs>
                <w:tab w:val="left" w:pos="4111"/>
              </w:tabs>
              <w:ind w:left="57"/>
              <w:rPr>
                <w:b/>
                <w:bCs/>
                <w:szCs w:val="22"/>
              </w:rPr>
            </w:pPr>
            <w:r w:rsidRPr="00D17DC1">
              <w:rPr>
                <w:b/>
                <w:bCs/>
                <w:szCs w:val="22"/>
              </w:rPr>
              <w:t>Approbation de la Question révisée 20/13</w:t>
            </w:r>
          </w:p>
        </w:tc>
      </w:tr>
    </w:tbl>
    <w:p w14:paraId="6CD666BF" w14:textId="43E0DC3D" w:rsidR="00517A03" w:rsidRPr="00D17DC1" w:rsidRDefault="00517A03" w:rsidP="00D726FF">
      <w:pPr>
        <w:ind w:left="57"/>
      </w:pPr>
      <w:bookmarkStart w:id="1" w:name="StartTyping_F"/>
      <w:bookmarkEnd w:id="1"/>
      <w:r w:rsidRPr="00D17DC1">
        <w:t>Madame, Monsieur,</w:t>
      </w:r>
    </w:p>
    <w:p w14:paraId="7F6E54B4" w14:textId="66042896" w:rsidR="00863FA4" w:rsidRPr="00D17DC1" w:rsidRDefault="00FE1137" w:rsidP="00863FA4">
      <w:r>
        <w:t>1</w:t>
      </w:r>
      <w:r>
        <w:tab/>
      </w:r>
      <w:r w:rsidR="00863FA4" w:rsidRPr="00D17DC1">
        <w:t xml:space="preserve">À la demande du Président de la Commission d'études 13, </w:t>
      </w:r>
      <w:r w:rsidR="00863FA4" w:rsidRPr="00D17DC1">
        <w:rPr>
          <w:i/>
          <w:iCs/>
        </w:rPr>
        <w:t>Réseaux futurs, en particulier les IMT</w:t>
      </w:r>
      <w:r w:rsidR="00D726FF" w:rsidRPr="00D17DC1">
        <w:rPr>
          <w:i/>
          <w:iCs/>
        </w:rPr>
        <w:noBreakHyphen/>
      </w:r>
      <w:r w:rsidR="00863FA4" w:rsidRPr="00D17DC1">
        <w:rPr>
          <w:i/>
          <w:iCs/>
        </w:rPr>
        <w:t>2020, l'informatique en nuage et les infrastructures de réseau de confiance</w:t>
      </w:r>
      <w:r w:rsidR="00863FA4" w:rsidRPr="00D17DC1">
        <w:t>, j'ai l'honneur de vous informer que, conformément à la procédure décrite au § 7.2.2 de la section 7 de la Résolution 1 de l'AMNT (Rév. Hammamet, 2016), les États Membres et les Membres de Secteur présents à la cinquième réunion de la Commission d'études 13 pour cette période d'études, qui s'est tenue à Genève du 14 au 25 octobre 2019, ont décidé par consensus d'approuver la Question révisée</w:t>
      </w:r>
      <w:r w:rsidR="00D726FF" w:rsidRPr="00D17DC1">
        <w:t> </w:t>
      </w:r>
      <w:r w:rsidR="00863FA4" w:rsidRPr="00D17DC1">
        <w:t>20/13:</w:t>
      </w:r>
    </w:p>
    <w:p w14:paraId="46B48AA1" w14:textId="0371B881" w:rsidR="00863FA4" w:rsidRPr="00D17DC1" w:rsidRDefault="00863FA4" w:rsidP="00162FF5">
      <w:pPr>
        <w:pStyle w:val="enumlev1"/>
      </w:pPr>
      <w:r w:rsidRPr="00D17DC1">
        <w:t>1</w:t>
      </w:r>
      <w:r w:rsidR="00162FF5" w:rsidRPr="00D17DC1">
        <w:t>)</w:t>
      </w:r>
      <w:r w:rsidRPr="00D17DC1">
        <w:tab/>
        <w:t>Question 20/13 (</w:t>
      </w:r>
      <w:r w:rsidRPr="00D17DC1">
        <w:rPr>
          <w:i/>
          <w:iCs/>
        </w:rPr>
        <w:t>IMT-</w:t>
      </w:r>
      <w:proofErr w:type="gramStart"/>
      <w:r w:rsidRPr="00D17DC1">
        <w:rPr>
          <w:i/>
          <w:iCs/>
        </w:rPr>
        <w:t>2020:</w:t>
      </w:r>
      <w:proofErr w:type="gramEnd"/>
      <w:r w:rsidRPr="00D17DC1">
        <w:rPr>
          <w:i/>
          <w:iCs/>
        </w:rPr>
        <w:t xml:space="preserve"> Exigences concernant le réseau et architecture fonctionnelle</w:t>
      </w:r>
      <w:r w:rsidRPr="00D17DC1">
        <w:t>)</w:t>
      </w:r>
    </w:p>
    <w:p w14:paraId="17372B77" w14:textId="36B5E11C" w:rsidR="00863FA4" w:rsidRPr="00D17DC1" w:rsidRDefault="00863FA4" w:rsidP="00162FF5">
      <w:pPr>
        <w:pStyle w:val="enumlev1"/>
      </w:pPr>
      <w:r w:rsidRPr="00D17DC1">
        <w:tab/>
        <w:t>Le texte de la Question 20/13</w:t>
      </w:r>
      <w:r w:rsidR="003029D8" w:rsidRPr="00D17DC1">
        <w:t xml:space="preserve"> révisée</w:t>
      </w:r>
      <w:r w:rsidRPr="00D17DC1">
        <w:t xml:space="preserve"> figure dans l'Annexe 1 de la présente Circulaire. La </w:t>
      </w:r>
      <w:r w:rsidRPr="00D17DC1">
        <w:rPr>
          <w:b/>
          <w:bCs/>
        </w:rPr>
        <w:t>Note</w:t>
      </w:r>
      <w:r w:rsidRPr="00D17DC1">
        <w:t xml:space="preserve"> jointe dans l'</w:t>
      </w:r>
      <w:r w:rsidRPr="00D17DC1">
        <w:rPr>
          <w:b/>
          <w:bCs/>
        </w:rPr>
        <w:t>Annexe 1</w:t>
      </w:r>
      <w:r w:rsidRPr="00D17DC1">
        <w:t xml:space="preserve"> précise la raison de cette révision.</w:t>
      </w:r>
    </w:p>
    <w:p w14:paraId="3A8B3A10" w14:textId="5FD0D201" w:rsidR="00863FA4" w:rsidRPr="00D17DC1" w:rsidRDefault="00863FA4" w:rsidP="00162FF5">
      <w:pPr>
        <w:pStyle w:val="enumlev1"/>
      </w:pPr>
      <w:r w:rsidRPr="00D17DC1">
        <w:t>2</w:t>
      </w:r>
      <w:r w:rsidR="00162FF5" w:rsidRPr="00D17DC1">
        <w:t>)</w:t>
      </w:r>
      <w:r w:rsidRPr="00D17DC1">
        <w:tab/>
        <w:t xml:space="preserve">La Question 20/13 </w:t>
      </w:r>
      <w:r w:rsidR="00162FF5" w:rsidRPr="00D17DC1">
        <w:t xml:space="preserve">révisée </w:t>
      </w:r>
      <w:r w:rsidRPr="00D17DC1">
        <w:t>a été approuvée par le GCNT lors de sa réunion tenue du 10 au 14 février 2020, à Genève.</w:t>
      </w:r>
    </w:p>
    <w:p w14:paraId="0A3F5CBF" w14:textId="076797DB" w:rsidR="00863FA4" w:rsidRPr="00D17DC1" w:rsidRDefault="00863FA4" w:rsidP="00162FF5">
      <w:pPr>
        <w:pStyle w:val="enumlev1"/>
      </w:pPr>
      <w:r w:rsidRPr="00D17DC1">
        <w:t>3</w:t>
      </w:r>
      <w:r w:rsidR="00162FF5" w:rsidRPr="00D17DC1">
        <w:t>)</w:t>
      </w:r>
      <w:r w:rsidRPr="00D17DC1">
        <w:tab/>
        <w:t xml:space="preserve">En conséquence, la Question 20/13 </w:t>
      </w:r>
      <w:r w:rsidR="00162FF5" w:rsidRPr="00D17DC1">
        <w:t xml:space="preserve">révisée </w:t>
      </w:r>
      <w:r w:rsidRPr="00D17DC1">
        <w:t>est approuvée.</w:t>
      </w:r>
    </w:p>
    <w:p w14:paraId="71D59834" w14:textId="6278CEAA" w:rsidR="00BD6ECF" w:rsidRPr="00D17DC1" w:rsidRDefault="00517A03" w:rsidP="00D726FF">
      <w:r w:rsidRPr="00D17DC1">
        <w:t>Veuillez agréer, Madame, Monsieur, l</w:t>
      </w:r>
      <w:r w:rsidR="00167472" w:rsidRPr="00D17DC1">
        <w:t>'</w:t>
      </w:r>
      <w:r w:rsidRPr="00D17DC1">
        <w:t>assurance de ma haute considération.</w:t>
      </w:r>
    </w:p>
    <w:p w14:paraId="7D2335B6" w14:textId="4F9D3343" w:rsidR="00517A03" w:rsidRPr="00D17DC1" w:rsidRDefault="002E258E" w:rsidP="0082234C">
      <w:pPr>
        <w:spacing w:before="960"/>
      </w:pPr>
      <w:r>
        <w:rPr>
          <w:noProof/>
        </w:rPr>
        <w:drawing>
          <wp:anchor distT="0" distB="0" distL="114300" distR="114300" simplePos="0" relativeHeight="251658240" behindDoc="1" locked="0" layoutInCell="1" allowOverlap="1" wp14:anchorId="6A845E77" wp14:editId="4C224300">
            <wp:simplePos x="0" y="0"/>
            <wp:positionH relativeFrom="column">
              <wp:posOffset>3810</wp:posOffset>
            </wp:positionH>
            <wp:positionV relativeFrom="paragraph">
              <wp:posOffset>107950</wp:posOffset>
            </wp:positionV>
            <wp:extent cx="571499" cy="428625"/>
            <wp:effectExtent l="0" t="0" r="635"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0">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036F4F" w:rsidRPr="00D17DC1">
        <w:t>Chaesub Lee</w:t>
      </w:r>
      <w:bookmarkStart w:id="2" w:name="_GoBack"/>
      <w:bookmarkEnd w:id="2"/>
      <w:r w:rsidR="00036F4F" w:rsidRPr="00D17DC1">
        <w:br/>
        <w:t xml:space="preserve">Directeur du Bureau de la normalisation </w:t>
      </w:r>
      <w:r w:rsidR="00036F4F" w:rsidRPr="00D17DC1">
        <w:br/>
        <w:t>des télécommunications</w:t>
      </w:r>
    </w:p>
    <w:p w14:paraId="69C4952D" w14:textId="77777777" w:rsidR="0082234C" w:rsidRDefault="0082234C" w:rsidP="00D726FF">
      <w:pPr>
        <w:rPr>
          <w:b/>
          <w:bCs/>
        </w:rPr>
      </w:pPr>
    </w:p>
    <w:p w14:paraId="49991E55" w14:textId="1DF20C0A" w:rsidR="00863FA4" w:rsidRPr="00D17DC1" w:rsidRDefault="00863FA4" w:rsidP="00D726FF">
      <w:proofErr w:type="gramStart"/>
      <w:r w:rsidRPr="00D17DC1">
        <w:rPr>
          <w:b/>
          <w:bCs/>
        </w:rPr>
        <w:t>Annexe:</w:t>
      </w:r>
      <w:proofErr w:type="gramEnd"/>
      <w:r w:rsidRPr="00D17DC1">
        <w:rPr>
          <w:b/>
          <w:bCs/>
        </w:rPr>
        <w:t xml:space="preserve"> </w:t>
      </w:r>
      <w:r w:rsidRPr="00D17DC1">
        <w:t>1</w:t>
      </w:r>
    </w:p>
    <w:p w14:paraId="634242D5" w14:textId="51803318" w:rsidR="00863FA4" w:rsidRPr="00D17DC1" w:rsidRDefault="00B63563" w:rsidP="00D726FF">
      <w:pPr>
        <w:pStyle w:val="AnnexTitle"/>
      </w:pPr>
      <w:r w:rsidRPr="00D17DC1">
        <w:lastRenderedPageBreak/>
        <w:br/>
      </w:r>
      <w:r w:rsidR="00863FA4" w:rsidRPr="00D17DC1">
        <w:t>ANNEXE 1</w:t>
      </w:r>
    </w:p>
    <w:p w14:paraId="000AC60A" w14:textId="77777777" w:rsidR="00863FA4" w:rsidRPr="00D17DC1" w:rsidRDefault="00863FA4" w:rsidP="003029D8">
      <w:pPr>
        <w:pStyle w:val="AnnexTitle"/>
        <w:spacing w:after="40"/>
      </w:pPr>
      <w:r w:rsidRPr="00D17DC1">
        <w:t>IMT-2020: Exigences concernant le réseau et architecture fonctionnelle</w:t>
      </w:r>
    </w:p>
    <w:p w14:paraId="385C2D3F" w14:textId="77777777" w:rsidR="00863FA4" w:rsidRPr="00D17DC1" w:rsidRDefault="00863FA4" w:rsidP="003029D8">
      <w:pPr>
        <w:spacing w:before="40"/>
        <w:jc w:val="center"/>
        <w:rPr>
          <w:bCs/>
        </w:rPr>
      </w:pPr>
      <w:r w:rsidRPr="00D17DC1">
        <w:rPr>
          <w:bCs/>
        </w:rPr>
        <w:t>(Suite de la Question 20/13)</w:t>
      </w:r>
    </w:p>
    <w:p w14:paraId="4340ABE5" w14:textId="77777777" w:rsidR="00863FA4" w:rsidRPr="00D17DC1" w:rsidRDefault="00863FA4" w:rsidP="003029D8">
      <w:pPr>
        <w:pStyle w:val="headingb"/>
      </w:pPr>
      <w:r w:rsidRPr="00D17DC1">
        <w:t>Motifs</w:t>
      </w:r>
    </w:p>
    <w:p w14:paraId="230F47C9" w14:textId="77777777" w:rsidR="00863FA4" w:rsidRPr="00D17DC1" w:rsidRDefault="00863FA4" w:rsidP="00863FA4">
      <w:pPr>
        <w:rPr>
          <w:bCs/>
        </w:rPr>
      </w:pPr>
      <w:r w:rsidRPr="00D17DC1">
        <w:rPr>
          <w:bCs/>
        </w:rPr>
        <w:t>L'objectif avec le développement des IMT-2020 est d'anticiper les besoins des utilisateurs des services mobiles dans les années 2020 et au-delà. La vision et les scénarios de service auront été identifiés par les organismes de normalisation travaillant dans ce domaine (UIT-R, 3GPP, NGMN, etc.), par exemple, le large bande mobile évolué, les communications ultra fiables présentant un faible temps de latence et les communications massives de type machine.</w:t>
      </w:r>
    </w:p>
    <w:p w14:paraId="1C41AA76" w14:textId="77777777" w:rsidR="00863FA4" w:rsidRPr="00D17DC1" w:rsidRDefault="00863FA4" w:rsidP="00863FA4">
      <w:pPr>
        <w:rPr>
          <w:bCs/>
        </w:rPr>
      </w:pPr>
      <w:r w:rsidRPr="00D17DC1">
        <w:rPr>
          <w:bCs/>
        </w:rPr>
        <w:t xml:space="preserve">Les systèmes IMT-2020 se différencieront des systèmes de quatrième génération (4G) non seulement par une nouvelle évolution des interfaces radioélectriques, mais aussi par une flexibilité de bout en bout beaucoup plus grande. Cette flexibilité de bout en bout présentera des enjeux relatifs à la conception architecturale et fonctionnelle des IMT-2020, compte tenu de la diversité des exigences de service. Ces enjeux découlent en grande partie de l'incorporation de la </w:t>
      </w:r>
      <w:proofErr w:type="spellStart"/>
      <w:r w:rsidRPr="00D17DC1">
        <w:rPr>
          <w:bCs/>
        </w:rPr>
        <w:t>logiciellisation</w:t>
      </w:r>
      <w:proofErr w:type="spellEnd"/>
      <w:r w:rsidRPr="00D17DC1">
        <w:rPr>
          <w:bCs/>
        </w:rPr>
        <w:t xml:space="preserve"> de réseau dans chaque composant. Des techniques bien connues, comme les techniques NFV et SDN, permettront, si elles sont associées, une flexibilité inégalée dans les systèmes IMT-2020, qui permettra à son tour la prise en charge de nombreuses capacités nouvelles, notamment le découpage de réseau.</w:t>
      </w:r>
    </w:p>
    <w:p w14:paraId="1E352C70" w14:textId="77777777" w:rsidR="00863FA4" w:rsidRPr="00D17DC1" w:rsidRDefault="00863FA4" w:rsidP="00863FA4">
      <w:pPr>
        <w:rPr>
          <w:bCs/>
        </w:rPr>
      </w:pPr>
      <w:r w:rsidRPr="00D17DC1">
        <w:rPr>
          <w:bCs/>
        </w:rPr>
        <w:t>Au regard de la complexité engendrée par une telle flexibilité, l'application de l'intelligence artificielle, y compris les technologies d'apprentissage automatique, se révèlera également très utile pour les systèmes IMT-2020 en termes d'exploitation des réseaux et de capacités de prise en charge d'applications.</w:t>
      </w:r>
    </w:p>
    <w:p w14:paraId="78F687AC" w14:textId="77777777" w:rsidR="00863FA4" w:rsidRPr="00D17DC1" w:rsidRDefault="00863FA4" w:rsidP="00863FA4">
      <w:pPr>
        <w:rPr>
          <w:bCs/>
        </w:rPr>
      </w:pPr>
      <w:r w:rsidRPr="00D17DC1">
        <w:rPr>
          <w:bCs/>
        </w:rPr>
        <w:t>Cette Question porte principalement sur l'étude des exigences, des capacités, de l'architecture et des principales technologies qui permettront de réaliser les réseaux IMT-2020. Il conviendrait d'encourager un écosystème fondé sur des modèles d'exploitation et des cas d'utilisation afin d'instaurer et de mettre en œuvre une coopération optimale avec les utilisateurs. Il conviendrait en outre d'utiliser et d'orienter des projets relatifs aux logiciels open source afin de répondre aux besoins des réseaux IMT-2020.</w:t>
      </w:r>
    </w:p>
    <w:p w14:paraId="24BFBA29" w14:textId="77777777" w:rsidR="00863FA4" w:rsidRPr="00D17DC1" w:rsidRDefault="00863FA4" w:rsidP="003029D8">
      <w:pPr>
        <w:pStyle w:val="headingb"/>
      </w:pPr>
      <w:r w:rsidRPr="00D17DC1">
        <w:t>Question</w:t>
      </w:r>
    </w:p>
    <w:p w14:paraId="6A55874A" w14:textId="77777777" w:rsidR="00863FA4" w:rsidRPr="00D17DC1" w:rsidRDefault="00863FA4" w:rsidP="00863FA4">
      <w:pPr>
        <w:rPr>
          <w:bCs/>
        </w:rPr>
      </w:pPr>
      <w:r w:rsidRPr="00D17DC1">
        <w:rPr>
          <w:bCs/>
        </w:rPr>
        <w:t>Les sujets à étudier sont notamment les suivants (la liste n'étant pas exhaustive):</w:t>
      </w:r>
    </w:p>
    <w:p w14:paraId="6E341E43" w14:textId="52A5E689" w:rsidR="00863FA4" w:rsidRPr="00D17DC1" w:rsidRDefault="00863FA4" w:rsidP="003029D8">
      <w:pPr>
        <w:pStyle w:val="enumlev1"/>
      </w:pPr>
      <w:r w:rsidRPr="00D17DC1">
        <w:t>•</w:t>
      </w:r>
      <w:r w:rsidRPr="00D17DC1">
        <w:tab/>
        <w:t>Quelles sont les principales exigences et capacités des réseaux IMT-2020 selon les scénarios de service des IMT-2020?</w:t>
      </w:r>
    </w:p>
    <w:p w14:paraId="6079DE42" w14:textId="12288B2F" w:rsidR="00863FA4" w:rsidRPr="00D17DC1" w:rsidRDefault="00863FA4" w:rsidP="003029D8">
      <w:pPr>
        <w:pStyle w:val="enumlev1"/>
      </w:pPr>
      <w:r w:rsidRPr="00D17DC1">
        <w:t>•</w:t>
      </w:r>
      <w:r w:rsidRPr="00D17DC1">
        <w:tab/>
        <w:t>Quels sont les cadres et architectures requis pour réaliser les réseaux IMT-2020 sur la base des exigences et des capacités identifiées?</w:t>
      </w:r>
    </w:p>
    <w:p w14:paraId="3E5075CC" w14:textId="4189EF75" w:rsidR="00863FA4" w:rsidRPr="00D17DC1" w:rsidRDefault="00863FA4" w:rsidP="003029D8">
      <w:pPr>
        <w:pStyle w:val="enumlev1"/>
      </w:pPr>
      <w:r w:rsidRPr="00D17DC1">
        <w:t>•</w:t>
      </w:r>
      <w:r w:rsidRPr="00D17DC1">
        <w:tab/>
        <w:t>Quelles sont les principales technologies liées aux IMT-2020 requises pour réaliser les réseaux IMT-2020?</w:t>
      </w:r>
    </w:p>
    <w:p w14:paraId="2FC3FB90" w14:textId="77777777" w:rsidR="00863FA4" w:rsidRPr="00D17DC1" w:rsidRDefault="00863FA4" w:rsidP="003029D8">
      <w:pPr>
        <w:pStyle w:val="enumlev1"/>
      </w:pPr>
      <w:r w:rsidRPr="00D17DC1">
        <w:t>•</w:t>
      </w:r>
      <w:r w:rsidRPr="00D17DC1">
        <w:tab/>
        <w:t>Comment intégrer l'intelligence des réseaux aux IMT-2020?</w:t>
      </w:r>
    </w:p>
    <w:p w14:paraId="0C967EBC" w14:textId="77777777" w:rsidR="00863FA4" w:rsidRPr="00D17DC1" w:rsidRDefault="00863FA4" w:rsidP="003029D8">
      <w:pPr>
        <w:pStyle w:val="enumlev1"/>
      </w:pPr>
      <w:r w:rsidRPr="00D17DC1">
        <w:t>•</w:t>
      </w:r>
      <w:r w:rsidRPr="00D17DC1">
        <w:tab/>
        <w:t>Comment instaurer et/ou orienter l'écosystème des IMT</w:t>
      </w:r>
      <w:r w:rsidRPr="00D17DC1">
        <w:noBreakHyphen/>
        <w:t>2020 compte tenu des modèles d'exploitation et des cas d'utilisation?</w:t>
      </w:r>
    </w:p>
    <w:p w14:paraId="0488A75A" w14:textId="77777777" w:rsidR="00863FA4" w:rsidRPr="00D17DC1" w:rsidRDefault="00863FA4" w:rsidP="003029D8">
      <w:pPr>
        <w:pStyle w:val="enumlev1"/>
      </w:pPr>
      <w:r w:rsidRPr="00D17DC1">
        <w:t>•</w:t>
      </w:r>
      <w:r w:rsidRPr="00D17DC1">
        <w:tab/>
        <w:t>Comment utiliser et orienter les activités pour les logiciels open source pour les IMT</w:t>
      </w:r>
      <w:r w:rsidRPr="00D17DC1">
        <w:noBreakHyphen/>
        <w:t>2020, afin de répondre aux besoins?</w:t>
      </w:r>
    </w:p>
    <w:p w14:paraId="0988CBE4" w14:textId="77777777" w:rsidR="00863FA4" w:rsidRPr="00D17DC1" w:rsidRDefault="00863FA4" w:rsidP="003029D8">
      <w:pPr>
        <w:pStyle w:val="headingb"/>
      </w:pPr>
      <w:r w:rsidRPr="00D17DC1">
        <w:t>Tâches</w:t>
      </w:r>
    </w:p>
    <w:p w14:paraId="60029309" w14:textId="77777777" w:rsidR="00863FA4" w:rsidRPr="00D17DC1" w:rsidRDefault="00863FA4" w:rsidP="00863FA4">
      <w:pPr>
        <w:rPr>
          <w:bCs/>
        </w:rPr>
      </w:pPr>
      <w:r w:rsidRPr="00D17DC1">
        <w:rPr>
          <w:bCs/>
        </w:rPr>
        <w:t>Les tâches sont notamment les suivantes (la liste n'étant pas exhaustive):</w:t>
      </w:r>
    </w:p>
    <w:p w14:paraId="5DCFBCB9" w14:textId="77777777" w:rsidR="00863FA4" w:rsidRPr="00D17DC1" w:rsidRDefault="00863FA4" w:rsidP="003029D8">
      <w:pPr>
        <w:pStyle w:val="enumlev1"/>
      </w:pPr>
      <w:r w:rsidRPr="00D17DC1">
        <w:lastRenderedPageBreak/>
        <w:t>•</w:t>
      </w:r>
      <w:r w:rsidRPr="00D17DC1">
        <w:tab/>
        <w:t>Élaboration de Recommandations sur les exigences et les capacités pour les réseaux IMT</w:t>
      </w:r>
      <w:r w:rsidRPr="00D17DC1">
        <w:noBreakHyphen/>
        <w:t>2020 sur la base des scénarios de service des IMT</w:t>
      </w:r>
      <w:r w:rsidRPr="00D17DC1">
        <w:noBreakHyphen/>
        <w:t>2020.</w:t>
      </w:r>
    </w:p>
    <w:p w14:paraId="0587FA19" w14:textId="77777777" w:rsidR="00863FA4" w:rsidRPr="00D17DC1" w:rsidRDefault="00863FA4" w:rsidP="003029D8">
      <w:pPr>
        <w:pStyle w:val="enumlev1"/>
      </w:pPr>
      <w:r w:rsidRPr="00D17DC1">
        <w:t>•</w:t>
      </w:r>
      <w:r w:rsidRPr="00D17DC1">
        <w:tab/>
        <w:t>Élaboration de Recommandations sur le cadre et l'architecture des IMT-2020 sur la base, notamment mais non exclusivement, des exigences et des capacités identifiées ci-dessus et de l'analyse des lacunes effectuée par le Groupe spécialisé sur les IMT-2020 et par le Groupe spécialisé sur l'apprentissage automatique pour les réseaux futurs, y compris les réseaux 5G.</w:t>
      </w:r>
    </w:p>
    <w:p w14:paraId="4C925258" w14:textId="77777777" w:rsidR="00863FA4" w:rsidRPr="00D17DC1" w:rsidRDefault="00863FA4" w:rsidP="003029D8">
      <w:pPr>
        <w:pStyle w:val="enumlev1"/>
      </w:pPr>
      <w:r w:rsidRPr="00D17DC1">
        <w:t>•</w:t>
      </w:r>
      <w:r w:rsidRPr="00D17DC1">
        <w:tab/>
        <w:t xml:space="preserve">Élaboration de Recommandations et d'autres documents pertinents sur les exigences générales et l'architecture fonctionnelle pour les IMT-2020 en lien avec des technologies telles que la </w:t>
      </w:r>
      <w:proofErr w:type="spellStart"/>
      <w:r w:rsidRPr="00D17DC1">
        <w:t>logiciellisation</w:t>
      </w:r>
      <w:proofErr w:type="spellEnd"/>
      <w:r w:rsidRPr="00D17DC1">
        <w:t xml:space="preserve"> de réseau, le découpage de réseau, l'orchestration, l'exposition des capacités de réseau, l'intelligence artificielle, y compris l'apprentissage automatique, etc.</w:t>
      </w:r>
    </w:p>
    <w:p w14:paraId="246DDBD4" w14:textId="77777777" w:rsidR="00863FA4" w:rsidRPr="00D17DC1" w:rsidRDefault="00863FA4" w:rsidP="003029D8">
      <w:pPr>
        <w:pStyle w:val="enumlev1"/>
      </w:pPr>
      <w:r w:rsidRPr="00D17DC1">
        <w:t>•</w:t>
      </w:r>
      <w:r w:rsidRPr="00D17DC1">
        <w:tab/>
        <w:t>Élaboration de Recommandations sur l'interfonctionnement avec les réseaux existants, y compris avec les réseaux IMT évolués, etc.</w:t>
      </w:r>
    </w:p>
    <w:p w14:paraId="25971009" w14:textId="77777777" w:rsidR="00863FA4" w:rsidRPr="00D17DC1" w:rsidRDefault="00863FA4" w:rsidP="003029D8">
      <w:pPr>
        <w:pStyle w:val="enumlev1"/>
      </w:pPr>
      <w:r w:rsidRPr="00D17DC1">
        <w:t>•</w:t>
      </w:r>
      <w:r w:rsidRPr="00D17DC1">
        <w:tab/>
        <w:t>Étude des possibilités d'utilisation et d'orientation des activités relatives aux logiciels open source pour les réseaux IMT</w:t>
      </w:r>
      <w:r w:rsidRPr="00D17DC1">
        <w:noBreakHyphen/>
        <w:t>2020.</w:t>
      </w:r>
    </w:p>
    <w:p w14:paraId="2F4EEFB4" w14:textId="77777777" w:rsidR="00863FA4" w:rsidRPr="00D17DC1" w:rsidRDefault="00863FA4" w:rsidP="003029D8">
      <w:pPr>
        <w:pStyle w:val="enumlev1"/>
      </w:pPr>
      <w:r w:rsidRPr="00D17DC1">
        <w:t>•</w:t>
      </w:r>
      <w:r w:rsidRPr="00D17DC1">
        <w:tab/>
        <w:t>Élaboration de Recommandations sur les aspects liés à l'écosystème compte tenu des modèles d'exploitation et des cas d'utilisation.</w:t>
      </w:r>
    </w:p>
    <w:p w14:paraId="024E9C58" w14:textId="77777777" w:rsidR="00863FA4" w:rsidRPr="00D17DC1" w:rsidRDefault="00863FA4" w:rsidP="003029D8">
      <w:pPr>
        <w:pStyle w:val="enumlev1"/>
        <w:rPr>
          <w:bCs/>
        </w:rPr>
      </w:pPr>
      <w:r w:rsidRPr="00D17DC1">
        <w:t>•</w:t>
      </w:r>
      <w:r w:rsidRPr="00D17DC1">
        <w:tab/>
      </w:r>
      <w:r w:rsidRPr="00D17DC1">
        <w:rPr>
          <w:bCs/>
        </w:rPr>
        <w:t xml:space="preserve">L'état actuel d'avancement des travaux au titre de cette Question est indiqué dans le programme de travail de la CE 13 à l'adresse suivante: </w:t>
      </w:r>
      <w:r w:rsidRPr="00D17DC1">
        <w:rPr>
          <w:bCs/>
        </w:rPr>
        <w:br/>
      </w:r>
      <w:hyperlink r:id="rId11" w:history="1">
        <w:r w:rsidRPr="00D17DC1">
          <w:rPr>
            <w:rStyle w:val="Hyperlink"/>
            <w:bCs/>
          </w:rPr>
          <w:t>http://www.itu.int/itu-t/workprog/wp_search.aspx?sg=13</w:t>
        </w:r>
      </w:hyperlink>
      <w:r w:rsidRPr="00D17DC1">
        <w:rPr>
          <w:bCs/>
        </w:rPr>
        <w:t>.</w:t>
      </w:r>
    </w:p>
    <w:p w14:paraId="1CD0882E" w14:textId="77777777" w:rsidR="00863FA4" w:rsidRPr="00D17DC1" w:rsidRDefault="00863FA4" w:rsidP="003029D8">
      <w:pPr>
        <w:pStyle w:val="headingb"/>
      </w:pPr>
      <w:r w:rsidRPr="00D17DC1">
        <w:t>Relations</w:t>
      </w:r>
    </w:p>
    <w:p w14:paraId="070506A3" w14:textId="77777777" w:rsidR="00863FA4" w:rsidRPr="00D17DC1" w:rsidRDefault="00863FA4" w:rsidP="003029D8">
      <w:pPr>
        <w:pStyle w:val="headingb"/>
      </w:pPr>
      <w:r w:rsidRPr="00D17DC1">
        <w:t>Recommandations:</w:t>
      </w:r>
    </w:p>
    <w:p w14:paraId="66DC4EFD" w14:textId="77777777" w:rsidR="00863FA4" w:rsidRPr="00D17DC1" w:rsidRDefault="00863FA4" w:rsidP="003029D8">
      <w:pPr>
        <w:pStyle w:val="enumlev1"/>
      </w:pPr>
      <w:r w:rsidRPr="00D17DC1">
        <w:t>•</w:t>
      </w:r>
      <w:r w:rsidRPr="00D17DC1">
        <w:tab/>
        <w:t>Recommandations UIT</w:t>
      </w:r>
      <w:r w:rsidRPr="00D17DC1">
        <w:noBreakHyphen/>
        <w:t>T de la série Y relevant de la CE 13</w:t>
      </w:r>
    </w:p>
    <w:p w14:paraId="2CCF2D75" w14:textId="77777777" w:rsidR="00863FA4" w:rsidRPr="00D17DC1" w:rsidRDefault="00863FA4" w:rsidP="003029D8">
      <w:pPr>
        <w:pStyle w:val="headingb"/>
      </w:pPr>
      <w:r w:rsidRPr="00D17DC1">
        <w:t>Questions:</w:t>
      </w:r>
    </w:p>
    <w:p w14:paraId="230FAA69" w14:textId="77777777" w:rsidR="00863FA4" w:rsidRPr="00D17DC1" w:rsidRDefault="00863FA4" w:rsidP="003029D8">
      <w:pPr>
        <w:pStyle w:val="enumlev1"/>
      </w:pPr>
      <w:r w:rsidRPr="00D17DC1">
        <w:t>•</w:t>
      </w:r>
      <w:r w:rsidRPr="00D17DC1">
        <w:tab/>
        <w:t>Toutes les Questions connexes confiées à la Commission d'études 13, comme les Questions 6/13, 16/13, 21/13, 22/13 et 23/13</w:t>
      </w:r>
    </w:p>
    <w:p w14:paraId="2B094DDF" w14:textId="77777777" w:rsidR="00863FA4" w:rsidRPr="00D17DC1" w:rsidRDefault="00863FA4" w:rsidP="003029D8">
      <w:pPr>
        <w:pStyle w:val="headingb"/>
      </w:pPr>
      <w:r w:rsidRPr="00D17DC1">
        <w:t>Commissions d'études:</w:t>
      </w:r>
    </w:p>
    <w:p w14:paraId="1EFD21AE" w14:textId="77777777" w:rsidR="00863FA4" w:rsidRPr="00D17DC1" w:rsidRDefault="00863FA4" w:rsidP="003029D8">
      <w:pPr>
        <w:pStyle w:val="enumlev1"/>
      </w:pPr>
      <w:r w:rsidRPr="00D17DC1">
        <w:t>•</w:t>
      </w:r>
      <w:r w:rsidRPr="00D17DC1">
        <w:tab/>
        <w:t>Commissions d'études de l'UIT participant aux études sur les IMT-2020</w:t>
      </w:r>
    </w:p>
    <w:p w14:paraId="7001D67E" w14:textId="77777777" w:rsidR="00863FA4" w:rsidRPr="00D17DC1" w:rsidRDefault="00863FA4" w:rsidP="003029D8">
      <w:pPr>
        <w:pStyle w:val="headingb"/>
      </w:pPr>
      <w:r w:rsidRPr="00D17DC1">
        <w:t>Organismes de normalisation:</w:t>
      </w:r>
    </w:p>
    <w:p w14:paraId="118E8827" w14:textId="77777777" w:rsidR="00863FA4" w:rsidRPr="00D17DC1" w:rsidRDefault="00863FA4" w:rsidP="003029D8">
      <w:pPr>
        <w:pStyle w:val="enumlev1"/>
      </w:pPr>
      <w:r w:rsidRPr="00D17DC1">
        <w:t>•</w:t>
      </w:r>
      <w:r w:rsidRPr="00D17DC1">
        <w:tab/>
        <w:t>UIT-R</w:t>
      </w:r>
    </w:p>
    <w:p w14:paraId="2409F4B2" w14:textId="77777777" w:rsidR="00863FA4" w:rsidRPr="00D17DC1" w:rsidRDefault="00863FA4" w:rsidP="003029D8">
      <w:pPr>
        <w:pStyle w:val="enumlev1"/>
      </w:pPr>
      <w:r w:rsidRPr="00D17DC1">
        <w:t>•</w:t>
      </w:r>
      <w:r w:rsidRPr="00D17DC1">
        <w:tab/>
        <w:t>3GPP</w:t>
      </w:r>
    </w:p>
    <w:p w14:paraId="2CFD10CE" w14:textId="77777777" w:rsidR="00863FA4" w:rsidRPr="00D17DC1" w:rsidRDefault="00863FA4" w:rsidP="003029D8">
      <w:pPr>
        <w:pStyle w:val="enumlev1"/>
      </w:pPr>
      <w:r w:rsidRPr="00D17DC1">
        <w:t>•</w:t>
      </w:r>
      <w:r w:rsidRPr="00D17DC1">
        <w:tab/>
        <w:t>NGMN</w:t>
      </w:r>
    </w:p>
    <w:p w14:paraId="037A74E6" w14:textId="77777777" w:rsidR="00863FA4" w:rsidRPr="00D17DC1" w:rsidRDefault="00863FA4" w:rsidP="003029D8">
      <w:pPr>
        <w:pStyle w:val="enumlev1"/>
      </w:pPr>
      <w:r w:rsidRPr="00D17DC1">
        <w:t>•</w:t>
      </w:r>
      <w:r w:rsidRPr="00D17DC1">
        <w:tab/>
        <w:t>IETF</w:t>
      </w:r>
    </w:p>
    <w:p w14:paraId="0BE348AA" w14:textId="77777777" w:rsidR="00863FA4" w:rsidRPr="00D17DC1" w:rsidRDefault="00863FA4" w:rsidP="003029D8">
      <w:pPr>
        <w:pStyle w:val="enumlev1"/>
      </w:pPr>
      <w:r w:rsidRPr="00D17DC1">
        <w:t>•</w:t>
      </w:r>
      <w:r w:rsidRPr="00D17DC1">
        <w:tab/>
        <w:t>ETSI</w:t>
      </w:r>
    </w:p>
    <w:p w14:paraId="208C560C" w14:textId="77777777" w:rsidR="0062595F" w:rsidRDefault="00863FA4" w:rsidP="0062595F">
      <w:pPr>
        <w:rPr>
          <w:bCs/>
          <w:i/>
          <w:iCs/>
        </w:rPr>
      </w:pPr>
      <w:bookmarkStart w:id="3" w:name="lt_pId194"/>
      <w:r w:rsidRPr="00D17DC1">
        <w:rPr>
          <w:i/>
          <w:iCs/>
        </w:rPr>
        <w:t>Note</w:t>
      </w:r>
      <w:r w:rsidRPr="00D17DC1">
        <w:rPr>
          <w:bCs/>
          <w:i/>
          <w:iCs/>
        </w:rPr>
        <w:t>:</w:t>
      </w:r>
      <w:bookmarkEnd w:id="3"/>
      <w:r w:rsidRPr="00D17DC1">
        <w:rPr>
          <w:bCs/>
          <w:i/>
          <w:iCs/>
        </w:rPr>
        <w:t xml:space="preserve"> La révision de la Question 20/13 a été entreprise lors de la réunion de la CE 13 tenue en octobre 2019, en vue d'accroître la visibilité des travaux </w:t>
      </w:r>
      <w:r w:rsidR="003029D8" w:rsidRPr="00D17DC1">
        <w:rPr>
          <w:bCs/>
          <w:i/>
          <w:iCs/>
        </w:rPr>
        <w:t xml:space="preserve">consacrés à </w:t>
      </w:r>
      <w:r w:rsidRPr="00D17DC1">
        <w:rPr>
          <w:bCs/>
          <w:i/>
          <w:iCs/>
        </w:rPr>
        <w:t xml:space="preserve">l'apprentissage automatique et </w:t>
      </w:r>
      <w:r w:rsidR="003029D8" w:rsidRPr="00D17DC1">
        <w:rPr>
          <w:bCs/>
          <w:i/>
          <w:iCs/>
        </w:rPr>
        <w:t>au début</w:t>
      </w:r>
      <w:r w:rsidRPr="00D17DC1">
        <w:rPr>
          <w:bCs/>
          <w:i/>
          <w:iCs/>
        </w:rPr>
        <w:t xml:space="preserve"> de l'intelligence artificielle </w:t>
      </w:r>
      <w:r w:rsidR="003029D8" w:rsidRPr="00D17DC1">
        <w:rPr>
          <w:bCs/>
          <w:i/>
          <w:iCs/>
        </w:rPr>
        <w:t xml:space="preserve">appliquée </w:t>
      </w:r>
      <w:r w:rsidRPr="00D17DC1">
        <w:rPr>
          <w:bCs/>
          <w:i/>
          <w:iCs/>
        </w:rPr>
        <w:t>aux réseaux</w:t>
      </w:r>
      <w:r w:rsidR="00861B4F" w:rsidRPr="00D17DC1">
        <w:rPr>
          <w:bCs/>
          <w:i/>
          <w:iCs/>
        </w:rPr>
        <w:t>, qui représentent une part importante des travaux menés au titre de cette Question</w:t>
      </w:r>
      <w:r w:rsidRPr="00D17DC1">
        <w:rPr>
          <w:bCs/>
          <w:i/>
          <w:iCs/>
        </w:rPr>
        <w:t xml:space="preserve">. De plus, </w:t>
      </w:r>
      <w:r w:rsidR="003029D8" w:rsidRPr="00D17DC1">
        <w:rPr>
          <w:bCs/>
          <w:i/>
          <w:iCs/>
        </w:rPr>
        <w:t xml:space="preserve">le groupe chargé de cette Question est l'un des principaux destinataires </w:t>
      </w:r>
      <w:r w:rsidRPr="00D17DC1">
        <w:rPr>
          <w:bCs/>
          <w:i/>
          <w:iCs/>
        </w:rPr>
        <w:t>des travaux réalisés par le Groupe spécialisé ML5G.</w:t>
      </w:r>
      <w:r w:rsidR="0062595F">
        <w:rPr>
          <w:bCs/>
          <w:i/>
          <w:iCs/>
        </w:rPr>
        <w:br/>
      </w:r>
    </w:p>
    <w:p w14:paraId="6FC88A52" w14:textId="18BCDD8E" w:rsidR="0062595F" w:rsidRPr="00D17DC1" w:rsidRDefault="0062595F" w:rsidP="0062595F">
      <w:pPr>
        <w:jc w:val="center"/>
        <w:rPr>
          <w:bCs/>
          <w:i/>
          <w:iCs/>
        </w:rPr>
      </w:pPr>
      <w:r>
        <w:rPr>
          <w:bCs/>
          <w:i/>
          <w:iCs/>
        </w:rPr>
        <w:br/>
        <w:t>____________________</w:t>
      </w:r>
    </w:p>
    <w:sectPr w:rsidR="0062595F" w:rsidRPr="00D17DC1" w:rsidSect="0062595F">
      <w:headerReference w:type="default" r:id="rId12"/>
      <w:footerReference w:type="first" r:id="rId13"/>
      <w:pgSz w:w="11907" w:h="16840" w:code="9"/>
      <w:pgMar w:top="1134" w:right="1089" w:bottom="720"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F82EE" w14:textId="77777777" w:rsidR="00863FA4" w:rsidRDefault="00863FA4">
      <w:r>
        <w:separator/>
      </w:r>
    </w:p>
  </w:endnote>
  <w:endnote w:type="continuationSeparator" w:id="0">
    <w:p w14:paraId="74CC0785" w14:textId="77777777" w:rsidR="00863FA4" w:rsidRDefault="0086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A5AD4"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0AC29" w14:textId="77777777" w:rsidR="00863FA4" w:rsidRDefault="00863FA4">
      <w:r>
        <w:t>____________________</w:t>
      </w:r>
    </w:p>
  </w:footnote>
  <w:footnote w:type="continuationSeparator" w:id="0">
    <w:p w14:paraId="2C037A81" w14:textId="77777777" w:rsidR="00863FA4" w:rsidRDefault="0086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E347" w14:textId="5576848A" w:rsidR="00697BC1" w:rsidRPr="00697BC1" w:rsidRDefault="002E258E"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863FA4">
      <w:rPr>
        <w:noProof/>
        <w:sz w:val="18"/>
        <w:szCs w:val="16"/>
      </w:rPr>
      <w:br/>
      <w:t>Circulaire TSB 235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A4"/>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2FF5"/>
    <w:rsid w:val="00167472"/>
    <w:rsid w:val="00167F92"/>
    <w:rsid w:val="00173738"/>
    <w:rsid w:val="001B79A3"/>
    <w:rsid w:val="002152A3"/>
    <w:rsid w:val="002B5C22"/>
    <w:rsid w:val="002E258E"/>
    <w:rsid w:val="002E395D"/>
    <w:rsid w:val="003029D8"/>
    <w:rsid w:val="003131F0"/>
    <w:rsid w:val="00333A80"/>
    <w:rsid w:val="00341117"/>
    <w:rsid w:val="00364E95"/>
    <w:rsid w:val="00372875"/>
    <w:rsid w:val="0037512E"/>
    <w:rsid w:val="003B1E80"/>
    <w:rsid w:val="003B66E8"/>
    <w:rsid w:val="004033F1"/>
    <w:rsid w:val="00414B0C"/>
    <w:rsid w:val="00423C21"/>
    <w:rsid w:val="004257AC"/>
    <w:rsid w:val="0043711B"/>
    <w:rsid w:val="004977C9"/>
    <w:rsid w:val="004B732E"/>
    <w:rsid w:val="004D51F4"/>
    <w:rsid w:val="004D64E0"/>
    <w:rsid w:val="004F59E3"/>
    <w:rsid w:val="005120A2"/>
    <w:rsid w:val="0051210D"/>
    <w:rsid w:val="005136D2"/>
    <w:rsid w:val="00517A03"/>
    <w:rsid w:val="005A3DD9"/>
    <w:rsid w:val="005B1DFC"/>
    <w:rsid w:val="00601682"/>
    <w:rsid w:val="00603470"/>
    <w:rsid w:val="0062595F"/>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2234C"/>
    <w:rsid w:val="00833EF7"/>
    <w:rsid w:val="00850477"/>
    <w:rsid w:val="00854E1D"/>
    <w:rsid w:val="00861B4F"/>
    <w:rsid w:val="00863FA4"/>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63563"/>
    <w:rsid w:val="00B8573E"/>
    <w:rsid w:val="00BB24C0"/>
    <w:rsid w:val="00BD6ECF"/>
    <w:rsid w:val="00C26F2E"/>
    <w:rsid w:val="00C302E3"/>
    <w:rsid w:val="00C45376"/>
    <w:rsid w:val="00C9028F"/>
    <w:rsid w:val="00CA0416"/>
    <w:rsid w:val="00CB1125"/>
    <w:rsid w:val="00CD042E"/>
    <w:rsid w:val="00CF2560"/>
    <w:rsid w:val="00CF5B46"/>
    <w:rsid w:val="00D17DC1"/>
    <w:rsid w:val="00D46B68"/>
    <w:rsid w:val="00D542A5"/>
    <w:rsid w:val="00D726FF"/>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E113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ECF56F"/>
  <w15:docId w15:val="{19AE0460-5BCC-425E-A53A-BEB8D298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863FA4"/>
    <w:rPr>
      <w:color w:val="605E5C"/>
      <w:shd w:val="clear" w:color="auto" w:fill="E1DFDD"/>
    </w:rPr>
  </w:style>
  <w:style w:type="character" w:styleId="FollowedHyperlink">
    <w:name w:val="FollowedHyperlink"/>
    <w:basedOn w:val="DefaultParagraphFont"/>
    <w:semiHidden/>
    <w:unhideWhenUsed/>
    <w:rsid w:val="003029D8"/>
    <w:rPr>
      <w:color w:val="800080" w:themeColor="followedHyperlink"/>
      <w:u w:val="single"/>
    </w:rPr>
  </w:style>
  <w:style w:type="paragraph" w:customStyle="1" w:styleId="Reasons">
    <w:name w:val="Reasons"/>
    <w:basedOn w:val="Normal"/>
    <w:qFormat/>
    <w:rsid w:val="00861B4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0F3CF-E83A-4186-BB0B-8DB9DD3D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38</TotalTime>
  <Pages>3</Pages>
  <Words>1054</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7379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13</cp:revision>
  <cp:lastPrinted>2020-03-23T09:45:00Z</cp:lastPrinted>
  <dcterms:created xsi:type="dcterms:W3CDTF">2020-03-09T07:39:00Z</dcterms:created>
  <dcterms:modified xsi:type="dcterms:W3CDTF">2020-03-23T09:46:00Z</dcterms:modified>
</cp:coreProperties>
</file>