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14:paraId="7490C79B" w14:textId="77777777" w:rsidTr="00CB634F">
        <w:trPr>
          <w:cantSplit/>
        </w:trPr>
        <w:tc>
          <w:tcPr>
            <w:tcW w:w="1418" w:type="dxa"/>
            <w:vAlign w:val="center"/>
          </w:tcPr>
          <w:p w14:paraId="2F053AC5" w14:textId="603F83F4" w:rsidR="00884D12" w:rsidRPr="00697BC1" w:rsidRDefault="00F709CD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B61D20" wp14:editId="08884DA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76AC55AE" w14:textId="77777777"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C5FE44E" w14:textId="77777777"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15C653FD" w14:textId="77777777" w:rsidR="00884D12" w:rsidRPr="00697BC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71467613" w14:textId="3A0C5AC2"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14:paraId="372C9EFB" w14:textId="5FE40F2D"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EA1935">
        <w:t>2</w:t>
      </w:r>
      <w:r w:rsidR="00F709CD">
        <w:t>7</w:t>
      </w:r>
      <w:r w:rsidR="00EA1935">
        <w:t xml:space="preserve"> de </w:t>
      </w:r>
      <w:r w:rsidR="00F709CD">
        <w:t>febrero</w:t>
      </w:r>
      <w:r w:rsidR="00EA1935">
        <w:t xml:space="preserve"> de 20</w:t>
      </w:r>
      <w:r w:rsidR="00F709CD">
        <w:t>20</w:t>
      </w:r>
    </w:p>
    <w:p w14:paraId="45DBC233" w14:textId="6B2D4021"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EA1935" w14:paraId="014A6B0F" w14:textId="77777777" w:rsidTr="00EA1935">
        <w:trPr>
          <w:cantSplit/>
          <w:trHeight w:val="377"/>
        </w:trPr>
        <w:tc>
          <w:tcPr>
            <w:tcW w:w="1126" w:type="dxa"/>
          </w:tcPr>
          <w:p w14:paraId="1AB5EF27" w14:textId="77777777" w:rsidR="00EA1935" w:rsidRPr="00EA1935" w:rsidRDefault="00EA1935" w:rsidP="00EA193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A1935">
              <w:rPr>
                <w:szCs w:val="24"/>
              </w:rPr>
              <w:t>Ref.:</w:t>
            </w:r>
          </w:p>
        </w:tc>
        <w:tc>
          <w:tcPr>
            <w:tcW w:w="3751" w:type="dxa"/>
          </w:tcPr>
          <w:p w14:paraId="50A46FBA" w14:textId="68AE14CF" w:rsidR="00EA1935" w:rsidRDefault="00EA1935" w:rsidP="00EA1935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F709CD">
              <w:rPr>
                <w:b/>
              </w:rPr>
              <w:t>235</w:t>
            </w:r>
          </w:p>
          <w:p w14:paraId="4F5F1420" w14:textId="77777777" w:rsidR="00EA1935" w:rsidRPr="00EA1935" w:rsidRDefault="00EA1935" w:rsidP="00EA1935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EA1935">
              <w:t>SG13/TK</w:t>
            </w:r>
          </w:p>
        </w:tc>
        <w:tc>
          <w:tcPr>
            <w:tcW w:w="5329" w:type="dxa"/>
            <w:vMerge w:val="restart"/>
          </w:tcPr>
          <w:p w14:paraId="1C91231D" w14:textId="77777777" w:rsidR="00EA1935" w:rsidRDefault="00EA1935" w:rsidP="00EA19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2"/>
              </w:tabs>
              <w:spacing w:before="40" w:after="40"/>
              <w:ind w:left="397" w:hanging="340"/>
            </w:pPr>
            <w:bookmarkStart w:id="0" w:name="Addressee_S"/>
            <w:bookmarkEnd w:id="0"/>
            <w:r>
              <w:t>–</w:t>
            </w:r>
            <w:r>
              <w:tab/>
              <w:t>A las Administraciones de los Estados Miembros de la Unión</w:t>
            </w:r>
          </w:p>
          <w:p w14:paraId="06FCCBDB" w14:textId="77777777" w:rsidR="007A3E95" w:rsidRDefault="007A3E95" w:rsidP="007A3E95">
            <w:pPr>
              <w:tabs>
                <w:tab w:val="left" w:pos="4111"/>
              </w:tabs>
              <w:spacing w:before="40" w:after="4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14:paraId="2B254C81" w14:textId="77777777" w:rsidR="007A3E95" w:rsidRDefault="007A3E95" w:rsidP="007A3E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2"/>
              </w:tabs>
              <w:spacing w:before="40" w:after="40"/>
              <w:ind w:left="397" w:hanging="340"/>
            </w:pPr>
            <w:r>
              <w:t>–</w:t>
            </w:r>
            <w:r>
              <w:tab/>
              <w:t>A los Miembros del Sector UIT</w:t>
            </w:r>
            <w:r>
              <w:noBreakHyphen/>
              <w:t>T;</w:t>
            </w:r>
          </w:p>
          <w:p w14:paraId="50F4B054" w14:textId="77777777" w:rsidR="007A3E95" w:rsidRDefault="007A3E95" w:rsidP="007A3E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2"/>
              </w:tabs>
              <w:spacing w:before="40" w:after="40"/>
              <w:ind w:left="397" w:hanging="340"/>
            </w:pPr>
            <w:r>
              <w:t>–</w:t>
            </w:r>
            <w:r>
              <w:tab/>
              <w:t>A los Asociados de la Comisión de Estudio 13 del UIT</w:t>
            </w:r>
            <w:r>
              <w:noBreakHyphen/>
              <w:t>T;</w:t>
            </w:r>
          </w:p>
          <w:p w14:paraId="561D5A96" w14:textId="77777777" w:rsidR="007A3E95" w:rsidRDefault="007A3E95" w:rsidP="007A3E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2"/>
              </w:tabs>
              <w:spacing w:before="40" w:after="40"/>
              <w:ind w:left="397" w:hanging="340"/>
            </w:pPr>
            <w:r>
              <w:t>–</w:t>
            </w:r>
            <w:r>
              <w:tab/>
              <w:t>A las Instituciones Académicas de la UIT;</w:t>
            </w:r>
          </w:p>
          <w:p w14:paraId="3F28FEB0" w14:textId="77777777" w:rsidR="007A3E95" w:rsidRDefault="007A3E95" w:rsidP="007A3E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2"/>
              </w:tabs>
              <w:spacing w:before="40" w:after="40"/>
              <w:ind w:left="397" w:hanging="340"/>
            </w:pPr>
            <w:r>
              <w:t>–</w:t>
            </w:r>
            <w:r>
              <w:tab/>
              <w:t xml:space="preserve">Al Presidente y a los </w:t>
            </w:r>
            <w:proofErr w:type="gramStart"/>
            <w:r>
              <w:t>Vicepresidentes</w:t>
            </w:r>
            <w:proofErr w:type="gramEnd"/>
            <w:r>
              <w:t xml:space="preserve"> de la</w:t>
            </w:r>
            <w:r>
              <w:br/>
              <w:t>Comisión de Estudio 13;</w:t>
            </w:r>
          </w:p>
          <w:p w14:paraId="22BF89BE" w14:textId="77777777" w:rsidR="007A3E95" w:rsidRDefault="007A3E95" w:rsidP="007A3E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</w:tabs>
              <w:spacing w:before="40" w:after="40"/>
              <w:ind w:left="397" w:hanging="340"/>
            </w:pPr>
            <w:r>
              <w:t>–</w:t>
            </w:r>
            <w:r>
              <w:tab/>
              <w:t>Al Director de la Oficina de Desarrollo de las Telecomunicaciones;</w:t>
            </w:r>
          </w:p>
          <w:p w14:paraId="0D93FC80" w14:textId="291415C4" w:rsidR="007A3E95" w:rsidRDefault="007A3E95" w:rsidP="007A3E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2"/>
              </w:tabs>
              <w:spacing w:before="40" w:after="40"/>
              <w:ind w:left="397" w:hanging="340"/>
            </w:pPr>
            <w:r>
              <w:t>–</w:t>
            </w:r>
            <w:r>
              <w:tab/>
              <w:t>Al Director de la Oficina de Radiocomunicaciones</w:t>
            </w:r>
          </w:p>
        </w:tc>
      </w:tr>
      <w:tr w:rsidR="00EA1935" w14:paraId="4BD01AAB" w14:textId="77777777" w:rsidTr="00EA1935">
        <w:trPr>
          <w:cantSplit/>
          <w:trHeight w:val="376"/>
        </w:trPr>
        <w:tc>
          <w:tcPr>
            <w:tcW w:w="1126" w:type="dxa"/>
          </w:tcPr>
          <w:p w14:paraId="1EF9C68A" w14:textId="77777777" w:rsidR="00EA1935" w:rsidRPr="00EA1935" w:rsidRDefault="00EA1935" w:rsidP="00EA193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A1935">
              <w:rPr>
                <w:szCs w:val="24"/>
              </w:rPr>
              <w:t>Tel.:</w:t>
            </w:r>
          </w:p>
        </w:tc>
        <w:tc>
          <w:tcPr>
            <w:tcW w:w="3751" w:type="dxa"/>
          </w:tcPr>
          <w:p w14:paraId="6F42566D" w14:textId="346313AF" w:rsidR="00EA1935" w:rsidRPr="00EA1935" w:rsidRDefault="00EA1935" w:rsidP="00EA1935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EA1935">
              <w:rPr>
                <w:bCs/>
              </w:rPr>
              <w:t>+41 22 730 5126</w:t>
            </w:r>
          </w:p>
        </w:tc>
        <w:tc>
          <w:tcPr>
            <w:tcW w:w="5329" w:type="dxa"/>
            <w:vMerge/>
          </w:tcPr>
          <w:p w14:paraId="5EFA8513" w14:textId="77777777" w:rsidR="00EA1935" w:rsidRDefault="00EA1935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EA1935" w14:paraId="49AA3DBA" w14:textId="77777777" w:rsidTr="007A3E95">
        <w:trPr>
          <w:cantSplit/>
          <w:trHeight w:val="3096"/>
        </w:trPr>
        <w:tc>
          <w:tcPr>
            <w:tcW w:w="1126" w:type="dxa"/>
          </w:tcPr>
          <w:p w14:paraId="13F85F65" w14:textId="77777777" w:rsidR="00EA1935" w:rsidRDefault="00EA1935" w:rsidP="00EA193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A1935">
              <w:rPr>
                <w:szCs w:val="24"/>
              </w:rPr>
              <w:t>Fax:</w:t>
            </w:r>
          </w:p>
          <w:p w14:paraId="099BFA20" w14:textId="3A705A54" w:rsidR="007A3E95" w:rsidRPr="00EA1935" w:rsidRDefault="007A3E95" w:rsidP="00EA1935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A1935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14:paraId="23117310" w14:textId="50E41697" w:rsidR="00EA1935" w:rsidRDefault="00EA1935" w:rsidP="00EA1935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EA1935">
              <w:rPr>
                <w:bCs/>
              </w:rPr>
              <w:t>+41 22 730 5853</w:t>
            </w:r>
          </w:p>
          <w:p w14:paraId="3FD75599" w14:textId="12039978" w:rsidR="007A3E95" w:rsidRPr="00EA1935" w:rsidRDefault="00D2247B" w:rsidP="00EA1935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hyperlink r:id="rId9" w:history="1">
              <w:r w:rsidR="007A3E95" w:rsidRPr="002E1DE5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5329" w:type="dxa"/>
            <w:vMerge/>
          </w:tcPr>
          <w:p w14:paraId="42FB9C5C" w14:textId="77777777" w:rsidR="00EA1935" w:rsidRDefault="00EA1935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EA1935" w14:paraId="78CF30A0" w14:textId="77777777" w:rsidTr="00EA1935">
        <w:trPr>
          <w:cantSplit/>
        </w:trPr>
        <w:tc>
          <w:tcPr>
            <w:tcW w:w="1126" w:type="dxa"/>
          </w:tcPr>
          <w:p w14:paraId="10153CCC" w14:textId="77777777" w:rsidR="00EA1935" w:rsidRPr="007A3E95" w:rsidRDefault="00EA1935" w:rsidP="007A3E95">
            <w:pPr>
              <w:tabs>
                <w:tab w:val="left" w:pos="4111"/>
              </w:tabs>
              <w:spacing w:before="0" w:after="40"/>
              <w:ind w:left="-15"/>
              <w:rPr>
                <w:b/>
                <w:bCs/>
                <w:szCs w:val="24"/>
              </w:rPr>
            </w:pPr>
            <w:r w:rsidRPr="007A3E95">
              <w:rPr>
                <w:b/>
                <w:bCs/>
                <w:szCs w:val="24"/>
              </w:rPr>
              <w:t>Asunto:</w:t>
            </w:r>
          </w:p>
        </w:tc>
        <w:tc>
          <w:tcPr>
            <w:tcW w:w="9080" w:type="dxa"/>
            <w:gridSpan w:val="2"/>
          </w:tcPr>
          <w:p w14:paraId="19CA1688" w14:textId="461BCCAD" w:rsidR="00EA1935" w:rsidRDefault="00EA1935" w:rsidP="00D12EA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EA1935">
              <w:rPr>
                <w:b/>
              </w:rPr>
              <w:t>Aprobación de la Cuesti</w:t>
            </w:r>
            <w:r w:rsidR="003B73C1">
              <w:rPr>
                <w:b/>
              </w:rPr>
              <w:t>ón</w:t>
            </w:r>
            <w:r w:rsidRPr="00EA1935">
              <w:rPr>
                <w:b/>
              </w:rPr>
              <w:t xml:space="preserve"> </w:t>
            </w:r>
            <w:r w:rsidR="00F709CD">
              <w:rPr>
                <w:b/>
              </w:rPr>
              <w:t xml:space="preserve">20/13 </w:t>
            </w:r>
            <w:r w:rsidRPr="00EA1935">
              <w:rPr>
                <w:b/>
              </w:rPr>
              <w:t>revisada</w:t>
            </w:r>
          </w:p>
        </w:tc>
      </w:tr>
    </w:tbl>
    <w:p w14:paraId="3F89666E" w14:textId="2297697B" w:rsidR="00C34772" w:rsidRDefault="00C34772" w:rsidP="00D12EA0">
      <w:pPr>
        <w:pStyle w:val="Normalaftertitle"/>
        <w:spacing w:before="1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</w:t>
      </w:r>
      <w:r w:rsidR="00D3072C">
        <w:t>,</w:t>
      </w:r>
    </w:p>
    <w:p w14:paraId="152B70FE" w14:textId="2D056768" w:rsidR="00C34772" w:rsidRDefault="00016B5D" w:rsidP="00D12EA0">
      <w:pPr>
        <w:pStyle w:val="Normalaftertitle"/>
        <w:spacing w:before="120"/>
        <w:rPr>
          <w:bCs/>
        </w:rPr>
      </w:pPr>
      <w:r w:rsidRPr="00016B5D">
        <w:rPr>
          <w:bCs/>
        </w:rPr>
        <w:t>1</w:t>
      </w:r>
      <w:r w:rsidRPr="00016B5D">
        <w:rPr>
          <w:bCs/>
        </w:rPr>
        <w:tab/>
        <w:t xml:space="preserve">A petición del Presidente de la Comisión de Estudio 13, </w:t>
      </w:r>
      <w:r w:rsidR="008E1A51" w:rsidRPr="008E1A51">
        <w:rPr>
          <w:bCs/>
          <w:i/>
          <w:iCs/>
        </w:rPr>
        <w:t>Redes futuras, especialmente las IMT-2020, la computación en la nube y las infraestructuras de red de confianza</w:t>
      </w:r>
      <w:r w:rsidRPr="00016B5D">
        <w:rPr>
          <w:bCs/>
        </w:rPr>
        <w:t>, tengo el honor de informarle que, de conformidad con las disposiciones de la Resolución 1, Sección 7, § 7.2.2, de la AMNT (Rev.</w:t>
      </w:r>
      <w:r>
        <w:rPr>
          <w:bCs/>
        </w:rPr>
        <w:t> </w:t>
      </w:r>
      <w:proofErr w:type="spellStart"/>
      <w:r w:rsidRPr="00016B5D">
        <w:rPr>
          <w:bCs/>
        </w:rPr>
        <w:t>Hammamet</w:t>
      </w:r>
      <w:proofErr w:type="spellEnd"/>
      <w:r w:rsidRPr="00016B5D">
        <w:rPr>
          <w:bCs/>
        </w:rPr>
        <w:t xml:space="preserve">, 2016), los Estados Miembros y los Miembros del Sector presentes en </w:t>
      </w:r>
      <w:r w:rsidR="001773CD">
        <w:rPr>
          <w:bCs/>
        </w:rPr>
        <w:t xml:space="preserve">la </w:t>
      </w:r>
      <w:r w:rsidR="00F709CD">
        <w:rPr>
          <w:bCs/>
        </w:rPr>
        <w:t>quinta</w:t>
      </w:r>
      <w:r w:rsidR="001773CD">
        <w:rPr>
          <w:bCs/>
        </w:rPr>
        <w:t xml:space="preserve"> reunión de la Comisión de Estudio 13 para este periodo</w:t>
      </w:r>
      <w:r w:rsidRPr="00016B5D">
        <w:rPr>
          <w:bCs/>
        </w:rPr>
        <w:t xml:space="preserve">, que tuvo lugar en Ginebra del </w:t>
      </w:r>
      <w:r w:rsidR="00F709CD">
        <w:rPr>
          <w:bCs/>
        </w:rPr>
        <w:t>14</w:t>
      </w:r>
      <w:r w:rsidRPr="00016B5D">
        <w:rPr>
          <w:bCs/>
        </w:rPr>
        <w:t xml:space="preserve"> al </w:t>
      </w:r>
      <w:r w:rsidR="00F709CD">
        <w:rPr>
          <w:bCs/>
        </w:rPr>
        <w:t>25</w:t>
      </w:r>
      <w:r w:rsidRPr="00016B5D">
        <w:rPr>
          <w:bCs/>
        </w:rPr>
        <w:t xml:space="preserve"> de </w:t>
      </w:r>
      <w:r w:rsidR="00F709CD">
        <w:rPr>
          <w:bCs/>
        </w:rPr>
        <w:t>octubre</w:t>
      </w:r>
      <w:r w:rsidRPr="00016B5D">
        <w:rPr>
          <w:bCs/>
        </w:rPr>
        <w:t xml:space="preserve"> de 201</w:t>
      </w:r>
      <w:r w:rsidR="00F709CD">
        <w:rPr>
          <w:bCs/>
        </w:rPr>
        <w:t>9</w:t>
      </w:r>
      <w:r w:rsidRPr="00016B5D">
        <w:rPr>
          <w:bCs/>
        </w:rPr>
        <w:t xml:space="preserve">, acordaron por consenso aprobar la </w:t>
      </w:r>
      <w:r w:rsidR="00F709CD" w:rsidRPr="00016B5D">
        <w:rPr>
          <w:bCs/>
        </w:rPr>
        <w:t>Cuesti</w:t>
      </w:r>
      <w:r w:rsidR="00F709CD">
        <w:rPr>
          <w:bCs/>
        </w:rPr>
        <w:t>ó</w:t>
      </w:r>
      <w:r w:rsidR="00F709CD" w:rsidRPr="00016B5D">
        <w:rPr>
          <w:bCs/>
        </w:rPr>
        <w:t>n</w:t>
      </w:r>
      <w:r w:rsidRPr="00016B5D">
        <w:rPr>
          <w:bCs/>
        </w:rPr>
        <w:t xml:space="preserve"> </w:t>
      </w:r>
      <w:r w:rsidR="008E1A51">
        <w:rPr>
          <w:bCs/>
        </w:rPr>
        <w:t xml:space="preserve">20/13 </w:t>
      </w:r>
      <w:r w:rsidR="00F709CD" w:rsidRPr="00AD5214">
        <w:rPr>
          <w:bCs/>
        </w:rPr>
        <w:t>revisada</w:t>
      </w:r>
      <w:r w:rsidRPr="00016B5D">
        <w:rPr>
          <w:bCs/>
        </w:rPr>
        <w:t>:</w:t>
      </w:r>
    </w:p>
    <w:p w14:paraId="486C7A4A" w14:textId="1B7500F7" w:rsidR="008E1A51" w:rsidRPr="00731478" w:rsidRDefault="008E1A51" w:rsidP="00D12EA0">
      <w:pPr>
        <w:pStyle w:val="enumlev1"/>
      </w:pPr>
      <w:r w:rsidRPr="00731478">
        <w:t>1</w:t>
      </w:r>
      <w:r w:rsidR="00D12EA0">
        <w:t>)</w:t>
      </w:r>
      <w:r w:rsidRPr="00731478">
        <w:tab/>
      </w:r>
      <w:bookmarkStart w:id="4" w:name="lt_pId058"/>
      <w:r w:rsidR="00731478">
        <w:t>C</w:t>
      </w:r>
      <w:r w:rsidRPr="00731478">
        <w:t>uesti</w:t>
      </w:r>
      <w:r w:rsidR="00731478">
        <w:t>ón</w:t>
      </w:r>
      <w:r w:rsidRPr="00731478">
        <w:t xml:space="preserve"> 20/13 (</w:t>
      </w:r>
      <w:bookmarkStart w:id="5" w:name="lt_pId059"/>
      <w:bookmarkEnd w:id="4"/>
      <w:r w:rsidR="00731478" w:rsidRPr="00731478">
        <w:t>IMT-2020: Requisitos de red y arquitectura funcional</w:t>
      </w:r>
      <w:r w:rsidRPr="00731478">
        <w:t>)</w:t>
      </w:r>
      <w:bookmarkEnd w:id="5"/>
    </w:p>
    <w:p w14:paraId="049C5502" w14:textId="4BEBA2D9" w:rsidR="00B42725" w:rsidRDefault="008E1A51" w:rsidP="00D12EA0">
      <w:pPr>
        <w:pStyle w:val="enumlev1"/>
      </w:pPr>
      <w:r w:rsidRPr="00731478">
        <w:tab/>
      </w:r>
      <w:bookmarkStart w:id="6" w:name="lt_pId060"/>
      <w:r w:rsidR="00731478" w:rsidRPr="00731478">
        <w:t xml:space="preserve">El texto de la Cuestión revisada </w:t>
      </w:r>
      <w:r w:rsidRPr="00731478">
        <w:t xml:space="preserve">20/13 </w:t>
      </w:r>
      <w:r w:rsidR="00731478" w:rsidRPr="00731478">
        <w:t xml:space="preserve">figura en el </w:t>
      </w:r>
      <w:r w:rsidR="00731478" w:rsidRPr="00731478">
        <w:rPr>
          <w:b/>
        </w:rPr>
        <w:t xml:space="preserve">Anexo </w:t>
      </w:r>
      <w:r w:rsidR="00F709CD">
        <w:rPr>
          <w:b/>
        </w:rPr>
        <w:t>1</w:t>
      </w:r>
      <w:r w:rsidRPr="00731478">
        <w:t xml:space="preserve"> </w:t>
      </w:r>
      <w:r w:rsidR="00731478" w:rsidRPr="00731478">
        <w:t>a la presente Circular</w:t>
      </w:r>
      <w:r w:rsidRPr="00731478">
        <w:t>.</w:t>
      </w:r>
      <w:bookmarkEnd w:id="6"/>
      <w:r w:rsidRPr="00731478">
        <w:t xml:space="preserve"> </w:t>
      </w:r>
      <w:r w:rsidR="00F709CD">
        <w:t>En l</w:t>
      </w:r>
      <w:r w:rsidR="008238A9" w:rsidRPr="008238A9">
        <w:t xml:space="preserve">a </w:t>
      </w:r>
      <w:r w:rsidR="008238A9" w:rsidRPr="008238A9">
        <w:rPr>
          <w:b/>
        </w:rPr>
        <w:t>Nota</w:t>
      </w:r>
      <w:r w:rsidR="008238A9" w:rsidRPr="008238A9">
        <w:t xml:space="preserve"> adjunta </w:t>
      </w:r>
      <w:r w:rsidR="00F709CD">
        <w:t>al</w:t>
      </w:r>
      <w:r w:rsidR="008238A9" w:rsidRPr="008238A9">
        <w:t xml:space="preserve"> Anexo </w:t>
      </w:r>
      <w:r w:rsidR="00F709CD">
        <w:t>1</w:t>
      </w:r>
      <w:r w:rsidR="008238A9" w:rsidRPr="008238A9">
        <w:t xml:space="preserve"> </w:t>
      </w:r>
      <w:r w:rsidR="00F709CD">
        <w:t xml:space="preserve">se </w:t>
      </w:r>
      <w:r w:rsidR="008238A9" w:rsidRPr="008238A9">
        <w:t xml:space="preserve">describe </w:t>
      </w:r>
      <w:r w:rsidR="00F709CD">
        <w:t>de</w:t>
      </w:r>
      <w:r w:rsidR="008238A9" w:rsidRPr="008238A9">
        <w:t xml:space="preserve"> forma resumida </w:t>
      </w:r>
      <w:r w:rsidR="00F709CD">
        <w:t>el</w:t>
      </w:r>
      <w:r w:rsidR="008238A9" w:rsidRPr="008238A9">
        <w:t xml:space="preserve"> motivo de la revisión.</w:t>
      </w:r>
      <w:r w:rsidR="00B42725" w:rsidRPr="00B42725">
        <w:t xml:space="preserve"> </w:t>
      </w:r>
    </w:p>
    <w:p w14:paraId="2679DEEE" w14:textId="07E20631" w:rsidR="00F709CD" w:rsidRDefault="00F709CD" w:rsidP="00D12EA0">
      <w:pPr>
        <w:pStyle w:val="enumlev1"/>
      </w:pPr>
      <w:r>
        <w:t>2</w:t>
      </w:r>
      <w:r w:rsidR="00D12EA0">
        <w:t>)</w:t>
      </w:r>
      <w:r>
        <w:tab/>
        <w:t>La Cuestión 20/13 revisada ha sido refrendada por la reunión del GANT celebrada del 10 al 14 de febrero de 2020 en Ginebra.</w:t>
      </w:r>
    </w:p>
    <w:p w14:paraId="1FAF5CA4" w14:textId="5AACDBFA" w:rsidR="00C34772" w:rsidRDefault="00F709CD" w:rsidP="00D12EA0">
      <w:pPr>
        <w:pStyle w:val="enumlev1"/>
      </w:pPr>
      <w:r>
        <w:rPr>
          <w:bCs/>
        </w:rPr>
        <w:t>3</w:t>
      </w:r>
      <w:r w:rsidR="00D12EA0">
        <w:rPr>
          <w:bCs/>
        </w:rPr>
        <w:t>)</w:t>
      </w:r>
      <w:r w:rsidR="00C34772">
        <w:tab/>
      </w:r>
      <w:r w:rsidR="008E1A51" w:rsidRPr="008E1A51">
        <w:t xml:space="preserve">Queda por tanto aprobada las </w:t>
      </w:r>
      <w:r w:rsidRPr="008E1A51">
        <w:t>Cuestión</w:t>
      </w:r>
      <w:r w:rsidR="00AD5214" w:rsidRPr="00AD5214">
        <w:t xml:space="preserve"> </w:t>
      </w:r>
      <w:r w:rsidR="008E1A51">
        <w:t>20</w:t>
      </w:r>
      <w:r w:rsidR="008E1A51" w:rsidRPr="008E1A51">
        <w:t>/13</w:t>
      </w:r>
      <w:r w:rsidR="008E1A51">
        <w:t xml:space="preserve"> </w:t>
      </w:r>
      <w:r w:rsidRPr="00AD5214">
        <w:t>revisada</w:t>
      </w:r>
      <w:r w:rsidR="008E1A51" w:rsidRPr="008E1A51">
        <w:t>.</w:t>
      </w:r>
    </w:p>
    <w:p w14:paraId="2581C557" w14:textId="2999773B" w:rsidR="00C34772" w:rsidRDefault="00C34772" w:rsidP="00B55A3E">
      <w:pPr>
        <w:ind w:right="92"/>
      </w:pPr>
      <w:r>
        <w:t>Le saluda muy atentamente</w:t>
      </w:r>
      <w:r w:rsidR="004F21E4">
        <w:t>,</w:t>
      </w:r>
    </w:p>
    <w:p w14:paraId="026A6631" w14:textId="7F7FE766" w:rsidR="00F14E30" w:rsidRDefault="00D2247B" w:rsidP="004F21E4">
      <w:pPr>
        <w:spacing w:before="0"/>
        <w:ind w:right="91"/>
        <w:rPr>
          <w:noProof/>
          <w:lang w:val="en-GB" w:eastAsia="zh-C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9316CA" wp14:editId="6B262F4C">
            <wp:simplePos x="0" y="0"/>
            <wp:positionH relativeFrom="column">
              <wp:posOffset>3810</wp:posOffset>
            </wp:positionH>
            <wp:positionV relativeFrom="paragraph">
              <wp:posOffset>128906</wp:posOffset>
            </wp:positionV>
            <wp:extent cx="809291" cy="364490"/>
            <wp:effectExtent l="0" t="0" r="0" b="0"/>
            <wp:wrapNone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 ES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029" cy="368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1BCFD" w14:textId="65303EA7" w:rsidR="007A3E95" w:rsidRDefault="007A3E95" w:rsidP="004F21E4">
      <w:pPr>
        <w:spacing w:before="0"/>
        <w:ind w:right="91"/>
      </w:pPr>
    </w:p>
    <w:p w14:paraId="46DF1C6C" w14:textId="0BED117F" w:rsidR="00F14E30" w:rsidRDefault="00F14E30" w:rsidP="004F21E4">
      <w:pPr>
        <w:spacing w:before="0"/>
        <w:ind w:right="91"/>
      </w:pPr>
      <w:bookmarkStart w:id="7" w:name="_GoBack"/>
      <w:bookmarkEnd w:id="7"/>
    </w:p>
    <w:p w14:paraId="78524508" w14:textId="1AC2809D" w:rsidR="00C34772" w:rsidRDefault="002E496E" w:rsidP="004F21E4">
      <w:pPr>
        <w:spacing w:before="0"/>
        <w:ind w:right="91"/>
      </w:pPr>
      <w:r w:rsidRPr="00D02F08">
        <w:t>Chaesub Lee</w:t>
      </w:r>
      <w:r w:rsidR="00C34772">
        <w:br/>
      </w:r>
      <w:proofErr w:type="gramStart"/>
      <w:r w:rsidR="00C34772">
        <w:t>Director</w:t>
      </w:r>
      <w:proofErr w:type="gramEnd"/>
      <w:r w:rsidR="00C34772">
        <w:t xml:space="preserve"> de la Oficina de</w:t>
      </w:r>
      <w:r w:rsidR="00C34772">
        <w:br/>
        <w:t>Normalización de las Telecomunicaciones</w:t>
      </w:r>
    </w:p>
    <w:p w14:paraId="3BC4D2F3" w14:textId="4DECD48C" w:rsidR="00EA1935" w:rsidRPr="001773CD" w:rsidRDefault="00C34772" w:rsidP="00D12EA0">
      <w:pPr>
        <w:spacing w:before="600"/>
      </w:pPr>
      <w:r w:rsidRPr="00016B5D">
        <w:rPr>
          <w:b/>
          <w:bCs/>
        </w:rPr>
        <w:t>Anexo</w:t>
      </w:r>
      <w:r>
        <w:t xml:space="preserve">: </w:t>
      </w:r>
      <w:r w:rsidR="00F709CD">
        <w:t>1</w:t>
      </w:r>
      <w:r w:rsidR="00EA1935" w:rsidRPr="001773CD">
        <w:br w:type="page"/>
      </w:r>
    </w:p>
    <w:p w14:paraId="08DD9457" w14:textId="77777777" w:rsidR="007A6176" w:rsidRPr="00824532" w:rsidRDefault="007A6176" w:rsidP="007A6176">
      <w:pPr>
        <w:pStyle w:val="AnnexNotitle"/>
      </w:pPr>
      <w:r w:rsidRPr="00824532">
        <w:lastRenderedPageBreak/>
        <w:t xml:space="preserve">ANEXO </w:t>
      </w:r>
      <w:r>
        <w:t>1</w:t>
      </w:r>
    </w:p>
    <w:p w14:paraId="18E79E0A" w14:textId="27443246" w:rsidR="00824532" w:rsidRPr="005B00FB" w:rsidRDefault="00824532" w:rsidP="000A4079">
      <w:pPr>
        <w:pStyle w:val="Heading2"/>
        <w:jc w:val="center"/>
      </w:pPr>
      <w:bookmarkStart w:id="8" w:name="_Toc472345683"/>
      <w:r w:rsidRPr="005B00FB">
        <w:t>IMT-2020: Requisitos de red y arquitectura funcional</w:t>
      </w:r>
      <w:bookmarkEnd w:id="8"/>
    </w:p>
    <w:p w14:paraId="08A6A028" w14:textId="21D1B6C4" w:rsidR="00824532" w:rsidRPr="005B00FB" w:rsidRDefault="00824532" w:rsidP="000A4079">
      <w:pPr>
        <w:jc w:val="center"/>
        <w:rPr>
          <w:lang w:eastAsia="ja-JP"/>
        </w:rPr>
      </w:pPr>
      <w:r w:rsidRPr="005B00FB">
        <w:rPr>
          <w:lang w:eastAsia="ja-JP"/>
        </w:rPr>
        <w:t>(</w:t>
      </w:r>
      <w:r w:rsidR="000A4079">
        <w:rPr>
          <w:lang w:eastAsia="ja-JP"/>
        </w:rPr>
        <w:t>continuación de la Cuestión C20/13)</w:t>
      </w:r>
    </w:p>
    <w:p w14:paraId="7B5ACCAF" w14:textId="77777777" w:rsidR="00824532" w:rsidRPr="005B00FB" w:rsidRDefault="00824532" w:rsidP="00824532">
      <w:pPr>
        <w:pStyle w:val="Heading3"/>
      </w:pPr>
      <w:bookmarkStart w:id="9" w:name="_Toc472345684"/>
      <w:r w:rsidRPr="005B00FB">
        <w:t>Motivación</w:t>
      </w:r>
      <w:bookmarkEnd w:id="9"/>
    </w:p>
    <w:p w14:paraId="656B5194" w14:textId="77777777" w:rsidR="00824532" w:rsidRPr="005B00FB" w:rsidRDefault="00824532" w:rsidP="0082453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lang w:eastAsia="ja-JP"/>
        </w:rPr>
      </w:pPr>
      <w:r w:rsidRPr="005B00FB">
        <w:rPr>
          <w:lang w:eastAsia="ja-JP"/>
        </w:rPr>
        <w:t>El objetivo de los estudios sobre las IMT</w:t>
      </w:r>
      <w:r w:rsidRPr="005B00FB">
        <w:rPr>
          <w:lang w:eastAsia="ja-JP"/>
        </w:rPr>
        <w:noBreakHyphen/>
        <w:t xml:space="preserve">2020 es anticipar las necesidades de los usuarios de servicios móviles a partir de la década de 2020. Las organizaciones de normalización pertinentes (UIT-R, 3GPP, NGMN, etc.) habrán identificado las perspectivas e </w:t>
      </w:r>
      <w:proofErr w:type="spellStart"/>
      <w:r w:rsidRPr="005B00FB">
        <w:rPr>
          <w:lang w:eastAsia="ja-JP"/>
        </w:rPr>
        <w:t>hipótesis</w:t>
      </w:r>
      <w:proofErr w:type="spellEnd"/>
      <w:r w:rsidRPr="005B00FB">
        <w:rPr>
          <w:lang w:eastAsia="ja-JP"/>
        </w:rPr>
        <w:t xml:space="preserve"> de servicio, por ejemplo, la banda ancha móvil mejorada, las comunicaciones </w:t>
      </w:r>
      <w:proofErr w:type="spellStart"/>
      <w:r w:rsidRPr="005B00FB">
        <w:rPr>
          <w:lang w:eastAsia="ja-JP"/>
        </w:rPr>
        <w:t>ultrafiables</w:t>
      </w:r>
      <w:proofErr w:type="spellEnd"/>
      <w:r w:rsidRPr="005B00FB">
        <w:rPr>
          <w:lang w:eastAsia="ja-JP"/>
        </w:rPr>
        <w:t xml:space="preserve"> y de baja latencia, las comunicaciones por máquinas masivas</w:t>
      </w:r>
      <w:bookmarkStart w:id="10" w:name="lt_pId079"/>
      <w:r w:rsidRPr="005B00FB">
        <w:rPr>
          <w:lang w:eastAsia="ja-JP"/>
        </w:rPr>
        <w:t>.</w:t>
      </w:r>
      <w:bookmarkEnd w:id="10"/>
    </w:p>
    <w:p w14:paraId="61258C48" w14:textId="41972D78" w:rsidR="00824532" w:rsidRDefault="00824532" w:rsidP="0082453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lang w:eastAsia="ja-JP"/>
        </w:rPr>
      </w:pPr>
      <w:r w:rsidRPr="005B00FB">
        <w:rPr>
          <w:lang w:eastAsia="ja-JP"/>
        </w:rPr>
        <w:t>Los sistemas IMT</w:t>
      </w:r>
      <w:r w:rsidRPr="005B00FB">
        <w:rPr>
          <w:lang w:eastAsia="ja-JP"/>
        </w:rPr>
        <w:noBreakHyphen/>
        <w:t xml:space="preserve">2020 se diferenciarán de los sistemas de cuarta generación (4G) no sólo gracias a una mayor evolución de las interfaces radioeléctricas, sino también por una mayor flexibilidad de extremo a extremo. </w:t>
      </w:r>
      <w:r w:rsidR="000A4079">
        <w:rPr>
          <w:lang w:eastAsia="ja-JP"/>
        </w:rPr>
        <w:t>E</w:t>
      </w:r>
      <w:r w:rsidRPr="005B00FB">
        <w:rPr>
          <w:lang w:eastAsia="ja-JP"/>
        </w:rPr>
        <w:t>sa flexibilidad de extremo a extremo planteará retos al diseño funcional y arquitectónico de las</w:t>
      </w:r>
      <w:bookmarkStart w:id="11" w:name="lt_pId082"/>
      <w:r w:rsidRPr="005B00FB">
        <w:rPr>
          <w:lang w:eastAsia="ja-JP"/>
        </w:rPr>
        <w:t xml:space="preserve"> IMT</w:t>
      </w:r>
      <w:r w:rsidRPr="005B00FB">
        <w:rPr>
          <w:lang w:eastAsia="ja-JP"/>
        </w:rPr>
        <w:noBreakHyphen/>
        <w:t xml:space="preserve">2020, habida cuenta de </w:t>
      </w:r>
      <w:r w:rsidR="000A4079">
        <w:rPr>
          <w:lang w:eastAsia="ja-JP"/>
        </w:rPr>
        <w:t>la diversidad de los requisitos de</w:t>
      </w:r>
      <w:r w:rsidRPr="005B00FB">
        <w:rPr>
          <w:lang w:eastAsia="ja-JP"/>
        </w:rPr>
        <w:t xml:space="preserve"> servicio. Esos retos se deberán en gran medida a la introducción de software de red en cada uno de los componentes. La combinación de técnicas bien conocidas, como la</w:t>
      </w:r>
      <w:bookmarkStart w:id="12" w:name="lt_pId084"/>
      <w:bookmarkEnd w:id="11"/>
      <w:r w:rsidRPr="005B00FB">
        <w:rPr>
          <w:lang w:eastAsia="ja-JP"/>
        </w:rPr>
        <w:t xml:space="preserve"> NFV y la SDN, aportarán una flexibilidad sin precedentes a los sistemas IMT</w:t>
      </w:r>
      <w:r w:rsidRPr="005B00FB">
        <w:rPr>
          <w:lang w:eastAsia="ja-JP"/>
        </w:rPr>
        <w:noBreakHyphen/>
        <w:t>2020.</w:t>
      </w:r>
      <w:bookmarkEnd w:id="12"/>
      <w:r w:rsidRPr="005B00FB">
        <w:rPr>
          <w:lang w:eastAsia="ja-JP"/>
        </w:rPr>
        <w:t xml:space="preserve"> Esa misma flexibilidad abrirá la puerta a muchas capacidades nuevas, incluida la segmentación de la red.</w:t>
      </w:r>
    </w:p>
    <w:p w14:paraId="5FB82690" w14:textId="7D1130CF" w:rsidR="000A4079" w:rsidRPr="005B00FB" w:rsidRDefault="000A4079" w:rsidP="0082453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lang w:eastAsia="ja-JP"/>
        </w:rPr>
      </w:pPr>
      <w:r w:rsidRPr="000A4079">
        <w:rPr>
          <w:lang w:eastAsia="ja-JP"/>
        </w:rPr>
        <w:t>Teniendo en cuenta también la complejidad que entraña esa flexibilidad, la aplicación de la inteligencia artificial, incluidas las tecnologías de aprendizaje automático, también será muy beneficiosa para los sistemas IMT-2020 en lo que respecta a las operaciones de red y las capacidades de apoyo a las aplicaciones.</w:t>
      </w:r>
    </w:p>
    <w:p w14:paraId="7883871C" w14:textId="3446119C" w:rsidR="00824532" w:rsidRPr="005B00FB" w:rsidRDefault="00824532" w:rsidP="0082453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lang w:eastAsia="ja-JP"/>
        </w:rPr>
      </w:pPr>
      <w:bookmarkStart w:id="13" w:name="lt_pId086"/>
      <w:r w:rsidRPr="005B00FB">
        <w:rPr>
          <w:lang w:eastAsia="ja-JP"/>
        </w:rPr>
        <w:t>Esta Cuestión se centra en el estudio de los requisitos, las capacidades, la arquitectura y las principales tecnologías necesarios para materializar las redes IMT</w:t>
      </w:r>
      <w:r w:rsidRPr="005B00FB">
        <w:rPr>
          <w:lang w:eastAsia="ja-JP"/>
        </w:rPr>
        <w:noBreakHyphen/>
        <w:t xml:space="preserve">2020. A partir de modelos empresariales y casos de uso se ha de fomentar la creación de un ecosistema donde construir y lograr la mejor cooperación con los </w:t>
      </w:r>
      <w:r w:rsidR="000A4079">
        <w:rPr>
          <w:lang w:eastAsia="ja-JP"/>
        </w:rPr>
        <w:t>usuarios</w:t>
      </w:r>
      <w:r w:rsidRPr="005B00FB">
        <w:rPr>
          <w:lang w:eastAsia="ja-JP"/>
        </w:rPr>
        <w:t xml:space="preserve">. También se utilizarán proyectos de fuente abierta como guía para </w:t>
      </w:r>
      <w:r w:rsidR="000A4079">
        <w:rPr>
          <w:lang w:eastAsia="ja-JP"/>
        </w:rPr>
        <w:t>cumplir</w:t>
      </w:r>
      <w:r w:rsidRPr="005B00FB">
        <w:rPr>
          <w:lang w:eastAsia="ja-JP"/>
        </w:rPr>
        <w:t xml:space="preserve"> los requisitos de las redes</w:t>
      </w:r>
      <w:bookmarkEnd w:id="13"/>
      <w:r w:rsidRPr="005B00FB">
        <w:rPr>
          <w:lang w:eastAsia="ja-JP"/>
        </w:rPr>
        <w:t xml:space="preserve"> IMT</w:t>
      </w:r>
      <w:r w:rsidRPr="005B00FB">
        <w:rPr>
          <w:lang w:eastAsia="ja-JP"/>
        </w:rPr>
        <w:noBreakHyphen/>
        <w:t>2020.</w:t>
      </w:r>
    </w:p>
    <w:p w14:paraId="68E33F05" w14:textId="77777777" w:rsidR="00824532" w:rsidRPr="005B00FB" w:rsidRDefault="00824532" w:rsidP="00824532">
      <w:pPr>
        <w:pStyle w:val="Heading3"/>
      </w:pPr>
      <w:bookmarkStart w:id="14" w:name="_Toc472345685"/>
      <w:r w:rsidRPr="005B00FB">
        <w:t>Cuestión</w:t>
      </w:r>
      <w:bookmarkEnd w:id="14"/>
    </w:p>
    <w:p w14:paraId="70F59AC6" w14:textId="77777777" w:rsidR="00824532" w:rsidRPr="005B00FB" w:rsidRDefault="00824532" w:rsidP="0082453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5B00FB">
        <w:t>Los temas de estudio que se han de considerar son, entre otros:</w:t>
      </w:r>
    </w:p>
    <w:p w14:paraId="193F96B7" w14:textId="211E9FB8" w:rsidR="00824532" w:rsidRPr="005B00FB" w:rsidRDefault="00824532" w:rsidP="00824532">
      <w:pPr>
        <w:pStyle w:val="enumlev1"/>
        <w:rPr>
          <w:lang w:eastAsia="ja-JP"/>
        </w:rPr>
      </w:pPr>
      <w:r w:rsidRPr="005B00FB">
        <w:rPr>
          <w:lang w:eastAsia="ja-JP"/>
        </w:rPr>
        <w:t>•</w:t>
      </w:r>
      <w:r w:rsidRPr="005B00FB">
        <w:rPr>
          <w:lang w:eastAsia="ja-JP"/>
        </w:rPr>
        <w:tab/>
        <w:t>Cuáles son los principales requisitos y capacidades de las redes IMT</w:t>
      </w:r>
      <w:r w:rsidRPr="005B00FB">
        <w:rPr>
          <w:lang w:eastAsia="ja-JP"/>
        </w:rPr>
        <w:noBreakHyphen/>
        <w:t xml:space="preserve">2020 a partir de las </w:t>
      </w:r>
      <w:proofErr w:type="spellStart"/>
      <w:r w:rsidRPr="005B00FB">
        <w:rPr>
          <w:lang w:eastAsia="ja-JP"/>
        </w:rPr>
        <w:t>hipótesis</w:t>
      </w:r>
      <w:proofErr w:type="spellEnd"/>
      <w:r w:rsidRPr="005B00FB">
        <w:rPr>
          <w:lang w:eastAsia="ja-JP"/>
        </w:rPr>
        <w:t xml:space="preserve"> de servicio de las IMT</w:t>
      </w:r>
      <w:r w:rsidRPr="005B00FB">
        <w:rPr>
          <w:lang w:eastAsia="ja-JP"/>
        </w:rPr>
        <w:noBreakHyphen/>
        <w:t>2020?</w:t>
      </w:r>
    </w:p>
    <w:p w14:paraId="3785BCD4" w14:textId="2EE21010" w:rsidR="00824532" w:rsidRPr="005B00FB" w:rsidRDefault="00824532" w:rsidP="00824532">
      <w:pPr>
        <w:pStyle w:val="enumlev1"/>
        <w:rPr>
          <w:lang w:eastAsia="ja-JP"/>
        </w:rPr>
      </w:pPr>
      <w:r w:rsidRPr="005B00FB">
        <w:rPr>
          <w:lang w:eastAsia="ja-JP"/>
        </w:rPr>
        <w:t>•</w:t>
      </w:r>
      <w:r w:rsidRPr="005B00FB">
        <w:rPr>
          <w:lang w:eastAsia="ja-JP"/>
        </w:rPr>
        <w:tab/>
        <w:t xml:space="preserve">Qué marco y qué arquitectura se necesitan para la materialización de las </w:t>
      </w:r>
      <w:r w:rsidR="000A4079">
        <w:rPr>
          <w:lang w:eastAsia="ja-JP"/>
        </w:rPr>
        <w:t xml:space="preserve">redes </w:t>
      </w:r>
      <w:r w:rsidRPr="005B00FB">
        <w:rPr>
          <w:lang w:eastAsia="ja-JP"/>
        </w:rPr>
        <w:t>IMT</w:t>
      </w:r>
      <w:r w:rsidRPr="005B00FB">
        <w:rPr>
          <w:lang w:eastAsia="ja-JP"/>
        </w:rPr>
        <w:noBreakHyphen/>
        <w:t>2020 a partir de los requisitos y capacidades identificados?</w:t>
      </w:r>
    </w:p>
    <w:p w14:paraId="20A9DC65" w14:textId="318F14D3" w:rsidR="00824532" w:rsidRDefault="00824532" w:rsidP="00824532">
      <w:pPr>
        <w:pStyle w:val="enumlev1"/>
        <w:rPr>
          <w:lang w:eastAsia="ja-JP"/>
        </w:rPr>
      </w:pPr>
      <w:r w:rsidRPr="005B00FB">
        <w:rPr>
          <w:lang w:eastAsia="ja-JP"/>
        </w:rPr>
        <w:t>•</w:t>
      </w:r>
      <w:r w:rsidRPr="005B00FB">
        <w:rPr>
          <w:lang w:eastAsia="ja-JP"/>
        </w:rPr>
        <w:tab/>
      </w:r>
      <w:bookmarkStart w:id="15" w:name="lt_pId097"/>
      <w:r w:rsidRPr="005B00FB">
        <w:rPr>
          <w:lang w:eastAsia="ja-JP"/>
        </w:rPr>
        <w:t>Cuáles son las principales tecnologías relacionadas con las IMT</w:t>
      </w:r>
      <w:r w:rsidRPr="005B00FB">
        <w:rPr>
          <w:lang w:eastAsia="ja-JP"/>
        </w:rPr>
        <w:noBreakHyphen/>
        <w:t>2020 necesarias para la materialización de redes IMT</w:t>
      </w:r>
      <w:r w:rsidRPr="005B00FB">
        <w:rPr>
          <w:lang w:eastAsia="ja-JP"/>
        </w:rPr>
        <w:noBreakHyphen/>
        <w:t>2020</w:t>
      </w:r>
      <w:bookmarkEnd w:id="15"/>
      <w:r w:rsidRPr="005B00FB">
        <w:rPr>
          <w:lang w:eastAsia="ja-JP"/>
        </w:rPr>
        <w:t>?</w:t>
      </w:r>
    </w:p>
    <w:p w14:paraId="3593F1D1" w14:textId="591EA26A" w:rsidR="000A4079" w:rsidRPr="005B00FB" w:rsidRDefault="000A4079" w:rsidP="00824532">
      <w:pPr>
        <w:pStyle w:val="enumlev1"/>
        <w:rPr>
          <w:lang w:eastAsia="ja-JP"/>
        </w:rPr>
      </w:pPr>
      <w:r w:rsidRPr="005B00FB">
        <w:rPr>
          <w:lang w:eastAsia="ja-JP"/>
        </w:rPr>
        <w:t>•</w:t>
      </w:r>
      <w:r w:rsidRPr="005B00FB">
        <w:rPr>
          <w:lang w:eastAsia="ja-JP"/>
        </w:rPr>
        <w:tab/>
      </w:r>
      <w:r>
        <w:rPr>
          <w:lang w:eastAsia="ja-JP"/>
        </w:rPr>
        <w:t>Cómo incorporar la inteligencia de red en las IMT-2020?</w:t>
      </w:r>
    </w:p>
    <w:p w14:paraId="2F78DE31" w14:textId="0749AC74" w:rsidR="00824532" w:rsidRPr="005B00FB" w:rsidRDefault="00824532" w:rsidP="00824532">
      <w:pPr>
        <w:pStyle w:val="enumlev1"/>
        <w:rPr>
          <w:lang w:eastAsia="ja-JP"/>
        </w:rPr>
      </w:pPr>
      <w:r w:rsidRPr="005B00FB">
        <w:rPr>
          <w:lang w:eastAsia="ja-JP"/>
        </w:rPr>
        <w:t>•</w:t>
      </w:r>
      <w:r w:rsidRPr="005B00FB">
        <w:rPr>
          <w:lang w:eastAsia="ja-JP"/>
        </w:rPr>
        <w:tab/>
      </w:r>
      <w:bookmarkStart w:id="16" w:name="lt_pId099"/>
      <w:r w:rsidRPr="005B00FB">
        <w:rPr>
          <w:lang w:eastAsia="ja-JP"/>
        </w:rPr>
        <w:t>Cómo crear y/</w:t>
      </w:r>
      <w:proofErr w:type="spellStart"/>
      <w:r w:rsidRPr="005B00FB">
        <w:rPr>
          <w:lang w:eastAsia="ja-JP"/>
        </w:rPr>
        <w:t>o</w:t>
      </w:r>
      <w:proofErr w:type="spellEnd"/>
      <w:r w:rsidRPr="005B00FB">
        <w:rPr>
          <w:lang w:eastAsia="ja-JP"/>
        </w:rPr>
        <w:t xml:space="preserve"> orientar el ecosistema de las IMT-2020, habida cuenta de los modelos empresariales y los casos de uso</w:t>
      </w:r>
      <w:bookmarkEnd w:id="16"/>
      <w:r w:rsidR="000A4079">
        <w:rPr>
          <w:lang w:eastAsia="ja-JP"/>
        </w:rPr>
        <w:t>?</w:t>
      </w:r>
    </w:p>
    <w:p w14:paraId="4AF0CCED" w14:textId="30699FDB" w:rsidR="00824532" w:rsidRPr="005B00FB" w:rsidRDefault="00824532" w:rsidP="00824532">
      <w:pPr>
        <w:pStyle w:val="enumlev1"/>
        <w:rPr>
          <w:lang w:eastAsia="ja-JP"/>
        </w:rPr>
      </w:pPr>
      <w:r w:rsidRPr="005B00FB">
        <w:rPr>
          <w:lang w:eastAsia="ja-JP"/>
        </w:rPr>
        <w:t>•</w:t>
      </w:r>
      <w:r w:rsidRPr="005B00FB">
        <w:rPr>
          <w:lang w:eastAsia="ja-JP"/>
        </w:rPr>
        <w:tab/>
      </w:r>
      <w:bookmarkStart w:id="17" w:name="lt_pId101"/>
      <w:r w:rsidRPr="005B00FB">
        <w:rPr>
          <w:lang w:eastAsia="ja-JP"/>
        </w:rPr>
        <w:t>Cómo utilizar y orientar el software de fuente abierta relacionado con las IMT</w:t>
      </w:r>
      <w:r w:rsidRPr="005B00FB">
        <w:rPr>
          <w:lang w:eastAsia="ja-JP"/>
        </w:rPr>
        <w:noBreakHyphen/>
        <w:t>2020 para ajustarse a los requisitos de las IMT</w:t>
      </w:r>
      <w:r w:rsidRPr="005B00FB">
        <w:rPr>
          <w:lang w:eastAsia="ja-JP"/>
        </w:rPr>
        <w:noBreakHyphen/>
        <w:t>2020</w:t>
      </w:r>
      <w:bookmarkEnd w:id="17"/>
      <w:r w:rsidR="000A4079">
        <w:rPr>
          <w:lang w:eastAsia="ja-JP"/>
        </w:rPr>
        <w:t>?</w:t>
      </w:r>
    </w:p>
    <w:p w14:paraId="12F272BF" w14:textId="77777777" w:rsidR="00824532" w:rsidRPr="005B00FB" w:rsidRDefault="00824532" w:rsidP="00F455D8">
      <w:pPr>
        <w:pStyle w:val="Heading3"/>
      </w:pPr>
      <w:bookmarkStart w:id="18" w:name="_Toc472345686"/>
      <w:r w:rsidRPr="005B00FB">
        <w:lastRenderedPageBreak/>
        <w:t>Tareas</w:t>
      </w:r>
      <w:bookmarkEnd w:id="18"/>
    </w:p>
    <w:p w14:paraId="7A28CA45" w14:textId="77777777" w:rsidR="00824532" w:rsidRPr="005B00FB" w:rsidRDefault="00824532" w:rsidP="00F455D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5B00FB">
        <w:t>Las tareas son, entre otras:</w:t>
      </w:r>
    </w:p>
    <w:p w14:paraId="09E4C4D0" w14:textId="77777777" w:rsidR="00824532" w:rsidRPr="005B00FB" w:rsidRDefault="00824532" w:rsidP="00824532">
      <w:pPr>
        <w:pStyle w:val="enumlev1"/>
        <w:rPr>
          <w:lang w:eastAsia="ja-JP"/>
        </w:rPr>
      </w:pPr>
      <w:r w:rsidRPr="005B00FB">
        <w:rPr>
          <w:lang w:eastAsia="ja-JP"/>
        </w:rPr>
        <w:t>•</w:t>
      </w:r>
      <w:r w:rsidRPr="005B00FB">
        <w:rPr>
          <w:lang w:eastAsia="ja-JP"/>
        </w:rPr>
        <w:tab/>
      </w:r>
      <w:bookmarkStart w:id="19" w:name="lt_pId106"/>
      <w:r w:rsidRPr="005B00FB">
        <w:rPr>
          <w:lang w:eastAsia="ja-JP"/>
        </w:rPr>
        <w:t>Elaboración de Recomendaciones sobre los requisitos y capacidades de las redes IMT</w:t>
      </w:r>
      <w:r w:rsidRPr="005B00FB">
        <w:rPr>
          <w:lang w:eastAsia="ja-JP"/>
        </w:rPr>
        <w:noBreakHyphen/>
        <w:t xml:space="preserve">2020 a partir de las </w:t>
      </w:r>
      <w:proofErr w:type="spellStart"/>
      <w:r w:rsidRPr="005B00FB">
        <w:rPr>
          <w:lang w:eastAsia="ja-JP"/>
        </w:rPr>
        <w:t>hipótesis</w:t>
      </w:r>
      <w:proofErr w:type="spellEnd"/>
      <w:r w:rsidRPr="005B00FB">
        <w:rPr>
          <w:lang w:eastAsia="ja-JP"/>
        </w:rPr>
        <w:t xml:space="preserve"> de servicio de las IMT</w:t>
      </w:r>
      <w:r w:rsidRPr="005B00FB">
        <w:rPr>
          <w:lang w:eastAsia="ja-JP"/>
        </w:rPr>
        <w:noBreakHyphen/>
        <w:t>2020</w:t>
      </w:r>
      <w:bookmarkEnd w:id="19"/>
      <w:r w:rsidRPr="005B00FB">
        <w:rPr>
          <w:lang w:eastAsia="ja-JP"/>
        </w:rPr>
        <w:t>.</w:t>
      </w:r>
    </w:p>
    <w:p w14:paraId="285F09E6" w14:textId="6C6AB744" w:rsidR="00824532" w:rsidRPr="005B00FB" w:rsidRDefault="00824532" w:rsidP="00824532">
      <w:pPr>
        <w:pStyle w:val="enumlev1"/>
        <w:rPr>
          <w:lang w:eastAsia="ja-JP"/>
        </w:rPr>
      </w:pPr>
      <w:r w:rsidRPr="005B00FB">
        <w:rPr>
          <w:lang w:eastAsia="ja-JP"/>
        </w:rPr>
        <w:t>•</w:t>
      </w:r>
      <w:r w:rsidRPr="005B00FB">
        <w:rPr>
          <w:lang w:eastAsia="ja-JP"/>
        </w:rPr>
        <w:tab/>
        <w:t>Elaboración de Recomendaciones sobre el marco y el diseño arquitectónico de las IMT</w:t>
      </w:r>
      <w:r w:rsidRPr="005B00FB">
        <w:rPr>
          <w:lang w:eastAsia="ja-JP"/>
        </w:rPr>
        <w:noBreakHyphen/>
        <w:t>2020 a partir, entre otras cosas, de los requisitos y capacidades identificados anteriormente y del análisis de carencias realizado por el FG sobre las IMT</w:t>
      </w:r>
      <w:r w:rsidRPr="005B00FB">
        <w:rPr>
          <w:lang w:eastAsia="ja-JP"/>
        </w:rPr>
        <w:noBreakHyphen/>
        <w:t>2020</w:t>
      </w:r>
      <w:r w:rsidR="000A4079">
        <w:rPr>
          <w:lang w:eastAsia="ja-JP"/>
        </w:rPr>
        <w:t xml:space="preserve"> y el </w:t>
      </w:r>
      <w:r w:rsidR="00377609">
        <w:rPr>
          <w:lang w:eastAsia="ja-JP"/>
        </w:rPr>
        <w:t>FG sobre el a</w:t>
      </w:r>
      <w:r w:rsidR="000A4079" w:rsidRPr="000A4079">
        <w:rPr>
          <w:lang w:eastAsia="ja-JP"/>
        </w:rPr>
        <w:t>prendizaje automático para redes futuras, incluida la 5G</w:t>
      </w:r>
      <w:r w:rsidRPr="005B00FB">
        <w:rPr>
          <w:lang w:eastAsia="ja-JP"/>
        </w:rPr>
        <w:t>.</w:t>
      </w:r>
    </w:p>
    <w:p w14:paraId="610B8815" w14:textId="70999FD7" w:rsidR="00824532" w:rsidRPr="005B00FB" w:rsidRDefault="00824532" w:rsidP="00670BE9">
      <w:pPr>
        <w:pStyle w:val="enumlev1"/>
        <w:rPr>
          <w:lang w:eastAsia="ja-JP"/>
        </w:rPr>
      </w:pPr>
      <w:r w:rsidRPr="005B00FB">
        <w:rPr>
          <w:lang w:eastAsia="ja-JP"/>
        </w:rPr>
        <w:t>•</w:t>
      </w:r>
      <w:r w:rsidRPr="005B00FB">
        <w:rPr>
          <w:lang w:eastAsia="ja-JP"/>
        </w:rPr>
        <w:tab/>
      </w:r>
      <w:bookmarkStart w:id="20" w:name="lt_pId110"/>
      <w:r w:rsidRPr="005B00FB">
        <w:rPr>
          <w:lang w:eastAsia="ja-JP"/>
        </w:rPr>
        <w:t xml:space="preserve">Elaboración de Recomendaciones y demás documentos pertinentes </w:t>
      </w:r>
      <w:r w:rsidR="00670BE9">
        <w:rPr>
          <w:lang w:eastAsia="ja-JP"/>
        </w:rPr>
        <w:t>sobre los requisitos generales y la arquitectura funcional de</w:t>
      </w:r>
      <w:r w:rsidRPr="005B00FB">
        <w:rPr>
          <w:lang w:eastAsia="ja-JP"/>
        </w:rPr>
        <w:t xml:space="preserve"> las IMT</w:t>
      </w:r>
      <w:r w:rsidRPr="005B00FB">
        <w:rPr>
          <w:lang w:eastAsia="ja-JP"/>
        </w:rPr>
        <w:noBreakHyphen/>
        <w:t>2020</w:t>
      </w:r>
      <w:r w:rsidR="00670BE9">
        <w:rPr>
          <w:lang w:eastAsia="ja-JP"/>
        </w:rPr>
        <w:t xml:space="preserve"> incorporando tecnologías</w:t>
      </w:r>
      <w:r w:rsidRPr="005B00FB">
        <w:rPr>
          <w:lang w:eastAsia="ja-JP"/>
        </w:rPr>
        <w:t xml:space="preserve">, incluida la introducción de software en la red, la segmentación de red, la orquestación, la exposición de capacidades, </w:t>
      </w:r>
      <w:r w:rsidR="00377609">
        <w:rPr>
          <w:lang w:eastAsia="ja-JP"/>
        </w:rPr>
        <w:t xml:space="preserve">la inteligencia artificial incluido el aprendizaje automático, </w:t>
      </w:r>
      <w:r w:rsidRPr="005B00FB">
        <w:rPr>
          <w:lang w:eastAsia="ja-JP"/>
        </w:rPr>
        <w:t>etc.</w:t>
      </w:r>
      <w:bookmarkEnd w:id="20"/>
    </w:p>
    <w:p w14:paraId="12706B11" w14:textId="77777777" w:rsidR="00824532" w:rsidRPr="005B00FB" w:rsidRDefault="00824532" w:rsidP="00824532">
      <w:pPr>
        <w:pStyle w:val="enumlev1"/>
        <w:rPr>
          <w:lang w:eastAsia="ja-JP"/>
        </w:rPr>
      </w:pPr>
      <w:r w:rsidRPr="005B00FB">
        <w:rPr>
          <w:lang w:eastAsia="ja-JP"/>
        </w:rPr>
        <w:t>•</w:t>
      </w:r>
      <w:r w:rsidRPr="005B00FB">
        <w:rPr>
          <w:lang w:eastAsia="ja-JP"/>
        </w:rPr>
        <w:tab/>
      </w:r>
      <w:bookmarkStart w:id="21" w:name="lt_pId112"/>
      <w:r w:rsidRPr="005B00FB">
        <w:rPr>
          <w:lang w:eastAsia="ja-JP"/>
        </w:rPr>
        <w:t xml:space="preserve">Elaboración de Recomendaciones sobre el </w:t>
      </w:r>
      <w:proofErr w:type="spellStart"/>
      <w:r w:rsidRPr="005B00FB">
        <w:rPr>
          <w:lang w:eastAsia="ja-JP"/>
        </w:rPr>
        <w:t>interfuncionamiento</w:t>
      </w:r>
      <w:proofErr w:type="spellEnd"/>
      <w:r w:rsidRPr="005B00FB">
        <w:rPr>
          <w:lang w:eastAsia="ja-JP"/>
        </w:rPr>
        <w:t xml:space="preserve"> con las redes actuales, incluidas las IMT-Avanzadas, etc.</w:t>
      </w:r>
      <w:bookmarkEnd w:id="21"/>
    </w:p>
    <w:p w14:paraId="7DC8320E" w14:textId="77777777" w:rsidR="00824532" w:rsidRPr="005B00FB" w:rsidRDefault="00824532" w:rsidP="00824532">
      <w:pPr>
        <w:pStyle w:val="enumlev1"/>
        <w:rPr>
          <w:lang w:eastAsia="ja-JP"/>
        </w:rPr>
      </w:pPr>
      <w:r w:rsidRPr="005B00FB">
        <w:rPr>
          <w:lang w:eastAsia="ja-JP"/>
        </w:rPr>
        <w:t>•</w:t>
      </w:r>
      <w:r w:rsidRPr="005B00FB">
        <w:rPr>
          <w:lang w:eastAsia="ja-JP"/>
        </w:rPr>
        <w:tab/>
      </w:r>
      <w:bookmarkStart w:id="22" w:name="lt_pId114"/>
      <w:r w:rsidRPr="005B00FB">
        <w:rPr>
          <w:lang w:eastAsia="ja-JP"/>
        </w:rPr>
        <w:t>Estudio de la posible utilización y orientación de software de fuente abierta en las redes IMT</w:t>
      </w:r>
      <w:r w:rsidRPr="005B00FB">
        <w:rPr>
          <w:lang w:eastAsia="ja-JP"/>
        </w:rPr>
        <w:noBreakHyphen/>
        <w:t>2020</w:t>
      </w:r>
      <w:bookmarkEnd w:id="22"/>
      <w:r w:rsidRPr="005B00FB">
        <w:rPr>
          <w:lang w:eastAsia="ja-JP"/>
        </w:rPr>
        <w:t>.</w:t>
      </w:r>
    </w:p>
    <w:p w14:paraId="04353CD9" w14:textId="77777777" w:rsidR="00824532" w:rsidRPr="005B00FB" w:rsidRDefault="00824532" w:rsidP="00824532">
      <w:pPr>
        <w:pStyle w:val="enumlev1"/>
        <w:rPr>
          <w:lang w:eastAsia="ja-JP"/>
        </w:rPr>
      </w:pPr>
      <w:r w:rsidRPr="005B00FB">
        <w:rPr>
          <w:lang w:eastAsia="ja-JP"/>
        </w:rPr>
        <w:t>•</w:t>
      </w:r>
      <w:r w:rsidRPr="005B00FB">
        <w:rPr>
          <w:lang w:eastAsia="ja-JP"/>
        </w:rPr>
        <w:tab/>
      </w:r>
      <w:bookmarkStart w:id="23" w:name="lt_pId116"/>
      <w:r w:rsidRPr="005B00FB">
        <w:rPr>
          <w:lang w:eastAsia="ja-JP"/>
        </w:rPr>
        <w:t>Elaboración de Recomendaciones sobre el ecosistema, habida cuenta los modelos empresariales y los casos de uso</w:t>
      </w:r>
      <w:bookmarkEnd w:id="23"/>
      <w:r w:rsidRPr="005B00FB">
        <w:rPr>
          <w:lang w:eastAsia="ja-JP"/>
        </w:rPr>
        <w:t>.</w:t>
      </w:r>
    </w:p>
    <w:p w14:paraId="096C0AC1" w14:textId="7F865BE2" w:rsidR="00824532" w:rsidRPr="005B00FB" w:rsidRDefault="003B73C1" w:rsidP="003B73C1">
      <w:pPr>
        <w:pStyle w:val="enumlev1"/>
      </w:pPr>
      <w:r>
        <w:t>•</w:t>
      </w:r>
      <w:r>
        <w:tab/>
      </w:r>
      <w:r w:rsidR="00824532" w:rsidRPr="005B00FB">
        <w:t xml:space="preserve">La situación actualizada de los trabajos sobre esta Cuestión figura en el programa de trabajo de la CE 13: </w:t>
      </w:r>
      <w:hyperlink r:id="rId11" w:history="1">
        <w:r w:rsidR="00824532" w:rsidRPr="005B00FB">
          <w:rPr>
            <w:color w:val="0000FF"/>
            <w:u w:val="single"/>
            <w:lang w:eastAsia="ja-JP"/>
          </w:rPr>
          <w:t>http://www.itu.int/ITU-T/workprog/wp_search.aspx?sg=13</w:t>
        </w:r>
      </w:hyperlink>
      <w:r w:rsidR="00824532" w:rsidRPr="005B00FB">
        <w:t>.</w:t>
      </w:r>
    </w:p>
    <w:p w14:paraId="10E55141" w14:textId="77777777" w:rsidR="00824532" w:rsidRPr="005B00FB" w:rsidRDefault="00824532" w:rsidP="00824532">
      <w:pPr>
        <w:pStyle w:val="Heading3"/>
      </w:pPr>
      <w:bookmarkStart w:id="24" w:name="_Toc472345687"/>
      <w:r w:rsidRPr="005B00FB">
        <w:t>Relaciones</w:t>
      </w:r>
      <w:bookmarkEnd w:id="24"/>
    </w:p>
    <w:p w14:paraId="486AD47F" w14:textId="77777777" w:rsidR="00824532" w:rsidRPr="005B00FB" w:rsidRDefault="00824532" w:rsidP="00824532">
      <w:pPr>
        <w:pStyle w:val="Headingb0"/>
      </w:pPr>
      <w:r w:rsidRPr="005B00FB">
        <w:t>Recomendaciones:</w:t>
      </w:r>
    </w:p>
    <w:p w14:paraId="4566FA95" w14:textId="77777777" w:rsidR="00824532" w:rsidRPr="005B00FB" w:rsidRDefault="00824532" w:rsidP="00824532">
      <w:pPr>
        <w:pStyle w:val="enumlev1"/>
      </w:pPr>
      <w:r>
        <w:t>•</w:t>
      </w:r>
      <w:r>
        <w:tab/>
        <w:t>Serie Y de la CE 13</w:t>
      </w:r>
    </w:p>
    <w:p w14:paraId="1AA7F5EE" w14:textId="77777777" w:rsidR="00824532" w:rsidRPr="005B00FB" w:rsidRDefault="00824532" w:rsidP="00824532">
      <w:pPr>
        <w:pStyle w:val="Headingb0"/>
      </w:pPr>
      <w:r w:rsidRPr="005B00FB">
        <w:t>Cuestiones:</w:t>
      </w:r>
    </w:p>
    <w:p w14:paraId="38927019" w14:textId="77777777" w:rsidR="00824532" w:rsidRPr="005B00FB" w:rsidRDefault="00824532" w:rsidP="00824532">
      <w:pPr>
        <w:pStyle w:val="enumlev1"/>
      </w:pPr>
      <w:r w:rsidRPr="005B00FB">
        <w:t>•</w:t>
      </w:r>
      <w:r w:rsidRPr="005B00FB">
        <w:tab/>
        <w:t xml:space="preserve">Todas las Cuestiones de la CE 13 relacionadas, como las </w:t>
      </w:r>
      <w:r w:rsidRPr="00CD27B4">
        <w:t>C6/13, C16/13,</w:t>
      </w:r>
      <w:r>
        <w:t xml:space="preserve"> C21/13,</w:t>
      </w:r>
      <w:r w:rsidRPr="00CD27B4">
        <w:t xml:space="preserve"> C22/13, C23/13</w:t>
      </w:r>
      <w:r w:rsidRPr="005B00FB">
        <w:t>.</w:t>
      </w:r>
    </w:p>
    <w:p w14:paraId="64E3313E" w14:textId="77777777" w:rsidR="00824532" w:rsidRPr="005B00FB" w:rsidRDefault="00824532" w:rsidP="00824532">
      <w:pPr>
        <w:pStyle w:val="Headingb0"/>
      </w:pPr>
      <w:r w:rsidRPr="005B00FB">
        <w:t>Comisiones de Estudio:</w:t>
      </w:r>
    </w:p>
    <w:p w14:paraId="7AE50045" w14:textId="77777777" w:rsidR="00824532" w:rsidRPr="005B00FB" w:rsidRDefault="00824532" w:rsidP="00824532">
      <w:pPr>
        <w:pStyle w:val="enumlev1"/>
      </w:pPr>
      <w:r w:rsidRPr="005B00FB">
        <w:t>•</w:t>
      </w:r>
      <w:r w:rsidRPr="005B00FB">
        <w:tab/>
        <w:t>Comisiones de Estudio de la UIT interesadas en las IMT-2020.</w:t>
      </w:r>
    </w:p>
    <w:p w14:paraId="3E4854B9" w14:textId="77777777" w:rsidR="00824532" w:rsidRPr="005B00FB" w:rsidRDefault="00824532" w:rsidP="00824532">
      <w:pPr>
        <w:pStyle w:val="Headingb0"/>
      </w:pPr>
      <w:r w:rsidRPr="005B00FB">
        <w:t>Órganos de normalización:</w:t>
      </w:r>
    </w:p>
    <w:p w14:paraId="77E70835" w14:textId="77777777" w:rsidR="00824532" w:rsidRPr="005B00FB" w:rsidRDefault="00824532" w:rsidP="00824532">
      <w:pPr>
        <w:pStyle w:val="enumlev1"/>
      </w:pPr>
      <w:r w:rsidRPr="005B00FB">
        <w:t>•</w:t>
      </w:r>
      <w:r w:rsidRPr="005B00FB">
        <w:tab/>
      </w:r>
      <w:bookmarkStart w:id="25" w:name="lt_pId132"/>
      <w:r w:rsidRPr="005B00FB">
        <w:t>UIT-R</w:t>
      </w:r>
      <w:bookmarkEnd w:id="25"/>
    </w:p>
    <w:p w14:paraId="7532D2A3" w14:textId="77777777" w:rsidR="00824532" w:rsidRPr="005B00FB" w:rsidRDefault="00824532" w:rsidP="00824532">
      <w:pPr>
        <w:pStyle w:val="enumlev1"/>
      </w:pPr>
      <w:r w:rsidRPr="005B00FB">
        <w:t>•</w:t>
      </w:r>
      <w:r w:rsidRPr="005B00FB">
        <w:tab/>
      </w:r>
      <w:bookmarkStart w:id="26" w:name="lt_pId134"/>
      <w:r w:rsidRPr="005B00FB">
        <w:t>3GPP</w:t>
      </w:r>
      <w:bookmarkEnd w:id="26"/>
    </w:p>
    <w:p w14:paraId="39C79AF2" w14:textId="77777777" w:rsidR="00824532" w:rsidRPr="001F734B" w:rsidRDefault="00824532" w:rsidP="00824532">
      <w:pPr>
        <w:pStyle w:val="enumlev1"/>
      </w:pPr>
      <w:r w:rsidRPr="001F734B">
        <w:t>•</w:t>
      </w:r>
      <w:r w:rsidRPr="001F734B">
        <w:tab/>
      </w:r>
      <w:bookmarkStart w:id="27" w:name="lt_pId136"/>
      <w:r w:rsidRPr="001F734B">
        <w:t>NGMN</w:t>
      </w:r>
      <w:bookmarkEnd w:id="27"/>
    </w:p>
    <w:p w14:paraId="7F1DBD9C" w14:textId="77777777" w:rsidR="00DD5E39" w:rsidRDefault="00824532" w:rsidP="00DD5E39">
      <w:pPr>
        <w:pStyle w:val="enumlev1"/>
      </w:pPr>
      <w:r w:rsidRPr="001F734B">
        <w:t>•</w:t>
      </w:r>
      <w:r w:rsidRPr="001F734B">
        <w:tab/>
        <w:t>IETF</w:t>
      </w:r>
    </w:p>
    <w:p w14:paraId="14EF3E06" w14:textId="69959194" w:rsidR="00DD5E39" w:rsidRPr="001F734B" w:rsidRDefault="00DD5E39" w:rsidP="00C20841">
      <w:pPr>
        <w:pStyle w:val="enumlev1"/>
        <w:numPr>
          <w:ilvl w:val="0"/>
          <w:numId w:val="6"/>
        </w:numPr>
        <w:tabs>
          <w:tab w:val="clear" w:pos="794"/>
          <w:tab w:val="left" w:pos="900"/>
        </w:tabs>
        <w:ind w:hanging="720"/>
      </w:pPr>
      <w:r>
        <w:rPr>
          <w:rFonts w:cstheme="minorHAnsi"/>
          <w:color w:val="000000" w:themeColor="text1"/>
          <w:szCs w:val="24"/>
          <w:lang w:eastAsia="fr-FR"/>
        </w:rPr>
        <w:t xml:space="preserve"> </w:t>
      </w:r>
      <w:r w:rsidRPr="00820F74">
        <w:rPr>
          <w:rFonts w:cstheme="minorHAnsi"/>
          <w:color w:val="000000" w:themeColor="text1"/>
          <w:szCs w:val="24"/>
          <w:lang w:eastAsia="fr-FR"/>
        </w:rPr>
        <w:t xml:space="preserve">ETSI </w:t>
      </w:r>
    </w:p>
    <w:p w14:paraId="388FC588" w14:textId="2F087C76" w:rsidR="00824532" w:rsidRPr="00670BE9" w:rsidRDefault="00824532" w:rsidP="00670B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bookmarkStart w:id="28" w:name="lt_pId194"/>
      <w:r w:rsidRPr="00670BE9">
        <w:rPr>
          <w:b/>
          <w:bCs/>
        </w:rPr>
        <w:t>Not</w:t>
      </w:r>
      <w:r w:rsidR="00670BE9" w:rsidRPr="00670BE9">
        <w:rPr>
          <w:b/>
          <w:bCs/>
        </w:rPr>
        <w:t>a</w:t>
      </w:r>
      <w:r w:rsidRPr="00670BE9">
        <w:t>:</w:t>
      </w:r>
      <w:bookmarkEnd w:id="28"/>
      <w:r w:rsidRPr="00670BE9">
        <w:t xml:space="preserve"> </w:t>
      </w:r>
      <w:bookmarkStart w:id="29" w:name="lt_pId196"/>
      <w:r w:rsidR="00377609" w:rsidRPr="00377609">
        <w:t xml:space="preserve">La revisión de la Cuestión 20/13 se inició </w:t>
      </w:r>
      <w:r w:rsidR="00377609">
        <w:t>durante</w:t>
      </w:r>
      <w:r w:rsidR="00377609" w:rsidRPr="00377609">
        <w:t xml:space="preserve"> la reunión de la CE</w:t>
      </w:r>
      <w:r w:rsidR="00A66014">
        <w:t> </w:t>
      </w:r>
      <w:r w:rsidR="00377609" w:rsidRPr="00377609">
        <w:t>13 de octubre de 2019</w:t>
      </w:r>
      <w:r w:rsidR="00377609">
        <w:t>,</w:t>
      </w:r>
      <w:r w:rsidR="00377609" w:rsidRPr="00377609">
        <w:t xml:space="preserve"> con el fin de aumentar la visibilidad de gran parte del trabajo real en esta Cuestión dedicado al aprendizaje automático y al inicio de la inteligencia artificial aplicada a las redes. Además, esta Cuestión es una de las principales receptoras del trabajo del FG ML5G</w:t>
      </w:r>
      <w:r w:rsidRPr="00670BE9">
        <w:t>.</w:t>
      </w:r>
      <w:bookmarkEnd w:id="29"/>
    </w:p>
    <w:p w14:paraId="7E99BA09" w14:textId="08E4E330" w:rsidR="00EA1935" w:rsidRPr="00670BE9" w:rsidRDefault="00EA19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3E8D7D1F" w14:textId="77777777" w:rsidR="00824532" w:rsidRDefault="00015504" w:rsidP="00015504">
      <w:pPr>
        <w:jc w:val="center"/>
      </w:pPr>
      <w:r w:rsidRPr="006C5736">
        <w:t>______________</w:t>
      </w:r>
    </w:p>
    <w:sectPr w:rsidR="00824532" w:rsidSect="00B87E9E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BD0E9" w14:textId="77777777" w:rsidR="001C0DE1" w:rsidRDefault="001C0DE1">
      <w:r>
        <w:separator/>
      </w:r>
    </w:p>
  </w:endnote>
  <w:endnote w:type="continuationSeparator" w:id="0">
    <w:p w14:paraId="0CC74F23" w14:textId="77777777" w:rsidR="001C0DE1" w:rsidRDefault="001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FA4C" w14:textId="77777777" w:rsidR="0014464D" w:rsidRPr="001C0DE1" w:rsidRDefault="0014464D" w:rsidP="00FC416A">
    <w:pPr>
      <w:pStyle w:val="FirstFooter"/>
      <w:ind w:left="-397" w:right="-397"/>
      <w:jc w:val="center"/>
      <w:rPr>
        <w:szCs w:val="18"/>
      </w:rPr>
    </w:pPr>
    <w:r w:rsidRPr="001C0DE1">
      <w:rPr>
        <w:szCs w:val="18"/>
      </w:rPr>
      <w:t xml:space="preserve">Unión Internacional de Telecomunicaciones • Place des </w:t>
    </w:r>
    <w:proofErr w:type="spellStart"/>
    <w:r w:rsidRPr="001C0DE1">
      <w:rPr>
        <w:szCs w:val="18"/>
      </w:rPr>
      <w:t>Nations</w:t>
    </w:r>
    <w:proofErr w:type="spellEnd"/>
    <w:r w:rsidRPr="001C0DE1">
      <w:rPr>
        <w:szCs w:val="18"/>
      </w:rPr>
      <w:t>, CH</w:t>
    </w:r>
    <w:r w:rsidRPr="001C0DE1">
      <w:rPr>
        <w:szCs w:val="18"/>
      </w:rPr>
      <w:noBreakHyphen/>
      <w:t xml:space="preserve">1211 Ginebra 20, Suiza </w:t>
    </w:r>
    <w:r w:rsidRPr="001C0DE1">
      <w:rPr>
        <w:szCs w:val="18"/>
      </w:rPr>
      <w:br/>
      <w:t xml:space="preserve">Tel: +41 22 730 5111 • Fax: +41 22 733 7256 • Correo-e: </w:t>
    </w:r>
    <w:hyperlink r:id="rId1" w:history="1">
      <w:r w:rsidRPr="001C0DE1">
        <w:rPr>
          <w:rStyle w:val="Hyperlink"/>
        </w:rPr>
        <w:t>itumail@itu.int</w:t>
      </w:r>
    </w:hyperlink>
    <w:r w:rsidRPr="001C0DE1">
      <w:rPr>
        <w:szCs w:val="18"/>
      </w:rPr>
      <w:t xml:space="preserve"> • </w:t>
    </w:r>
    <w:hyperlink r:id="rId2" w:history="1">
      <w:r w:rsidRPr="001C0DE1">
        <w:rPr>
          <w:rStyle w:val="Hyperlink"/>
        </w:rPr>
        <w:t>www.itu.int</w:t>
      </w:r>
    </w:hyperlink>
    <w:r w:rsidRPr="001C0DE1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6C7C8" w14:textId="77777777" w:rsidR="001C0DE1" w:rsidRDefault="001C0DE1">
      <w:r>
        <w:t>____________________</w:t>
      </w:r>
    </w:p>
  </w:footnote>
  <w:footnote w:type="continuationSeparator" w:id="0">
    <w:p w14:paraId="3AA0C985" w14:textId="77777777" w:rsidR="001C0DE1" w:rsidRDefault="001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406C2" w14:textId="3CE39EA8" w:rsidR="006969B4" w:rsidRDefault="00AD5214" w:rsidP="00AD5214">
    <w:pPr>
      <w:spacing w:before="0"/>
      <w:jc w:val="center"/>
      <w:rPr>
        <w:rFonts w:ascii="Calibri" w:hAnsi="Calibri"/>
        <w:noProof/>
        <w:sz w:val="18"/>
        <w:lang w:val="en-GB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F14E30">
      <w:rPr>
        <w:rStyle w:val="PageNumber"/>
        <w:noProof/>
        <w:sz w:val="18"/>
        <w:szCs w:val="18"/>
      </w:rPr>
      <w:t>9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>
      <w:rPr>
        <w:rStyle w:val="PageNumber"/>
        <w:sz w:val="18"/>
        <w:szCs w:val="18"/>
      </w:rPr>
      <w:br/>
    </w: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377609">
      <w:rPr>
        <w:rFonts w:ascii="Calibri" w:hAnsi="Calibri"/>
        <w:noProof/>
        <w:sz w:val="18"/>
        <w:lang w:val="en-GB"/>
      </w:rPr>
      <w:t>235</w:t>
    </w:r>
  </w:p>
  <w:p w14:paraId="034A69CD" w14:textId="77777777" w:rsidR="004E1D07" w:rsidRPr="00AD5214" w:rsidRDefault="004E1D07" w:rsidP="00AD5214">
    <w:pPr>
      <w:spacing w:before="0"/>
      <w:jc w:val="center"/>
      <w:rPr>
        <w:rFonts w:ascii="Calibri" w:hAnsi="Calibri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F2348"/>
    <w:multiLevelType w:val="hybridMultilevel"/>
    <w:tmpl w:val="5878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363FC"/>
    <w:multiLevelType w:val="multilevel"/>
    <w:tmpl w:val="25D262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E1"/>
    <w:rsid w:val="00002529"/>
    <w:rsid w:val="00015504"/>
    <w:rsid w:val="00016B5D"/>
    <w:rsid w:val="0004336E"/>
    <w:rsid w:val="00085662"/>
    <w:rsid w:val="000A4079"/>
    <w:rsid w:val="000C382F"/>
    <w:rsid w:val="00104332"/>
    <w:rsid w:val="001173CC"/>
    <w:rsid w:val="0014464D"/>
    <w:rsid w:val="001773CD"/>
    <w:rsid w:val="001A54CC"/>
    <w:rsid w:val="001C0D42"/>
    <w:rsid w:val="001C0DE1"/>
    <w:rsid w:val="001F734B"/>
    <w:rsid w:val="00257FB4"/>
    <w:rsid w:val="002E496E"/>
    <w:rsid w:val="00303D62"/>
    <w:rsid w:val="00335367"/>
    <w:rsid w:val="00370C2D"/>
    <w:rsid w:val="00377609"/>
    <w:rsid w:val="003A63A4"/>
    <w:rsid w:val="003B73C1"/>
    <w:rsid w:val="003D1E8D"/>
    <w:rsid w:val="003D673B"/>
    <w:rsid w:val="003F2855"/>
    <w:rsid w:val="00401C20"/>
    <w:rsid w:val="004A7957"/>
    <w:rsid w:val="004C4144"/>
    <w:rsid w:val="004E1D07"/>
    <w:rsid w:val="004F21E4"/>
    <w:rsid w:val="00585704"/>
    <w:rsid w:val="00670BE9"/>
    <w:rsid w:val="006969B4"/>
    <w:rsid w:val="006E4F7B"/>
    <w:rsid w:val="00731478"/>
    <w:rsid w:val="00775F87"/>
    <w:rsid w:val="00781E2A"/>
    <w:rsid w:val="007933A2"/>
    <w:rsid w:val="007A3E95"/>
    <w:rsid w:val="007A6176"/>
    <w:rsid w:val="007C064E"/>
    <w:rsid w:val="007C169C"/>
    <w:rsid w:val="007E0501"/>
    <w:rsid w:val="00814503"/>
    <w:rsid w:val="008238A9"/>
    <w:rsid w:val="00824532"/>
    <w:rsid w:val="008258C2"/>
    <w:rsid w:val="008505BD"/>
    <w:rsid w:val="00850C78"/>
    <w:rsid w:val="00884D12"/>
    <w:rsid w:val="008A0C53"/>
    <w:rsid w:val="008C17AD"/>
    <w:rsid w:val="008D02CD"/>
    <w:rsid w:val="008E1A51"/>
    <w:rsid w:val="0091370C"/>
    <w:rsid w:val="009431F0"/>
    <w:rsid w:val="0095172A"/>
    <w:rsid w:val="00957C1B"/>
    <w:rsid w:val="009A0BA0"/>
    <w:rsid w:val="00A54E47"/>
    <w:rsid w:val="00A66014"/>
    <w:rsid w:val="00A925E2"/>
    <w:rsid w:val="00AB1D87"/>
    <w:rsid w:val="00AB6E3A"/>
    <w:rsid w:val="00AD5214"/>
    <w:rsid w:val="00AE7093"/>
    <w:rsid w:val="00B422BC"/>
    <w:rsid w:val="00B42725"/>
    <w:rsid w:val="00B43F77"/>
    <w:rsid w:val="00B55A3E"/>
    <w:rsid w:val="00B87E9E"/>
    <w:rsid w:val="00B95F0A"/>
    <w:rsid w:val="00B96180"/>
    <w:rsid w:val="00C0474A"/>
    <w:rsid w:val="00C116FE"/>
    <w:rsid w:val="00C17AC0"/>
    <w:rsid w:val="00C20841"/>
    <w:rsid w:val="00C24322"/>
    <w:rsid w:val="00C34772"/>
    <w:rsid w:val="00C44D21"/>
    <w:rsid w:val="00C5465A"/>
    <w:rsid w:val="00CB3E31"/>
    <w:rsid w:val="00D12EA0"/>
    <w:rsid w:val="00D2247B"/>
    <w:rsid w:val="00D3072C"/>
    <w:rsid w:val="00D54642"/>
    <w:rsid w:val="00DD5E39"/>
    <w:rsid w:val="00DD77C9"/>
    <w:rsid w:val="00DF3538"/>
    <w:rsid w:val="00E839B0"/>
    <w:rsid w:val="00E92C09"/>
    <w:rsid w:val="00EA1935"/>
    <w:rsid w:val="00EE0991"/>
    <w:rsid w:val="00F14380"/>
    <w:rsid w:val="00F14E30"/>
    <w:rsid w:val="00F455D8"/>
    <w:rsid w:val="00F6461F"/>
    <w:rsid w:val="00F709CD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DD5ADBB"/>
  <w15:docId w15:val="{956B2BF6-0B45-4820-B02C-796493F7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link w:val="HeadingbChar"/>
    <w:qFormat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EA1935"/>
    <w:rPr>
      <w:rFonts w:asciiTheme="minorHAnsi" w:hAnsiTheme="minorHAns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EA1935"/>
    <w:rPr>
      <w:rFonts w:asciiTheme="minorHAnsi" w:hAnsiTheme="minorHAnsi"/>
      <w:b/>
      <w:sz w:val="24"/>
      <w:lang w:val="es-ES_tradnl" w:eastAsia="en-US"/>
    </w:rPr>
  </w:style>
  <w:style w:type="paragraph" w:customStyle="1" w:styleId="Questionhistory">
    <w:name w:val="Question_history"/>
    <w:basedOn w:val="Normal"/>
    <w:rsid w:val="00EA193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/>
      <w:lang w:val="en-GB"/>
    </w:rPr>
  </w:style>
  <w:style w:type="character" w:customStyle="1" w:styleId="HeadingbChar">
    <w:name w:val="Heading_b Char"/>
    <w:link w:val="Headingb0"/>
    <w:locked/>
    <w:rsid w:val="00EA1935"/>
    <w:rPr>
      <w:rFonts w:asciiTheme="minorHAnsi" w:hAnsiTheme="minorHAnsi"/>
      <w:b/>
      <w:sz w:val="24"/>
      <w:lang w:val="es-ES_tradnl" w:eastAsia="en-US"/>
    </w:rPr>
  </w:style>
  <w:style w:type="character" w:customStyle="1" w:styleId="enumlev1Char">
    <w:name w:val="enumlev1 Char"/>
    <w:link w:val="enumlev1"/>
    <w:rsid w:val="00EA1935"/>
    <w:rPr>
      <w:rFonts w:asciiTheme="minorHAnsi" w:hAnsiTheme="minorHAnsi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8245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semiHidden/>
    <w:unhideWhenUsed/>
    <w:rsid w:val="009431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31F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31F0"/>
    <w:rPr>
      <w:rFonts w:asciiTheme="minorHAnsi" w:hAnsiTheme="minorHAns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3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31F0"/>
    <w:rPr>
      <w:rFonts w:asciiTheme="minorHAnsi" w:hAnsiTheme="minorHAnsi"/>
      <w:b/>
      <w:bCs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9431F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431F0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workprog/wp_search.aspx?sg=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66DC-6F39-482F-8183-57751B8F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17</TotalTime>
  <Pages>3</Pages>
  <Words>1029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6767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14</cp:revision>
  <cp:lastPrinted>2018-01-29T17:16:00Z</cp:lastPrinted>
  <dcterms:created xsi:type="dcterms:W3CDTF">2020-03-05T11:19:00Z</dcterms:created>
  <dcterms:modified xsi:type="dcterms:W3CDTF">2020-03-23T10:13:00Z</dcterms:modified>
</cp:coreProperties>
</file>