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A24768" w14:paraId="436066D0" w14:textId="77777777" w:rsidTr="000A43A3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0D8080FF" w14:textId="77777777" w:rsidR="00036F4F" w:rsidRPr="00A24768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24768">
              <w:rPr>
                <w:noProof/>
                <w:lang w:val="en-US"/>
              </w:rPr>
              <w:drawing>
                <wp:inline distT="0" distB="0" distL="0" distR="0" wp14:anchorId="1D36891C" wp14:editId="5036BC6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5E1762E" w14:textId="77777777" w:rsidR="00036F4F" w:rsidRPr="00A24768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247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57F7764" w14:textId="77777777" w:rsidR="00036F4F" w:rsidRPr="00A24768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247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247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0613DF0B" w14:textId="77777777" w:rsidR="00036F4F" w:rsidRPr="00A24768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A24768" w14:paraId="1D889568" w14:textId="77777777" w:rsidTr="000A43A3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64550DC8" w14:textId="77777777" w:rsidR="00036F4F" w:rsidRPr="00A24768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2DFE91CA" w14:textId="77777777" w:rsidR="00036F4F" w:rsidRPr="00A2476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1A2BCDF3" w14:textId="3551EEAA" w:rsidR="00036F4F" w:rsidRPr="00A24768" w:rsidRDefault="00036F4F" w:rsidP="00A410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240"/>
              <w:ind w:left="288" w:hanging="230"/>
            </w:pPr>
            <w:r w:rsidRPr="00A24768">
              <w:t>Genève, le</w:t>
            </w:r>
            <w:r w:rsidR="000C100D" w:rsidRPr="00A24768">
              <w:t xml:space="preserve"> 24 mars 2020</w:t>
            </w:r>
          </w:p>
        </w:tc>
      </w:tr>
      <w:tr w:rsidR="00036F4F" w:rsidRPr="00A24768" w14:paraId="6F0FF19F" w14:textId="77777777" w:rsidTr="000A43A3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1BD87E1E" w14:textId="77777777" w:rsidR="00036F4F" w:rsidRPr="00A2476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A24768">
              <w:rPr>
                <w:b/>
                <w:bCs/>
              </w:rPr>
              <w:t>Réf.:</w:t>
            </w:r>
          </w:p>
          <w:p w14:paraId="5B6AF560" w14:textId="77777777" w:rsidR="00036F4F" w:rsidRPr="00A24768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92" w:type="dxa"/>
            <w:gridSpan w:val="3"/>
          </w:tcPr>
          <w:p w14:paraId="315451B9" w14:textId="396ED02B" w:rsidR="00036F4F" w:rsidRPr="00A2476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A24768">
              <w:rPr>
                <w:b/>
              </w:rPr>
              <w:t xml:space="preserve">Circulaire TSB </w:t>
            </w:r>
            <w:r w:rsidR="000C100D" w:rsidRPr="00A24768">
              <w:rPr>
                <w:b/>
              </w:rPr>
              <w:t>239</w:t>
            </w:r>
          </w:p>
          <w:p w14:paraId="0ACFE4A0" w14:textId="734A02A6" w:rsidR="00036F4F" w:rsidRPr="00A24768" w:rsidRDefault="000C100D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A24768">
              <w:t>CE 11/DA</w:t>
            </w:r>
          </w:p>
        </w:tc>
        <w:tc>
          <w:tcPr>
            <w:tcW w:w="5046" w:type="dxa"/>
            <w:gridSpan w:val="3"/>
            <w:vMerge w:val="restart"/>
          </w:tcPr>
          <w:p w14:paraId="64828D5D" w14:textId="67BB17CB" w:rsidR="00036F4F" w:rsidRPr="00A24768" w:rsidRDefault="00036F4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A24768">
              <w:t>-</w:t>
            </w:r>
            <w:r w:rsidRPr="00A24768">
              <w:tab/>
              <w:t xml:space="preserve">Aux </w:t>
            </w:r>
            <w:r w:rsidR="000A43A3">
              <w:t>A</w:t>
            </w:r>
            <w:r w:rsidRPr="00A24768">
              <w:t xml:space="preserve">dministrations des </w:t>
            </w:r>
            <w:r w:rsidR="000C100D" w:rsidRPr="00A24768">
              <w:t>États</w:t>
            </w:r>
            <w:r w:rsidRPr="00A24768">
              <w:t xml:space="preserve"> Membres de l'Union</w:t>
            </w:r>
            <w:r w:rsidR="000C100D" w:rsidRPr="00A24768">
              <w:t>;</w:t>
            </w:r>
          </w:p>
          <w:p w14:paraId="31C3BE40" w14:textId="77777777" w:rsidR="000C100D" w:rsidRPr="00A24768" w:rsidRDefault="000C100D" w:rsidP="000C10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Cs w:val="24"/>
              </w:rPr>
            </w:pPr>
            <w:r w:rsidRPr="00A24768">
              <w:rPr>
                <w:rFonts w:cstheme="minorHAnsi"/>
                <w:szCs w:val="24"/>
              </w:rPr>
              <w:t>-</w:t>
            </w:r>
            <w:r w:rsidRPr="00A24768">
              <w:rPr>
                <w:rFonts w:cstheme="minorHAnsi"/>
                <w:szCs w:val="24"/>
              </w:rPr>
              <w:tab/>
              <w:t>Aux Membres du Secteur UIT-T;</w:t>
            </w:r>
          </w:p>
          <w:p w14:paraId="3D667B96" w14:textId="77777777" w:rsidR="000C100D" w:rsidRPr="00A24768" w:rsidRDefault="000C100D" w:rsidP="000C10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Cs w:val="24"/>
              </w:rPr>
            </w:pPr>
            <w:r w:rsidRPr="00A24768">
              <w:rPr>
                <w:rFonts w:cstheme="minorHAnsi"/>
                <w:szCs w:val="24"/>
              </w:rPr>
              <w:t>-</w:t>
            </w:r>
            <w:r w:rsidRPr="00A24768">
              <w:rPr>
                <w:rFonts w:cstheme="minorHAnsi"/>
                <w:szCs w:val="24"/>
              </w:rPr>
              <w:tab/>
              <w:t>Aux Associés de l'UIT-T;</w:t>
            </w:r>
          </w:p>
          <w:p w14:paraId="7F760E4F" w14:textId="1EF8439E" w:rsidR="00036F4F" w:rsidRPr="00A24768" w:rsidRDefault="000C100D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24768">
              <w:rPr>
                <w:rFonts w:cstheme="minorHAnsi"/>
                <w:szCs w:val="24"/>
              </w:rPr>
              <w:t>-</w:t>
            </w:r>
            <w:r w:rsidRPr="00A24768">
              <w:rPr>
                <w:rFonts w:cstheme="minorHAnsi"/>
                <w:szCs w:val="24"/>
              </w:rPr>
              <w:tab/>
              <w:t>Aux établissements universitaires participant aux travaux de l'UIT</w:t>
            </w:r>
          </w:p>
        </w:tc>
      </w:tr>
      <w:tr w:rsidR="00036F4F" w:rsidRPr="00A24768" w14:paraId="0379B2D6" w14:textId="77777777" w:rsidTr="000A43A3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51B54397" w14:textId="77777777" w:rsidR="00036F4F" w:rsidRPr="00A2476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A24768">
              <w:rPr>
                <w:b/>
                <w:bCs/>
              </w:rPr>
              <w:t>Tél.:</w:t>
            </w:r>
          </w:p>
        </w:tc>
        <w:tc>
          <w:tcPr>
            <w:tcW w:w="3892" w:type="dxa"/>
            <w:gridSpan w:val="3"/>
          </w:tcPr>
          <w:p w14:paraId="31EEE82D" w14:textId="0423AACC" w:rsidR="00036F4F" w:rsidRPr="00A24768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A24768">
              <w:t>+41 22 730</w:t>
            </w:r>
            <w:r w:rsidR="000C100D" w:rsidRPr="00A24768">
              <w:t xml:space="preserve"> 5780</w:t>
            </w:r>
          </w:p>
        </w:tc>
        <w:tc>
          <w:tcPr>
            <w:tcW w:w="5046" w:type="dxa"/>
            <w:gridSpan w:val="3"/>
            <w:vMerge/>
          </w:tcPr>
          <w:p w14:paraId="354DC48A" w14:textId="77777777" w:rsidR="00036F4F" w:rsidRPr="00A24768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A24768" w14:paraId="1C5430EA" w14:textId="77777777" w:rsidTr="000A43A3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6ECE60E7" w14:textId="77777777" w:rsidR="00036F4F" w:rsidRPr="00A2476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A24768">
              <w:rPr>
                <w:b/>
                <w:bCs/>
              </w:rPr>
              <w:t>Fax:</w:t>
            </w:r>
          </w:p>
        </w:tc>
        <w:tc>
          <w:tcPr>
            <w:tcW w:w="3892" w:type="dxa"/>
            <w:gridSpan w:val="3"/>
          </w:tcPr>
          <w:p w14:paraId="7E6881B7" w14:textId="77777777" w:rsidR="00036F4F" w:rsidRPr="00A24768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A24768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0A4536CE" w14:textId="77777777" w:rsidR="00036F4F" w:rsidRPr="00A24768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A24768" w14:paraId="7E24B391" w14:textId="77777777" w:rsidTr="00A410E5">
        <w:trPr>
          <w:gridBefore w:val="1"/>
          <w:wBefore w:w="8" w:type="dxa"/>
          <w:cantSplit/>
          <w:trHeight w:val="2322"/>
          <w:jc w:val="center"/>
        </w:trPr>
        <w:tc>
          <w:tcPr>
            <w:tcW w:w="985" w:type="dxa"/>
          </w:tcPr>
          <w:p w14:paraId="64E53DB3" w14:textId="77777777" w:rsidR="00517A03" w:rsidRPr="00A2476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A24768">
              <w:rPr>
                <w:b/>
                <w:bCs/>
              </w:rPr>
              <w:t>E-mail:</w:t>
            </w:r>
            <w:proofErr w:type="gramEnd"/>
          </w:p>
        </w:tc>
        <w:tc>
          <w:tcPr>
            <w:tcW w:w="3892" w:type="dxa"/>
            <w:gridSpan w:val="3"/>
          </w:tcPr>
          <w:p w14:paraId="497CDAD0" w14:textId="5DF02DB8" w:rsidR="00517A03" w:rsidRPr="00A24768" w:rsidRDefault="00B16B7E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C100D" w:rsidRPr="00A24768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046" w:type="dxa"/>
            <w:gridSpan w:val="3"/>
          </w:tcPr>
          <w:p w14:paraId="55E32EC9" w14:textId="77777777" w:rsidR="00517A03" w:rsidRPr="00A24768" w:rsidRDefault="00517A03" w:rsidP="00A5280F">
            <w:pPr>
              <w:tabs>
                <w:tab w:val="left" w:pos="4111"/>
              </w:tabs>
              <w:spacing w:before="0"/>
            </w:pPr>
            <w:r w:rsidRPr="00A24768">
              <w:rPr>
                <w:b/>
              </w:rPr>
              <w:t>Copie</w:t>
            </w:r>
            <w:r w:rsidRPr="00A24768">
              <w:t>:</w:t>
            </w:r>
          </w:p>
          <w:p w14:paraId="2565D4A4" w14:textId="77777777" w:rsidR="000C100D" w:rsidRPr="00A24768" w:rsidRDefault="000C100D" w:rsidP="000C100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Cs w:val="24"/>
              </w:rPr>
            </w:pPr>
            <w:r w:rsidRPr="00A24768">
              <w:rPr>
                <w:rFonts w:cstheme="minorHAnsi"/>
                <w:szCs w:val="24"/>
              </w:rPr>
              <w:t>-</w:t>
            </w:r>
            <w:r w:rsidRPr="00A24768">
              <w:rPr>
                <w:rFonts w:cstheme="minorHAnsi"/>
                <w:szCs w:val="24"/>
              </w:rPr>
              <w:tab/>
              <w:t>Aux Présidents et Vice-Présidents des commissions d'études;</w:t>
            </w:r>
          </w:p>
          <w:p w14:paraId="4E9B5DC9" w14:textId="77777777" w:rsidR="000C100D" w:rsidRPr="00A24768" w:rsidRDefault="000C100D" w:rsidP="000C100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Cs w:val="24"/>
              </w:rPr>
            </w:pPr>
            <w:r w:rsidRPr="00A24768">
              <w:rPr>
                <w:rFonts w:cstheme="minorHAnsi"/>
                <w:szCs w:val="24"/>
              </w:rPr>
              <w:t>-</w:t>
            </w:r>
            <w:r w:rsidRPr="00A24768">
              <w:rPr>
                <w:rFonts w:cstheme="minorHAnsi"/>
                <w:szCs w:val="24"/>
              </w:rPr>
              <w:tab/>
              <w:t xml:space="preserve">À la Directrice du Bureau de développement </w:t>
            </w:r>
            <w:r w:rsidRPr="00A24768">
              <w:rPr>
                <w:rFonts w:cstheme="minorHAnsi"/>
                <w:szCs w:val="24"/>
              </w:rPr>
              <w:br/>
              <w:t>des télécommunications;</w:t>
            </w:r>
          </w:p>
          <w:p w14:paraId="3E37CF9E" w14:textId="3969C96D" w:rsidR="00517A03" w:rsidRPr="00A24768" w:rsidRDefault="000C100D" w:rsidP="000C100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24768">
              <w:rPr>
                <w:rFonts w:cstheme="minorHAnsi"/>
                <w:szCs w:val="24"/>
              </w:rPr>
              <w:t>-</w:t>
            </w:r>
            <w:r w:rsidRPr="00A24768">
              <w:rPr>
                <w:rFonts w:cstheme="minorHAnsi"/>
                <w:szCs w:val="24"/>
              </w:rPr>
              <w:tab/>
              <w:t>Au Directeur du Bureau des</w:t>
            </w:r>
            <w:r w:rsidRPr="00A24768">
              <w:rPr>
                <w:rFonts w:cstheme="minorHAnsi"/>
                <w:szCs w:val="24"/>
              </w:rPr>
              <w:br/>
              <w:t>radiocommunications</w:t>
            </w:r>
          </w:p>
        </w:tc>
      </w:tr>
      <w:tr w:rsidR="00517A03" w:rsidRPr="00A24768" w14:paraId="3526849E" w14:textId="77777777" w:rsidTr="000A43A3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6109B357" w14:textId="77777777" w:rsidR="00517A03" w:rsidRPr="00A24768" w:rsidRDefault="00517A03" w:rsidP="00935006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proofErr w:type="gramStart"/>
            <w:r w:rsidRPr="00A24768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8930" w:type="dxa"/>
            <w:gridSpan w:val="5"/>
          </w:tcPr>
          <w:p w14:paraId="4C31FF93" w14:textId="2AFBEB07" w:rsidR="00517A03" w:rsidRPr="00A24768" w:rsidRDefault="000C100D" w:rsidP="002F76A5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24768">
              <w:rPr>
                <w:b/>
                <w:bCs/>
                <w:szCs w:val="22"/>
              </w:rPr>
              <w:t>Appel concernant les cas d'utilisation liés à la lutte contre la contrefaçon d'équipements</w:t>
            </w:r>
            <w:r w:rsidR="002F76A5">
              <w:rPr>
                <w:b/>
                <w:bCs/>
                <w:szCs w:val="22"/>
              </w:rPr>
              <w:t> </w:t>
            </w:r>
            <w:r w:rsidRPr="00A24768">
              <w:rPr>
                <w:b/>
                <w:bCs/>
                <w:szCs w:val="22"/>
              </w:rPr>
              <w:t>TIC et le vol de dispositifs mobiles</w:t>
            </w:r>
          </w:p>
        </w:tc>
      </w:tr>
      <w:tr w:rsidR="000C100D" w:rsidRPr="00A24768" w14:paraId="545FBD14" w14:textId="77777777" w:rsidTr="000A43A3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6D1EC731" w14:textId="7AC4DC1E" w:rsidR="000C100D" w:rsidRPr="00A24768" w:rsidRDefault="000C100D" w:rsidP="000C100D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A24768">
              <w:rPr>
                <w:b/>
                <w:bCs/>
              </w:rPr>
              <w:t>Suite à donner:</w:t>
            </w:r>
          </w:p>
        </w:tc>
        <w:tc>
          <w:tcPr>
            <w:tcW w:w="8930" w:type="dxa"/>
            <w:gridSpan w:val="5"/>
          </w:tcPr>
          <w:p w14:paraId="50CC9AE9" w14:textId="6E837BB1" w:rsidR="000C100D" w:rsidRPr="00A24768" w:rsidRDefault="000C100D" w:rsidP="000C100D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A24768">
              <w:rPr>
                <w:b/>
                <w:bCs/>
              </w:rPr>
              <w:t>Les membres de l'UIT sont invités à répondre au questio</w:t>
            </w:r>
            <w:r w:rsidR="002F76A5">
              <w:rPr>
                <w:b/>
                <w:bCs/>
              </w:rPr>
              <w:t>nnaire et à le renvoyer au plus </w:t>
            </w:r>
            <w:r w:rsidRPr="00A24768">
              <w:rPr>
                <w:b/>
                <w:bCs/>
              </w:rPr>
              <w:t xml:space="preserve">tard le 30 juin 2020 </w:t>
            </w:r>
          </w:p>
        </w:tc>
      </w:tr>
    </w:tbl>
    <w:p w14:paraId="21BA6F8D" w14:textId="77777777" w:rsidR="00517A03" w:rsidRPr="00A24768" w:rsidRDefault="00517A03" w:rsidP="00935006">
      <w:pPr>
        <w:spacing w:before="360"/>
      </w:pPr>
      <w:bookmarkStart w:id="1" w:name="StartTyping_F"/>
      <w:bookmarkEnd w:id="1"/>
      <w:r w:rsidRPr="00A24768">
        <w:t>Madame, Monsieur,</w:t>
      </w:r>
    </w:p>
    <w:p w14:paraId="1E1D17F6" w14:textId="77777777" w:rsidR="000C100D" w:rsidRPr="000C100D" w:rsidRDefault="000C100D" w:rsidP="000C100D">
      <w:pPr>
        <w:rPr>
          <w:i/>
          <w:iCs/>
        </w:rPr>
      </w:pPr>
      <w:bookmarkStart w:id="2" w:name="lt_pId050"/>
      <w:r w:rsidRPr="000C100D">
        <w:t xml:space="preserve">À sa dernière réunion, qui s'est tenue du 4 au 13 mars 2020 à Genève (Suisse), la Commission d'études 11 de l'UIT-T a décidé de lancer un </w:t>
      </w:r>
      <w:r w:rsidRPr="000C100D">
        <w:rPr>
          <w:i/>
          <w:iCs/>
        </w:rPr>
        <w:t>appel concernant les cas d'utilisation liés à la lutte contre la contrefaçon d'équipements TIC et le vol de dispositifs mobiles.</w:t>
      </w:r>
      <w:bookmarkEnd w:id="2"/>
    </w:p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C100D" w:rsidRPr="000C100D" w14:paraId="243A5746" w14:textId="77777777" w:rsidTr="00674B42">
        <w:trPr>
          <w:cantSplit/>
          <w:trHeight w:val="618"/>
        </w:trPr>
        <w:tc>
          <w:tcPr>
            <w:tcW w:w="9781" w:type="dxa"/>
          </w:tcPr>
          <w:p w14:paraId="5D2D0C36" w14:textId="77777777" w:rsidR="000C100D" w:rsidRPr="000C100D" w:rsidRDefault="000C100D" w:rsidP="000C100D"/>
        </w:tc>
      </w:tr>
    </w:tbl>
    <w:p w14:paraId="6D32E23B" w14:textId="0C79AEDD" w:rsidR="000C100D" w:rsidRPr="000C100D" w:rsidRDefault="000C100D" w:rsidP="000C100D">
      <w:bookmarkStart w:id="3" w:name="lt_pId051"/>
      <w:bookmarkStart w:id="4" w:name="_Hlk35623453"/>
      <w:r w:rsidRPr="000C100D">
        <w:t>Les membres de l'UIT sont invités à faire part de leur</w:t>
      </w:r>
      <w:r w:rsidRPr="00A24768">
        <w:t xml:space="preserve"> </w:t>
      </w:r>
      <w:r w:rsidRPr="000C100D">
        <w:t>expérience concernant les difficultés rencontrées, les possibilités recensées et les résultats obtenus dans la lutte contre la contrefaçon d'équipements TIC et le vol de dispositifs mobiles, et à donner des informations sur les cas d'utilisation qui sont ou seront mis en œuvre conformément aux Recommandations UIT-T de la série Q.5050.</w:t>
      </w:r>
    </w:p>
    <w:p w14:paraId="541DEE6A" w14:textId="06441EF6" w:rsidR="000C100D" w:rsidRPr="000C100D" w:rsidRDefault="000C100D" w:rsidP="000C100D">
      <w:bookmarkStart w:id="5" w:name="lt_pId052"/>
      <w:bookmarkEnd w:id="3"/>
      <w:r w:rsidRPr="000C100D">
        <w:t>Les résultats de cet appel seront utilisés pour faire avancer les travaux relatifs au sujet d'étude "Supplément UIT-T Q.Sup.CFS-Use-Cases" qui sont actuellement menés par la Commission d'études</w:t>
      </w:r>
      <w:r w:rsidR="0053335D">
        <w:t> </w:t>
      </w:r>
      <w:r w:rsidRPr="000C100D">
        <w:t>11 de l'UIT-T au titre de la Question 15/11. Le présent document vise à renforcer la mobilisation pour traiter les questions liées à la contrefaçon d'équipements TIC et au vol de dispositifs mobiles et à proposer des mesures de prévention et des solutions possibles pour résoudre ces questions</w:t>
      </w:r>
      <w:bookmarkEnd w:id="5"/>
      <w:r w:rsidRPr="000C100D">
        <w:t>.</w:t>
      </w:r>
    </w:p>
    <w:p w14:paraId="1B503173" w14:textId="67C50A2F" w:rsidR="000C100D" w:rsidRPr="000C100D" w:rsidRDefault="000C100D" w:rsidP="000C100D">
      <w:bookmarkStart w:id="6" w:name="lt_pId054"/>
      <w:bookmarkEnd w:id="4"/>
      <w:r w:rsidRPr="000C100D">
        <w:t>À cet égard, je vous encourage à faire part de votre expérience en répondant au questionnaire figurant dans l'</w:t>
      </w:r>
      <w:r w:rsidRPr="000C100D">
        <w:rPr>
          <w:b/>
          <w:bCs/>
        </w:rPr>
        <w:t>Annexe</w:t>
      </w:r>
      <w:r w:rsidRPr="000C100D">
        <w:t xml:space="preserve"> et en le renvoyant à la Commission d'études 11 de l'UIT-T (</w:t>
      </w:r>
      <w:hyperlink r:id="rId10" w:history="1">
        <w:r w:rsidRPr="000C100D">
          <w:rPr>
            <w:rStyle w:val="Hyperlink"/>
          </w:rPr>
          <w:t>tsbsg11@itu.int</w:t>
        </w:r>
      </w:hyperlink>
      <w:r w:rsidRPr="000C100D">
        <w:t>) avant le 30 juin 2020 (23</w:t>
      </w:r>
      <w:r w:rsidRPr="00A24768">
        <w:t xml:space="preserve"> </w:t>
      </w:r>
      <w:r w:rsidRPr="000C100D">
        <w:t>h</w:t>
      </w:r>
      <w:r w:rsidRPr="00A24768">
        <w:t xml:space="preserve"> </w:t>
      </w:r>
      <w:r w:rsidRPr="000C100D">
        <w:t>59, heure de Genève).</w:t>
      </w:r>
      <w:bookmarkEnd w:id="6"/>
    </w:p>
    <w:p w14:paraId="6E85D38E" w14:textId="2DE8EA71" w:rsidR="000C100D" w:rsidRPr="000C100D" w:rsidRDefault="000C100D" w:rsidP="000C100D">
      <w:pPr>
        <w:keepNext/>
        <w:keepLines/>
        <w:rPr>
          <w:bCs/>
        </w:rPr>
      </w:pPr>
      <w:r w:rsidRPr="000C100D">
        <w:lastRenderedPageBreak/>
        <w:t>Je vous remercie</w:t>
      </w:r>
      <w:r w:rsidRPr="00A24768">
        <w:t xml:space="preserve"> </w:t>
      </w:r>
      <w:r w:rsidRPr="000C100D">
        <w:t>d</w:t>
      </w:r>
      <w:r w:rsidRPr="00A24768">
        <w:t>'</w:t>
      </w:r>
      <w:r w:rsidRPr="000C100D">
        <w:t>avance</w:t>
      </w:r>
      <w:r w:rsidRPr="00A24768">
        <w:t xml:space="preserve"> </w:t>
      </w:r>
      <w:r w:rsidRPr="000C100D">
        <w:t>pour les</w:t>
      </w:r>
      <w:r w:rsidRPr="00A24768">
        <w:t xml:space="preserve"> </w:t>
      </w:r>
      <w:r w:rsidRPr="000C100D">
        <w:t>informations utiles</w:t>
      </w:r>
      <w:r w:rsidRPr="00A24768">
        <w:t xml:space="preserve"> </w:t>
      </w:r>
      <w:r w:rsidRPr="000C100D">
        <w:t>que vous voudrez bien nous communiquer</w:t>
      </w:r>
      <w:r w:rsidRPr="000C100D">
        <w:rPr>
          <w:bCs/>
        </w:rPr>
        <w:t>.</w:t>
      </w:r>
    </w:p>
    <w:p w14:paraId="1BDF6C2A" w14:textId="0202CC2A" w:rsidR="00BD6ECF" w:rsidRPr="00A24768" w:rsidRDefault="000C100D" w:rsidP="000C100D">
      <w:pPr>
        <w:keepNext/>
        <w:keepLines/>
      </w:pPr>
      <w:r w:rsidRPr="00A24768">
        <w:rPr>
          <w:bCs/>
        </w:rPr>
        <w:t>Veuillez agréer, Madame, Monsieur, l'assurance de ma considération distinguée.</w:t>
      </w:r>
    </w:p>
    <w:p w14:paraId="2BA61313" w14:textId="405F2347" w:rsidR="00517A03" w:rsidRPr="00A24768" w:rsidRDefault="00B16B7E" w:rsidP="00A410E5">
      <w:pPr>
        <w:keepNext/>
        <w:keepLines/>
        <w:spacing w:before="960"/>
        <w:ind w:right="-288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6400838C" wp14:editId="14277CB0">
            <wp:simplePos x="0" y="0"/>
            <wp:positionH relativeFrom="column">
              <wp:posOffset>4448</wp:posOffset>
            </wp:positionH>
            <wp:positionV relativeFrom="paragraph">
              <wp:posOffset>142875</wp:posOffset>
            </wp:positionV>
            <wp:extent cx="638175" cy="478633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78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A24768">
        <w:t>Chaesub Lee</w:t>
      </w:r>
      <w:bookmarkStart w:id="7" w:name="_GoBack"/>
      <w:bookmarkEnd w:id="7"/>
      <w:r w:rsidR="00036F4F" w:rsidRPr="00A24768">
        <w:br/>
        <w:t xml:space="preserve">Directeur du Bureau de la normalisation </w:t>
      </w:r>
      <w:r w:rsidR="00036F4F" w:rsidRPr="00A24768">
        <w:br/>
        <w:t>des télécommunications</w:t>
      </w:r>
    </w:p>
    <w:p w14:paraId="5B77DE5F" w14:textId="1F0E99B9" w:rsidR="000C100D" w:rsidRPr="007F029C" w:rsidRDefault="000C100D" w:rsidP="000C100D">
      <w:pPr>
        <w:keepNext/>
        <w:keepLines/>
        <w:spacing w:before="3000"/>
        <w:ind w:right="-284"/>
      </w:pPr>
      <w:proofErr w:type="gramStart"/>
      <w:r w:rsidRPr="007F029C">
        <w:t>Annexe:</w:t>
      </w:r>
      <w:proofErr w:type="gramEnd"/>
      <w:r w:rsidRPr="007F029C">
        <w:t xml:space="preserve"> 1</w:t>
      </w:r>
    </w:p>
    <w:p w14:paraId="0E2C0B5A" w14:textId="4ABC3790" w:rsidR="000C100D" w:rsidRPr="00A24768" w:rsidRDefault="000C10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24768">
        <w:br w:type="page"/>
      </w:r>
    </w:p>
    <w:p w14:paraId="29FF18B8" w14:textId="77777777" w:rsidR="000C100D" w:rsidRPr="00A24768" w:rsidRDefault="000C100D" w:rsidP="000C100D">
      <w:pPr>
        <w:pStyle w:val="AnnexTitle"/>
      </w:pPr>
      <w:r w:rsidRPr="00A24768">
        <w:lastRenderedPageBreak/>
        <w:t>ANNEXE</w:t>
      </w:r>
    </w:p>
    <w:p w14:paraId="2AE0CD4A" w14:textId="22CCAAC3" w:rsidR="000C100D" w:rsidRPr="00A24768" w:rsidRDefault="000C100D" w:rsidP="00935006">
      <w:pPr>
        <w:pStyle w:val="AnnexTitle"/>
        <w:spacing w:after="120"/>
      </w:pPr>
      <w:r w:rsidRPr="00A24768">
        <w:t xml:space="preserve">Appel concernant les cas d'utilisation liés à la lutte contre la contrefaçon </w:t>
      </w:r>
      <w:r w:rsidRPr="00A24768">
        <w:br/>
        <w:t>d'équipements TIC et le vol de dispositifs mobiles</w:t>
      </w:r>
      <w:r w:rsidR="00935006">
        <w:br/>
      </w:r>
      <w:r w:rsidRPr="00A24768">
        <w:t>(Modèle)</w:t>
      </w:r>
    </w:p>
    <w:p w14:paraId="0D304C34" w14:textId="238BFBD9" w:rsidR="000C100D" w:rsidRPr="00A24768" w:rsidRDefault="000C100D" w:rsidP="00935006">
      <w:pPr>
        <w:spacing w:before="480"/>
      </w:pPr>
      <w:r w:rsidRPr="00A24768">
        <w:t>Il est recommandé de fournir des informations sur les éléments ci-dessous, chaque fois qu'il y a lieu.</w:t>
      </w:r>
    </w:p>
    <w:p w14:paraId="10E822D6" w14:textId="3514F345" w:rsidR="000C100D" w:rsidRPr="00A24768" w:rsidRDefault="000C100D" w:rsidP="000C100D">
      <w:pPr>
        <w:pStyle w:val="enumlev1"/>
      </w:pPr>
      <w:r w:rsidRPr="00A24768">
        <w:t>1)</w:t>
      </w:r>
      <w:r w:rsidRPr="00A24768">
        <w:tab/>
        <w:t>Informations générales sur le cas d'utilisation</w:t>
      </w:r>
    </w:p>
    <w:p w14:paraId="348D2B35" w14:textId="33B874CC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1.1</w:t>
      </w:r>
      <w:r w:rsidR="000C100D" w:rsidRPr="00A24768">
        <w:tab/>
        <w:t>Titre du cas d'utilisation</w:t>
      </w:r>
    </w:p>
    <w:p w14:paraId="26BF6453" w14:textId="7F5E9B70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1.2</w:t>
      </w:r>
      <w:r w:rsidR="000C100D" w:rsidRPr="00A24768">
        <w:tab/>
        <w:t>Lieu où le cas d'utilisation est mis en œuvre (cas d'utilisation national et/ou privé)</w:t>
      </w:r>
    </w:p>
    <w:p w14:paraId="1778965A" w14:textId="1F6031A7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1.3</w:t>
      </w:r>
      <w:r w:rsidR="000C100D" w:rsidRPr="00A24768">
        <w:tab/>
        <w:t>Date de la mise en œuvre du cas d'utilisation (mois/année)</w:t>
      </w:r>
    </w:p>
    <w:p w14:paraId="082CB824" w14:textId="36BEF14D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1.4</w:t>
      </w:r>
      <w:r w:rsidR="000C100D" w:rsidRPr="00A24768">
        <w:tab/>
        <w:t>Origine (membre de l'UIT)</w:t>
      </w:r>
    </w:p>
    <w:p w14:paraId="36A0EE75" w14:textId="03ECD95B" w:rsidR="000C100D" w:rsidRPr="00A24768" w:rsidRDefault="000C100D" w:rsidP="000C100D">
      <w:pPr>
        <w:pStyle w:val="enumlev1"/>
      </w:pPr>
      <w:r w:rsidRPr="00A24768">
        <w:t>2)</w:t>
      </w:r>
      <w:r w:rsidRPr="00A24768">
        <w:tab/>
        <w:t>Portée du cas d'utilisation (préciser le problème concerné, par exemple la contrefaçon, le vol, l'altération volontaire et/ou le clonage de dispositifs)</w:t>
      </w:r>
    </w:p>
    <w:p w14:paraId="56E8CCE1" w14:textId="2D6E43CE" w:rsidR="000C100D" w:rsidRPr="00A24768" w:rsidRDefault="000C100D" w:rsidP="000C100D">
      <w:pPr>
        <w:pStyle w:val="enumlev1"/>
      </w:pPr>
      <w:r w:rsidRPr="00A24768">
        <w:t>3)</w:t>
      </w:r>
      <w:r w:rsidRPr="00A24768">
        <w:tab/>
        <w:t>Statistiques communes pour le cas d'utilisation du pays</w:t>
      </w:r>
    </w:p>
    <w:p w14:paraId="3C08AD6E" w14:textId="4CB731D7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3.1</w:t>
      </w:r>
      <w:r w:rsidR="000C100D" w:rsidRPr="00A24768">
        <w:tab/>
        <w:t>Statistiques relatives aux télécommunications (par exemple, nombre d'utilisateurs de dispositifs mobiles, d'opérateurs, etc.)</w:t>
      </w:r>
    </w:p>
    <w:p w14:paraId="33F218B2" w14:textId="11A7E75C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3.2</w:t>
      </w:r>
      <w:r w:rsidR="000C100D" w:rsidRPr="00A24768">
        <w:tab/>
        <w:t>Statistiques relatives au problème (par exemple, nombre de dispositifs de contrefaçon, de dispositifs volés, etc.)</w:t>
      </w:r>
    </w:p>
    <w:p w14:paraId="69AA464B" w14:textId="4D88488A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3.3</w:t>
      </w:r>
      <w:r w:rsidR="000C100D" w:rsidRPr="00A24768">
        <w:tab/>
        <w:t>Statistiques générales concernant le cas d'utilisation (par exemple, taille de l'économie, population, etc.)</w:t>
      </w:r>
    </w:p>
    <w:p w14:paraId="44579F16" w14:textId="1EF752D4" w:rsidR="000C100D" w:rsidRPr="00A24768" w:rsidRDefault="000C100D" w:rsidP="000C100D">
      <w:pPr>
        <w:pStyle w:val="enumlev1"/>
      </w:pPr>
      <w:r w:rsidRPr="00A24768">
        <w:t>4)</w:t>
      </w:r>
      <w:r w:rsidRPr="00A24768">
        <w:tab/>
        <w:t>Description de la solution retenue dans le cas d'utilisation</w:t>
      </w:r>
    </w:p>
    <w:p w14:paraId="707EE1C9" w14:textId="015522E7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4.1</w:t>
      </w:r>
      <w:r w:rsidR="000C100D" w:rsidRPr="00A24768">
        <w:tab/>
        <w:t>Aperçu de la solution</w:t>
      </w:r>
    </w:p>
    <w:p w14:paraId="4EA8D135" w14:textId="7068EE6C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4.2</w:t>
      </w:r>
      <w:r w:rsidR="000C100D" w:rsidRPr="00A24768">
        <w:tab/>
        <w:t>Cadre dans lequel s'inscrit la solution, avec diagrammes et description détaillée</w:t>
      </w:r>
    </w:p>
    <w:p w14:paraId="3D6EBB64" w14:textId="517E12A6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4.3</w:t>
      </w:r>
      <w:r w:rsidR="000C100D" w:rsidRPr="00A24768">
        <w:tab/>
        <w:t>Description des mesures additionnelles prises pour résoudre le problème</w:t>
      </w:r>
    </w:p>
    <w:p w14:paraId="5C17BCB3" w14:textId="76D6FE19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4.4</w:t>
      </w:r>
      <w:r w:rsidR="000C100D" w:rsidRPr="00A24768">
        <w:tab/>
        <w:t>Référence à des ressources web ouvertes pour obtenir des renseignements plus détaillés (facultatif)</w:t>
      </w:r>
    </w:p>
    <w:p w14:paraId="15AF02E9" w14:textId="0A386A60" w:rsidR="000C100D" w:rsidRPr="00A24768" w:rsidRDefault="00935006" w:rsidP="000C100D">
      <w:pPr>
        <w:pStyle w:val="enumlev2"/>
        <w:tabs>
          <w:tab w:val="clear" w:pos="1191"/>
        </w:tabs>
        <w:ind w:left="1418" w:hanging="624"/>
      </w:pPr>
      <w:r>
        <w:t>4.5</w:t>
      </w:r>
      <w:r w:rsidR="000C100D" w:rsidRPr="00A24768">
        <w:tab/>
        <w:t>Autres observations pertinentes (facultatif)</w:t>
      </w:r>
    </w:p>
    <w:p w14:paraId="760F5CFD" w14:textId="0C4522A3" w:rsidR="000C100D" w:rsidRPr="00A24768" w:rsidRDefault="000C100D" w:rsidP="000C100D">
      <w:pPr>
        <w:pStyle w:val="enumlev1"/>
      </w:pPr>
      <w:r w:rsidRPr="00A24768">
        <w:t>5)</w:t>
      </w:r>
      <w:r w:rsidRPr="00A24768">
        <w:tab/>
        <w:t>Aperçu des difficultés rencontrées et des mesures correctives liées à la mise en œuvre du cas d'utilisation</w:t>
      </w:r>
    </w:p>
    <w:p w14:paraId="466F4687" w14:textId="07608BF9" w:rsidR="000C100D" w:rsidRPr="00A24768" w:rsidRDefault="000C100D" w:rsidP="000C100D">
      <w:pPr>
        <w:pStyle w:val="enumlev1"/>
      </w:pPr>
      <w:r w:rsidRPr="00A24768">
        <w:t>6)</w:t>
      </w:r>
      <w:r w:rsidRPr="00A24768">
        <w:tab/>
        <w:t>Statistiques sur les effets de la mise en œuvre du cas d'utilisation</w:t>
      </w:r>
    </w:p>
    <w:p w14:paraId="35F1832F" w14:textId="2F9B981A" w:rsidR="000C100D" w:rsidRPr="00A24768" w:rsidRDefault="000C100D" w:rsidP="000C100D">
      <w:pPr>
        <w:pStyle w:val="enumlev1"/>
      </w:pPr>
      <w:r w:rsidRPr="00A24768">
        <w:t>7)</w:t>
      </w:r>
      <w:r w:rsidRPr="00A24768">
        <w:tab/>
        <w:t>Feuille de route concernant l'évolution prévue du cas d'utilisation dans le futur</w:t>
      </w:r>
    </w:p>
    <w:p w14:paraId="31AC6E2C" w14:textId="1118292A" w:rsidR="000C100D" w:rsidRPr="00A24768" w:rsidRDefault="000C100D" w:rsidP="000C100D">
      <w:pPr>
        <w:pStyle w:val="enumlev1"/>
      </w:pPr>
      <w:r w:rsidRPr="00A24768">
        <w:t>8)</w:t>
      </w:r>
      <w:r w:rsidRPr="00A24768">
        <w:tab/>
        <w:t>Observations finales et conclusion.</w:t>
      </w:r>
    </w:p>
    <w:p w14:paraId="234523DC" w14:textId="77777777" w:rsidR="000C100D" w:rsidRPr="00A24768" w:rsidRDefault="000C100D" w:rsidP="00935006"/>
    <w:p w14:paraId="2E7D7116" w14:textId="77777777" w:rsidR="000C100D" w:rsidRPr="00A24768" w:rsidRDefault="000C100D">
      <w:pPr>
        <w:jc w:val="center"/>
      </w:pPr>
      <w:r w:rsidRPr="00A24768">
        <w:t>______________</w:t>
      </w:r>
    </w:p>
    <w:p w14:paraId="6DEC74AE" w14:textId="77777777" w:rsidR="000C100D" w:rsidRPr="00A24768" w:rsidRDefault="000C100D" w:rsidP="000C100D"/>
    <w:sectPr w:rsidR="000C100D" w:rsidRPr="00A24768" w:rsidSect="00A15179">
      <w:head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9C982" w14:textId="77777777" w:rsidR="00EE4AD5" w:rsidRDefault="00EE4AD5">
      <w:r>
        <w:separator/>
      </w:r>
    </w:p>
  </w:endnote>
  <w:endnote w:type="continuationSeparator" w:id="0">
    <w:p w14:paraId="339B5DBF" w14:textId="77777777" w:rsidR="00EE4AD5" w:rsidRDefault="00E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98D9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6B553" w14:textId="77777777" w:rsidR="00EE4AD5" w:rsidRDefault="00EE4AD5">
      <w:r>
        <w:t>____________________</w:t>
      </w:r>
    </w:p>
  </w:footnote>
  <w:footnote w:type="continuationSeparator" w:id="0">
    <w:p w14:paraId="190880E7" w14:textId="77777777" w:rsidR="00EE4AD5" w:rsidRDefault="00E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411CF" w14:textId="2D8253AA" w:rsidR="00697BC1" w:rsidRPr="00697BC1" w:rsidRDefault="00B16B7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2F76A5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0C100D">
      <w:rPr>
        <w:noProof/>
        <w:sz w:val="18"/>
        <w:szCs w:val="16"/>
      </w:rPr>
      <w:br/>
      <w:t>Circulaire TSB 239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D5"/>
    <w:rsid w:val="000039EE"/>
    <w:rsid w:val="00005622"/>
    <w:rsid w:val="0002519E"/>
    <w:rsid w:val="00035B43"/>
    <w:rsid w:val="00036F4F"/>
    <w:rsid w:val="000758B3"/>
    <w:rsid w:val="00085F5A"/>
    <w:rsid w:val="000A43A3"/>
    <w:rsid w:val="000B0D96"/>
    <w:rsid w:val="000B59D8"/>
    <w:rsid w:val="000C100D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2F76A5"/>
    <w:rsid w:val="003131F0"/>
    <w:rsid w:val="00333A80"/>
    <w:rsid w:val="00341117"/>
    <w:rsid w:val="00364E95"/>
    <w:rsid w:val="00372875"/>
    <w:rsid w:val="003A284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3335D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F029C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006"/>
    <w:rsid w:val="00935AA8"/>
    <w:rsid w:val="00971C9A"/>
    <w:rsid w:val="009D51FA"/>
    <w:rsid w:val="009F1E23"/>
    <w:rsid w:val="00A15179"/>
    <w:rsid w:val="00A24768"/>
    <w:rsid w:val="00A410E5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16B7E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AD5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6FD3F3F"/>
  <w15:docId w15:val="{7517DB2A-7566-4618-AFDF-447E62C6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00D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0C10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0590-8B2B-4E78-B2FC-3120F309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47</TotalTime>
  <Pages>3</Pages>
  <Words>657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4427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9</cp:revision>
  <cp:lastPrinted>2020-03-31T12:02:00Z</cp:lastPrinted>
  <dcterms:created xsi:type="dcterms:W3CDTF">2020-03-25T08:38:00Z</dcterms:created>
  <dcterms:modified xsi:type="dcterms:W3CDTF">2020-03-31T12:02:00Z</dcterms:modified>
</cp:coreProperties>
</file>