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1" w:type="dxa"/>
        <w:jc w:val="center"/>
        <w:tblLayout w:type="fixed"/>
        <w:tblLook w:val="0000" w:firstRow="0" w:lastRow="0" w:firstColumn="0" w:lastColumn="0" w:noHBand="0" w:noVBand="0"/>
      </w:tblPr>
      <w:tblGrid>
        <w:gridCol w:w="1224"/>
        <w:gridCol w:w="142"/>
        <w:gridCol w:w="3686"/>
        <w:gridCol w:w="2835"/>
        <w:gridCol w:w="1984"/>
      </w:tblGrid>
      <w:tr w:rsidR="00852B82" w:rsidRPr="00D7384A" w14:paraId="26266AFF" w14:textId="77777777" w:rsidTr="00F64E52">
        <w:trPr>
          <w:trHeight w:val="1282"/>
          <w:jc w:val="center"/>
        </w:trPr>
        <w:tc>
          <w:tcPr>
            <w:tcW w:w="1366" w:type="dxa"/>
            <w:gridSpan w:val="2"/>
            <w:shd w:val="clear" w:color="auto" w:fill="auto"/>
            <w:tcMar>
              <w:left w:w="0" w:type="dxa"/>
              <w:right w:w="0" w:type="dxa"/>
            </w:tcMar>
            <w:vAlign w:val="center"/>
          </w:tcPr>
          <w:p w14:paraId="18EF0C66" w14:textId="77777777" w:rsidR="00852B82" w:rsidRPr="00D7384A" w:rsidRDefault="00607E07" w:rsidP="002A4977">
            <w:pPr>
              <w:pStyle w:val="Tabletext"/>
              <w:jc w:val="center"/>
            </w:pPr>
            <w:r>
              <w:rPr>
                <w:noProof/>
                <w:lang w:val="en-US"/>
              </w:rPr>
              <w:drawing>
                <wp:inline distT="0" distB="0" distL="0" distR="0" wp14:anchorId="6409DAC6" wp14:editId="691AC9A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5BB71EF" w14:textId="77777777" w:rsidR="00852B82" w:rsidRPr="00787F87" w:rsidRDefault="00691DAA" w:rsidP="002A4977">
            <w:pPr>
              <w:spacing w:before="0"/>
              <w:rPr>
                <w:rFonts w:cs="Times New Roman Bold"/>
                <w:b/>
                <w:bCs/>
                <w:smallCaps/>
                <w:sz w:val="26"/>
                <w:szCs w:val="26"/>
              </w:rPr>
            </w:pPr>
            <w:r w:rsidRPr="00787F87">
              <w:rPr>
                <w:rFonts w:cs="Times New Roman Bold"/>
                <w:b/>
                <w:bCs/>
                <w:smallCaps/>
                <w:sz w:val="36"/>
                <w:szCs w:val="36"/>
              </w:rPr>
              <w:t>International telecommunication union</w:t>
            </w:r>
          </w:p>
          <w:p w14:paraId="230E9F3D" w14:textId="77777777" w:rsidR="00852B82" w:rsidRPr="00787F87" w:rsidRDefault="00691DAA" w:rsidP="002A4977">
            <w:pPr>
              <w:spacing w:before="0"/>
              <w:rPr>
                <w:rFonts w:ascii="Verdana" w:hAnsi="Verdana"/>
                <w:color w:val="FFFFFF"/>
                <w:sz w:val="26"/>
                <w:szCs w:val="26"/>
              </w:rPr>
            </w:pPr>
            <w:r w:rsidRPr="00787F87">
              <w:rPr>
                <w:rFonts w:cs="Times New Roman Bold"/>
                <w:b/>
                <w:bCs/>
                <w:iCs/>
                <w:smallCaps/>
                <w:sz w:val="28"/>
                <w:szCs w:val="28"/>
              </w:rPr>
              <w:t>Telecommunication Standardization Bureau</w:t>
            </w:r>
          </w:p>
        </w:tc>
        <w:tc>
          <w:tcPr>
            <w:tcW w:w="1984" w:type="dxa"/>
            <w:shd w:val="clear" w:color="auto" w:fill="auto"/>
            <w:vAlign w:val="center"/>
          </w:tcPr>
          <w:p w14:paraId="02FFB098" w14:textId="77777777" w:rsidR="00852B82" w:rsidRPr="00787F87" w:rsidRDefault="00852B82" w:rsidP="002A4977">
            <w:pPr>
              <w:spacing w:before="0"/>
              <w:jc w:val="right"/>
              <w:rPr>
                <w:rFonts w:ascii="Verdana" w:hAnsi="Verdana"/>
                <w:color w:val="FFFFFF"/>
                <w:sz w:val="26"/>
                <w:szCs w:val="26"/>
                <w:highlight w:val="yellow"/>
              </w:rPr>
            </w:pPr>
          </w:p>
        </w:tc>
      </w:tr>
      <w:tr w:rsidR="00852B82" w:rsidRPr="00D7384A" w14:paraId="71A21A2F" w14:textId="77777777" w:rsidTr="00F64E52">
        <w:trPr>
          <w:trHeight w:val="80"/>
          <w:jc w:val="center"/>
        </w:trPr>
        <w:tc>
          <w:tcPr>
            <w:tcW w:w="5052" w:type="dxa"/>
            <w:gridSpan w:val="3"/>
            <w:vAlign w:val="center"/>
          </w:tcPr>
          <w:p w14:paraId="2AE37FD3" w14:textId="77777777" w:rsidR="00852B82" w:rsidRPr="00787F87" w:rsidRDefault="00852B82" w:rsidP="001F3BDD">
            <w:pPr>
              <w:pStyle w:val="Tabletext"/>
              <w:spacing w:after="60"/>
              <w:jc w:val="right"/>
            </w:pPr>
          </w:p>
        </w:tc>
        <w:tc>
          <w:tcPr>
            <w:tcW w:w="4819" w:type="dxa"/>
            <w:gridSpan w:val="2"/>
            <w:vAlign w:val="center"/>
          </w:tcPr>
          <w:p w14:paraId="74AB7B32" w14:textId="1F1EF896" w:rsidR="00852B82" w:rsidRPr="00787F87" w:rsidRDefault="00691DAA" w:rsidP="00F64E52">
            <w:pPr>
              <w:pStyle w:val="Tabletext"/>
              <w:spacing w:before="120" w:after="240"/>
            </w:pPr>
            <w:r w:rsidRPr="00787F87">
              <w:t>Geneva,</w:t>
            </w:r>
            <w:r w:rsidR="00787F87">
              <w:t xml:space="preserve"> 1 April 2020</w:t>
            </w:r>
            <w:r w:rsidRPr="00787F87">
              <w:t xml:space="preserve"> </w:t>
            </w:r>
          </w:p>
        </w:tc>
      </w:tr>
      <w:tr w:rsidR="00852B82" w:rsidRPr="00D7384A" w14:paraId="40EF195D" w14:textId="77777777" w:rsidTr="00F64E52">
        <w:trPr>
          <w:trHeight w:val="746"/>
          <w:jc w:val="center"/>
        </w:trPr>
        <w:tc>
          <w:tcPr>
            <w:tcW w:w="1224" w:type="dxa"/>
          </w:tcPr>
          <w:p w14:paraId="72D36200" w14:textId="77777777" w:rsidR="00852B82" w:rsidRPr="00D7384A" w:rsidRDefault="00691DAA" w:rsidP="002A4977">
            <w:pPr>
              <w:pStyle w:val="Tabletext"/>
            </w:pPr>
            <w:r w:rsidRPr="00D7384A">
              <w:rPr>
                <w:b/>
              </w:rPr>
              <w:t>Ref:</w:t>
            </w:r>
          </w:p>
        </w:tc>
        <w:tc>
          <w:tcPr>
            <w:tcW w:w="3828" w:type="dxa"/>
            <w:gridSpan w:val="2"/>
          </w:tcPr>
          <w:p w14:paraId="32638D9E" w14:textId="76465249" w:rsidR="00852B82" w:rsidRPr="00D7384A" w:rsidRDefault="00691DAA" w:rsidP="002A4977">
            <w:pPr>
              <w:pStyle w:val="Tabletext"/>
              <w:rPr>
                <w:b/>
                <w:bCs/>
              </w:rPr>
            </w:pPr>
            <w:r w:rsidRPr="00D7384A">
              <w:rPr>
                <w:b/>
                <w:bCs/>
              </w:rPr>
              <w:t xml:space="preserve">TSB Circular </w:t>
            </w:r>
            <w:r w:rsidR="0033435D">
              <w:rPr>
                <w:b/>
                <w:bCs/>
              </w:rPr>
              <w:t>241</w:t>
            </w:r>
          </w:p>
          <w:p w14:paraId="303CA45E" w14:textId="47B76FE8" w:rsidR="00852B82" w:rsidRPr="00D7384A" w:rsidRDefault="00F763C8" w:rsidP="002A4977">
            <w:pPr>
              <w:pStyle w:val="Tabletext"/>
            </w:pPr>
            <w:r w:rsidRPr="00D7384A">
              <w:t>SG</w:t>
            </w:r>
            <w:r w:rsidR="005C4FFD" w:rsidRPr="0031651B">
              <w:t>11</w:t>
            </w:r>
            <w:r w:rsidR="00691DAA" w:rsidRPr="00D7384A">
              <w:t>/</w:t>
            </w:r>
            <w:r w:rsidR="005C4FFD">
              <w:t>DA</w:t>
            </w:r>
          </w:p>
        </w:tc>
        <w:tc>
          <w:tcPr>
            <w:tcW w:w="4819" w:type="dxa"/>
            <w:gridSpan w:val="2"/>
            <w:vMerge w:val="restart"/>
          </w:tcPr>
          <w:p w14:paraId="217A65F2" w14:textId="77777777" w:rsidR="00852B82" w:rsidRPr="00D7384A" w:rsidRDefault="00691DAA" w:rsidP="002A4977">
            <w:pPr>
              <w:pStyle w:val="Tabletext"/>
            </w:pPr>
            <w:r w:rsidRPr="00D7384A">
              <w:rPr>
                <w:b/>
              </w:rPr>
              <w:t>To:</w:t>
            </w:r>
          </w:p>
          <w:p w14:paraId="5F2272CB" w14:textId="77777777" w:rsidR="00852B82" w:rsidRDefault="00691DAA" w:rsidP="002A4977">
            <w:pPr>
              <w:pStyle w:val="Tabletext"/>
              <w:ind w:left="283" w:hanging="283"/>
            </w:pPr>
            <w:r w:rsidRPr="00D7384A">
              <w:t>-</w:t>
            </w:r>
            <w:r w:rsidRPr="00D7384A">
              <w:tab/>
              <w:t>Administrations of Member States of the Union</w:t>
            </w:r>
          </w:p>
          <w:p w14:paraId="479AC3AA" w14:textId="77777777" w:rsidR="00F64E52" w:rsidRPr="00D7384A" w:rsidRDefault="00F64E52" w:rsidP="00F64E52">
            <w:pPr>
              <w:pStyle w:val="Tabletext"/>
            </w:pPr>
            <w:r w:rsidRPr="00D7384A">
              <w:rPr>
                <w:b/>
              </w:rPr>
              <w:t>Copy to:</w:t>
            </w:r>
          </w:p>
          <w:p w14:paraId="17513C82" w14:textId="77777777" w:rsidR="00F64E52" w:rsidRPr="00D7384A" w:rsidRDefault="00F64E52" w:rsidP="00F64E52">
            <w:pPr>
              <w:pStyle w:val="Tabletext"/>
              <w:ind w:left="283" w:hanging="283"/>
            </w:pPr>
            <w:r w:rsidRPr="00D7384A">
              <w:t>-</w:t>
            </w:r>
            <w:r w:rsidRPr="00D7384A">
              <w:tab/>
              <w:t xml:space="preserve">ITU-T Sector </w:t>
            </w:r>
            <w:proofErr w:type="gramStart"/>
            <w:r w:rsidRPr="00D7384A">
              <w:t>Members;</w:t>
            </w:r>
            <w:proofErr w:type="gramEnd"/>
          </w:p>
          <w:p w14:paraId="228B0259" w14:textId="77777777" w:rsidR="00F64E52" w:rsidRPr="00D7384A" w:rsidRDefault="00F64E52" w:rsidP="00F64E52">
            <w:pPr>
              <w:pStyle w:val="Tabletext"/>
              <w:ind w:left="283" w:hanging="283"/>
            </w:pPr>
            <w:r w:rsidRPr="00D7384A">
              <w:t>-</w:t>
            </w:r>
            <w:r w:rsidRPr="00D7384A">
              <w:tab/>
              <w:t xml:space="preserve">Associates of ITU-T Study Group </w:t>
            </w:r>
            <w:proofErr w:type="gramStart"/>
            <w:r>
              <w:t>11</w:t>
            </w:r>
            <w:r w:rsidRPr="00D7384A">
              <w:t>;</w:t>
            </w:r>
            <w:proofErr w:type="gramEnd"/>
            <w:r w:rsidRPr="00D7384A">
              <w:t xml:space="preserve"> </w:t>
            </w:r>
          </w:p>
          <w:p w14:paraId="49E5CFDF" w14:textId="77777777" w:rsidR="00F64E52" w:rsidRPr="00D7384A" w:rsidRDefault="00F64E52" w:rsidP="00F64E52">
            <w:pPr>
              <w:pStyle w:val="Tabletext"/>
              <w:ind w:left="283" w:hanging="283"/>
            </w:pPr>
            <w:r w:rsidRPr="00D7384A">
              <w:t>-</w:t>
            </w:r>
            <w:r w:rsidRPr="00D7384A">
              <w:tab/>
              <w:t xml:space="preserve">ITU </w:t>
            </w:r>
            <w:proofErr w:type="gramStart"/>
            <w:r w:rsidRPr="00D7384A">
              <w:t>Academia;</w:t>
            </w:r>
            <w:proofErr w:type="gramEnd"/>
          </w:p>
          <w:p w14:paraId="1064790E" w14:textId="77777777" w:rsidR="00F64E52" w:rsidRPr="00D7384A" w:rsidRDefault="00F64E52" w:rsidP="00F64E52">
            <w:pPr>
              <w:pStyle w:val="Tabletext"/>
              <w:ind w:left="283" w:hanging="283"/>
            </w:pPr>
            <w:r w:rsidRPr="00D7384A">
              <w:t>-</w:t>
            </w:r>
            <w:r w:rsidRPr="00D7384A">
              <w:tab/>
              <w:t xml:space="preserve">The Chairman and Vice-Chairmen of ITU-T Study Group </w:t>
            </w:r>
            <w:proofErr w:type="gramStart"/>
            <w:r>
              <w:t>11</w:t>
            </w:r>
            <w:r w:rsidRPr="00D7384A">
              <w:t>;</w:t>
            </w:r>
            <w:proofErr w:type="gramEnd"/>
          </w:p>
          <w:p w14:paraId="7984B5CB" w14:textId="77777777" w:rsidR="00F64E52" w:rsidRPr="00D7384A" w:rsidRDefault="00F64E52" w:rsidP="00F64E52">
            <w:pPr>
              <w:pStyle w:val="Tabletext"/>
              <w:ind w:left="283" w:hanging="283"/>
            </w:pPr>
            <w:r w:rsidRPr="00D7384A">
              <w:t>-</w:t>
            </w:r>
            <w:r w:rsidRPr="00D7384A">
              <w:tab/>
              <w:t xml:space="preserve">The Director of the Telecommunication Development </w:t>
            </w:r>
            <w:proofErr w:type="gramStart"/>
            <w:r w:rsidRPr="00D7384A">
              <w:t>Bureau;</w:t>
            </w:r>
            <w:proofErr w:type="gramEnd"/>
          </w:p>
          <w:p w14:paraId="6FA5A670" w14:textId="733F3749" w:rsidR="00F64E52" w:rsidRPr="00D7384A" w:rsidRDefault="00F64E52" w:rsidP="00F64E52">
            <w:pPr>
              <w:pStyle w:val="Tabletext"/>
              <w:ind w:left="283" w:hanging="283"/>
            </w:pPr>
            <w:r w:rsidRPr="00D7384A">
              <w:t>-</w:t>
            </w:r>
            <w:r w:rsidRPr="00D7384A">
              <w:tab/>
              <w:t>The Director of the Radiocommunication Bureau</w:t>
            </w:r>
          </w:p>
        </w:tc>
      </w:tr>
      <w:tr w:rsidR="00852B82" w:rsidRPr="00D7384A" w14:paraId="5EF77E04" w14:textId="77777777" w:rsidTr="00F64E52">
        <w:trPr>
          <w:trHeight w:val="221"/>
          <w:jc w:val="center"/>
        </w:trPr>
        <w:tc>
          <w:tcPr>
            <w:tcW w:w="1224" w:type="dxa"/>
          </w:tcPr>
          <w:p w14:paraId="2FACD63C" w14:textId="77777777" w:rsidR="00852B82" w:rsidRPr="00D7384A" w:rsidRDefault="00691DAA" w:rsidP="002A4977">
            <w:pPr>
              <w:pStyle w:val="Tabletext"/>
            </w:pPr>
            <w:r w:rsidRPr="00D7384A">
              <w:rPr>
                <w:b/>
              </w:rPr>
              <w:t>Tel:</w:t>
            </w:r>
          </w:p>
        </w:tc>
        <w:tc>
          <w:tcPr>
            <w:tcW w:w="3828" w:type="dxa"/>
            <w:gridSpan w:val="2"/>
          </w:tcPr>
          <w:p w14:paraId="14A38049" w14:textId="4D0CD48A" w:rsidR="00852B82" w:rsidRPr="00D7384A" w:rsidRDefault="00691DAA" w:rsidP="003D4331">
            <w:pPr>
              <w:pStyle w:val="Tabletext"/>
              <w:rPr>
                <w:b/>
              </w:rPr>
            </w:pPr>
            <w:r w:rsidRPr="00D7384A">
              <w:t xml:space="preserve">+41 22 730 </w:t>
            </w:r>
            <w:r w:rsidR="005C4FFD">
              <w:t>5780</w:t>
            </w:r>
          </w:p>
        </w:tc>
        <w:tc>
          <w:tcPr>
            <w:tcW w:w="4819" w:type="dxa"/>
            <w:gridSpan w:val="2"/>
            <w:vMerge/>
          </w:tcPr>
          <w:p w14:paraId="5F7D24BE" w14:textId="77777777" w:rsidR="00852B82" w:rsidRPr="00D7384A" w:rsidRDefault="00852B82" w:rsidP="002A4977">
            <w:pPr>
              <w:pStyle w:val="Tabletext"/>
              <w:ind w:left="142" w:hanging="142"/>
            </w:pPr>
          </w:p>
        </w:tc>
      </w:tr>
      <w:tr w:rsidR="00852B82" w:rsidRPr="00D7384A" w14:paraId="34F62925" w14:textId="77777777" w:rsidTr="00826B97">
        <w:trPr>
          <w:trHeight w:val="3357"/>
          <w:jc w:val="center"/>
        </w:trPr>
        <w:tc>
          <w:tcPr>
            <w:tcW w:w="1224" w:type="dxa"/>
          </w:tcPr>
          <w:p w14:paraId="45123EA1" w14:textId="77777777" w:rsidR="00852B82" w:rsidRDefault="00691DAA" w:rsidP="002A4977">
            <w:pPr>
              <w:pStyle w:val="Tabletext"/>
              <w:rPr>
                <w:b/>
              </w:rPr>
            </w:pPr>
            <w:r w:rsidRPr="00D7384A">
              <w:rPr>
                <w:b/>
              </w:rPr>
              <w:t>Fax:</w:t>
            </w:r>
          </w:p>
          <w:p w14:paraId="57AA35FF" w14:textId="67F98B90" w:rsidR="00F64E52" w:rsidRPr="00D7384A" w:rsidRDefault="00F64E52" w:rsidP="002A4977">
            <w:pPr>
              <w:pStyle w:val="Tabletext"/>
            </w:pPr>
            <w:r w:rsidRPr="00D7384A">
              <w:rPr>
                <w:b/>
              </w:rPr>
              <w:t>E-mail:</w:t>
            </w:r>
          </w:p>
        </w:tc>
        <w:tc>
          <w:tcPr>
            <w:tcW w:w="3828" w:type="dxa"/>
            <w:gridSpan w:val="2"/>
          </w:tcPr>
          <w:p w14:paraId="40DF10C7" w14:textId="77777777" w:rsidR="00852B82" w:rsidRDefault="00691DAA" w:rsidP="002A4977">
            <w:pPr>
              <w:pStyle w:val="Tabletext"/>
            </w:pPr>
            <w:r w:rsidRPr="00D7384A">
              <w:t>+41 22 730 5853</w:t>
            </w:r>
          </w:p>
          <w:p w14:paraId="37E6499C" w14:textId="48937790" w:rsidR="00F64E52" w:rsidRPr="00D7384A" w:rsidRDefault="00F64E52" w:rsidP="002A4977">
            <w:pPr>
              <w:pStyle w:val="Tabletext"/>
              <w:rPr>
                <w:b/>
              </w:rPr>
            </w:pPr>
            <w:hyperlink r:id="rId8" w:history="1">
              <w:r w:rsidRPr="00FD3DD5">
                <w:rPr>
                  <w:rStyle w:val="Hyperlink"/>
                </w:rPr>
                <w:t>tsbsg11@itu.int</w:t>
              </w:r>
            </w:hyperlink>
          </w:p>
        </w:tc>
        <w:tc>
          <w:tcPr>
            <w:tcW w:w="4819" w:type="dxa"/>
            <w:gridSpan w:val="2"/>
            <w:vMerge/>
          </w:tcPr>
          <w:p w14:paraId="18A2B493" w14:textId="77777777" w:rsidR="00852B82" w:rsidRPr="00D7384A" w:rsidRDefault="00852B82" w:rsidP="002A4977">
            <w:pPr>
              <w:pStyle w:val="Tabletext"/>
              <w:ind w:left="142" w:hanging="142"/>
            </w:pPr>
          </w:p>
        </w:tc>
      </w:tr>
      <w:tr w:rsidR="00852B82" w:rsidRPr="00D7384A" w14:paraId="068E8FE2" w14:textId="77777777" w:rsidTr="00F64E52">
        <w:trPr>
          <w:trHeight w:val="618"/>
          <w:jc w:val="center"/>
        </w:trPr>
        <w:tc>
          <w:tcPr>
            <w:tcW w:w="1224" w:type="dxa"/>
          </w:tcPr>
          <w:p w14:paraId="4EF4E47C" w14:textId="77777777" w:rsidR="00852B82" w:rsidRPr="00D7384A" w:rsidRDefault="00691DAA" w:rsidP="002A4977">
            <w:pPr>
              <w:pStyle w:val="Tabletext"/>
            </w:pPr>
            <w:r w:rsidRPr="00D7384A">
              <w:rPr>
                <w:b/>
              </w:rPr>
              <w:t>Subject:</w:t>
            </w:r>
          </w:p>
        </w:tc>
        <w:tc>
          <w:tcPr>
            <w:tcW w:w="8647" w:type="dxa"/>
            <w:gridSpan w:val="4"/>
          </w:tcPr>
          <w:p w14:paraId="23EE430A" w14:textId="5BC1869A" w:rsidR="00852B82" w:rsidRPr="00D7384A" w:rsidRDefault="0072062B" w:rsidP="00D62CEF">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draft</w:t>
            </w:r>
            <w:r w:rsidR="005C4FFD">
              <w:rPr>
                <w:b/>
              </w:rPr>
              <w:t xml:space="preserve"> new Recommendation</w:t>
            </w:r>
            <w:r w:rsidR="00D62CEF" w:rsidRPr="00D7384A">
              <w:rPr>
                <w:b/>
              </w:rPr>
              <w:t xml:space="preserve"> </w:t>
            </w:r>
            <w:r w:rsidR="00860AE1" w:rsidRPr="00D7384A">
              <w:rPr>
                <w:b/>
              </w:rPr>
              <w:t>ITU-T</w:t>
            </w:r>
            <w:r w:rsidR="00E32F10" w:rsidRPr="00D7384A">
              <w:rPr>
                <w:b/>
              </w:rPr>
              <w:t xml:space="preserve"> </w:t>
            </w:r>
            <w:r w:rsidR="005C4FFD">
              <w:rPr>
                <w:b/>
              </w:rPr>
              <w:t>Q.3643</w:t>
            </w:r>
            <w:r w:rsidR="0006765F" w:rsidRPr="00D7384A">
              <w:rPr>
                <w:b/>
              </w:rPr>
              <w:t>, 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5C4FFD">
              <w:rPr>
                <w:b/>
              </w:rPr>
              <w:t>11</w:t>
            </w:r>
            <w:r w:rsidR="00C007D7" w:rsidRPr="00D7384A">
              <w:rPr>
                <w:b/>
              </w:rPr>
              <w:t xml:space="preserve">, </w:t>
            </w:r>
            <w:r w:rsidR="005C4FFD" w:rsidRPr="0031651B">
              <w:rPr>
                <w:b/>
              </w:rPr>
              <w:t>Geneva</w:t>
            </w:r>
            <w:r w:rsidR="00C007D7" w:rsidRPr="0031651B">
              <w:rPr>
                <w:b/>
              </w:rPr>
              <w:t>,</w:t>
            </w:r>
            <w:r w:rsidR="00C007D7" w:rsidRPr="00D7384A">
              <w:rPr>
                <w:b/>
              </w:rPr>
              <w:t xml:space="preserve"> </w:t>
            </w:r>
            <w:r w:rsidR="005C4FFD">
              <w:rPr>
                <w:b/>
              </w:rPr>
              <w:t>22</w:t>
            </w:r>
            <w:r w:rsidR="00F64E52">
              <w:rPr>
                <w:b/>
              </w:rPr>
              <w:noBreakHyphen/>
            </w:r>
            <w:r w:rsidR="005C4FFD">
              <w:rPr>
                <w:b/>
              </w:rPr>
              <w:t>31 July 2020</w:t>
            </w:r>
          </w:p>
        </w:tc>
      </w:tr>
    </w:tbl>
    <w:p w14:paraId="26327BE3" w14:textId="77777777" w:rsidR="00852B82" w:rsidRPr="00D7384A" w:rsidRDefault="00691DAA" w:rsidP="001F3BDD">
      <w:pPr>
        <w:spacing w:before="300"/>
      </w:pPr>
      <w:r w:rsidRPr="00D7384A">
        <w:t>Dear Sir/Madam,</w:t>
      </w:r>
    </w:p>
    <w:p w14:paraId="79C78270" w14:textId="2701895F" w:rsidR="00E32F10" w:rsidRPr="00D7384A" w:rsidRDefault="00691DAA" w:rsidP="00733B5C">
      <w:pPr>
        <w:rPr>
          <w:szCs w:val="22"/>
        </w:rPr>
      </w:pPr>
      <w:r w:rsidRPr="00D7384A">
        <w:rPr>
          <w:bCs/>
          <w:szCs w:val="22"/>
        </w:rPr>
        <w:t>1</w:t>
      </w:r>
      <w:r w:rsidRPr="00D7384A">
        <w:rPr>
          <w:szCs w:val="22"/>
        </w:rPr>
        <w:tab/>
      </w:r>
      <w:r w:rsidR="00C007D7" w:rsidRPr="00D7384A">
        <w:rPr>
          <w:szCs w:val="22"/>
        </w:rPr>
        <w:t xml:space="preserve">ITU-T </w:t>
      </w:r>
      <w:r w:rsidR="00C007D7" w:rsidRPr="00D7384A">
        <w:t xml:space="preserve">Study Group </w:t>
      </w:r>
      <w:r w:rsidR="005C4FFD">
        <w:t>11</w:t>
      </w:r>
      <w:r w:rsidR="005C4FFD" w:rsidRPr="00D7384A">
        <w:t xml:space="preserve"> (</w:t>
      </w:r>
      <w:r w:rsidR="005C4FFD" w:rsidRPr="00E8536D">
        <w:t>Signalling requirements, protocols, test specifications and combating counterfeit products</w:t>
      </w:r>
      <w:r w:rsidR="005C4FFD"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B45C37">
        <w:rPr>
          <w:szCs w:val="22"/>
        </w:rPr>
        <w:t>Section</w:t>
      </w:r>
      <w:r w:rsidR="00C51F4B" w:rsidRPr="00D7384A">
        <w:rPr>
          <w:szCs w:val="22"/>
        </w:rPr>
        <w:t xml:space="preserve"> 9 of WTSA </w:t>
      </w:r>
      <w:r w:rsidRPr="00D7384A">
        <w:rPr>
          <w:szCs w:val="22"/>
        </w:rPr>
        <w:t>Resolution 1 (</w:t>
      </w:r>
      <w:r w:rsidR="00A4376F" w:rsidRPr="00D7384A">
        <w:rPr>
          <w:szCs w:val="22"/>
        </w:rPr>
        <w:t xml:space="preserve">Rev. </w:t>
      </w:r>
      <w:proofErr w:type="spellStart"/>
      <w:r w:rsidRPr="00D7384A">
        <w:rPr>
          <w:szCs w:val="22"/>
        </w:rPr>
        <w:t>Hamma</w:t>
      </w:r>
      <w:r w:rsidR="00964A6B" w:rsidRPr="00D7384A">
        <w:rPr>
          <w:szCs w:val="22"/>
        </w:rPr>
        <w:t>m</w:t>
      </w:r>
      <w:r w:rsidRPr="00D7384A">
        <w:rPr>
          <w:szCs w:val="22"/>
        </w:rPr>
        <w:t>et</w:t>
      </w:r>
      <w:proofErr w:type="spellEnd"/>
      <w:r w:rsidRPr="00D7384A">
        <w:rPr>
          <w:szCs w:val="22"/>
        </w:rPr>
        <w:t xml:space="preserve">, 2016) for the approval of the above-mentioned draft </w:t>
      </w:r>
      <w:r w:rsidR="00F37106">
        <w:rPr>
          <w:b/>
        </w:rPr>
        <w:t xml:space="preserve">new </w:t>
      </w:r>
      <w:r w:rsidR="00F37106" w:rsidRPr="00F37106">
        <w:rPr>
          <w:bCs/>
        </w:rPr>
        <w:t>Recommendation ITU-T Q.3643</w:t>
      </w:r>
      <w:r w:rsidR="00F37106">
        <w:rPr>
          <w:b/>
        </w:rPr>
        <w:t xml:space="preserve"> </w:t>
      </w:r>
      <w:r w:rsidR="00C007D7" w:rsidRPr="00D7384A">
        <w:rPr>
          <w:szCs w:val="22"/>
        </w:rPr>
        <w:t xml:space="preserve">at its next meeting in </w:t>
      </w:r>
      <w:r w:rsidR="00F37106" w:rsidRPr="004A4413">
        <w:t>Geneva, 22-31 July 2020</w:t>
      </w:r>
      <w:r w:rsidR="00733B5C">
        <w:t xml:space="preserve">. </w:t>
      </w:r>
      <w:r w:rsidR="00733B5C" w:rsidRPr="00733B5C">
        <w:t xml:space="preserve">The agenda and all relevant information concerning the ITU-T Study Group </w:t>
      </w:r>
      <w:r w:rsidR="007149AF">
        <w:t xml:space="preserve">11, </w:t>
      </w:r>
      <w:r w:rsidR="00733B5C" w:rsidRPr="00733B5C">
        <w:t xml:space="preserve">meeting will be available </w:t>
      </w:r>
      <w:r w:rsidR="00733B5C">
        <w:t>in</w:t>
      </w:r>
      <w:r w:rsidR="00733B5C" w:rsidRPr="00733B5C">
        <w:t xml:space="preserve"> Collective letter </w:t>
      </w:r>
      <w:r w:rsidR="003F0D56">
        <w:t>10/11</w:t>
      </w:r>
      <w:r w:rsidR="00733B5C">
        <w:t>.</w:t>
      </w:r>
    </w:p>
    <w:p w14:paraId="75E3EDC2" w14:textId="4037036A" w:rsidR="007C7DA8" w:rsidRPr="00D7384A" w:rsidRDefault="007C7DA8" w:rsidP="00C51F4B">
      <w:pPr>
        <w:rPr>
          <w:szCs w:val="22"/>
        </w:rPr>
      </w:pPr>
      <w:r w:rsidRPr="00D7384A">
        <w:rPr>
          <w:bCs/>
          <w:szCs w:val="22"/>
        </w:rPr>
        <w:t>2</w:t>
      </w:r>
      <w:r w:rsidRPr="00D7384A">
        <w:rPr>
          <w:szCs w:val="22"/>
        </w:rPr>
        <w:tab/>
      </w:r>
      <w:r w:rsidRPr="00D35A3A">
        <w:rPr>
          <w:szCs w:val="22"/>
        </w:rPr>
        <w:t>The title, summar</w:t>
      </w:r>
      <w:r w:rsidR="003F0D56" w:rsidRPr="00D35A3A">
        <w:rPr>
          <w:szCs w:val="22"/>
        </w:rPr>
        <w:t>y</w:t>
      </w:r>
      <w:r w:rsidRPr="00D35A3A">
        <w:rPr>
          <w:szCs w:val="22"/>
        </w:rPr>
        <w:t xml:space="preserve"> and location</w:t>
      </w:r>
      <w:r w:rsidR="003F0D56">
        <w:rPr>
          <w:szCs w:val="22"/>
        </w:rPr>
        <w:t xml:space="preserve"> </w:t>
      </w:r>
      <w:r w:rsidRPr="00D7384A">
        <w:rPr>
          <w:szCs w:val="22"/>
        </w:rPr>
        <w:t xml:space="preserve">of the draft ITU-T </w:t>
      </w:r>
      <w:r w:rsidRPr="0031651B">
        <w:rPr>
          <w:szCs w:val="22"/>
        </w:rPr>
        <w:t>Recommendation</w:t>
      </w:r>
      <w:r w:rsidR="00AB52F8">
        <w:rPr>
          <w:szCs w:val="22"/>
        </w:rPr>
        <w:t xml:space="preserve"> </w:t>
      </w:r>
      <w:r w:rsidRPr="00D7384A">
        <w:rPr>
          <w:szCs w:val="22"/>
        </w:rPr>
        <w:t xml:space="preserve">proposed for approval </w:t>
      </w:r>
      <w:r w:rsidR="00C51F4B" w:rsidRPr="00D7384A">
        <w:rPr>
          <w:szCs w:val="22"/>
        </w:rPr>
        <w:t>can</w:t>
      </w:r>
      <w:r w:rsidRPr="00D7384A">
        <w:rPr>
          <w:szCs w:val="22"/>
        </w:rPr>
        <w:t xml:space="preserve"> be found in </w:t>
      </w:r>
      <w:r w:rsidRPr="00AB52F8">
        <w:rPr>
          <w:b/>
          <w:bCs/>
          <w:szCs w:val="22"/>
        </w:rPr>
        <w:t>Annex 1</w:t>
      </w:r>
      <w:r w:rsidRPr="00D7384A">
        <w:rPr>
          <w:szCs w:val="22"/>
        </w:rPr>
        <w:t>.</w:t>
      </w:r>
    </w:p>
    <w:p w14:paraId="593492DD" w14:textId="7F0E16A9" w:rsidR="00826B97" w:rsidRDefault="007C7DA8" w:rsidP="00826B97">
      <w:r w:rsidRPr="00D7384A">
        <w:rPr>
          <w:bCs/>
          <w:szCs w:val="22"/>
        </w:rPr>
        <w:t>3</w:t>
      </w:r>
      <w:r w:rsidR="00691DAA" w:rsidRPr="00D7384A">
        <w:rPr>
          <w:szCs w:val="22"/>
        </w:rPr>
        <w:tab/>
      </w:r>
      <w:proofErr w:type="gramStart"/>
      <w:r w:rsidR="00E54801" w:rsidRPr="00D7384A">
        <w:rPr>
          <w:szCs w:val="22"/>
        </w:rPr>
        <w:t xml:space="preserve">This Circular </w:t>
      </w:r>
      <w:r w:rsidR="00860AE1" w:rsidRPr="00D7384A">
        <w:rPr>
          <w:szCs w:val="22"/>
        </w:rPr>
        <w:t>initiates</w:t>
      </w:r>
      <w:proofErr w:type="gramEnd"/>
      <w:r w:rsidR="00860AE1" w:rsidRPr="00D7384A">
        <w:rPr>
          <w:szCs w:val="22"/>
        </w:rPr>
        <w:t xml:space="preserve">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whether </w:t>
      </w:r>
      <w:r w:rsidR="00AB52F8" w:rsidRPr="0031651B">
        <w:rPr>
          <w:szCs w:val="22"/>
        </w:rPr>
        <w:t xml:space="preserve">this text </w:t>
      </w:r>
      <w:r w:rsidR="00860AE1" w:rsidRPr="00D7384A">
        <w:rPr>
          <w:szCs w:val="22"/>
        </w:rPr>
        <w:t xml:space="preserve">may </w:t>
      </w:r>
      <w:r w:rsidR="00E54801" w:rsidRPr="00D7384A">
        <w:rPr>
          <w:szCs w:val="22"/>
        </w:rPr>
        <w:t xml:space="preserve">be considered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2E0E8B" w:rsidRPr="00D7384A">
        <w:rPr>
          <w:szCs w:val="22"/>
        </w:rPr>
        <w:t>clause</w:t>
      </w:r>
      <w:r w:rsidR="00E32F10" w:rsidRPr="00D7384A">
        <w:rPr>
          <w:szCs w:val="22"/>
        </w:rPr>
        <w:t xml:space="preserve"> 9.4 of Resolution 1</w:t>
      </w:r>
      <w:r w:rsidR="00E54801" w:rsidRPr="00D7384A">
        <w:rPr>
          <w:szCs w:val="22"/>
        </w:rPr>
        <w:t xml:space="preserve">. Member </w:t>
      </w:r>
      <w:r w:rsidR="00860AE1" w:rsidRPr="00D7384A">
        <w:rPr>
          <w:szCs w:val="22"/>
        </w:rPr>
        <w:t xml:space="preserve">States </w:t>
      </w:r>
      <w:r w:rsidR="00E54801" w:rsidRPr="00D7384A">
        <w:rPr>
          <w:szCs w:val="22"/>
        </w:rPr>
        <w:t>are kindly request</w:t>
      </w:r>
      <w:r w:rsidR="00860AE1" w:rsidRPr="00D7384A">
        <w:rPr>
          <w:szCs w:val="22"/>
        </w:rPr>
        <w:t>ed</w:t>
      </w:r>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w:t>
      </w:r>
      <w:r w:rsidR="00E54801" w:rsidRPr="0033435D">
        <w:rPr>
          <w:b/>
          <w:bCs/>
          <w:szCs w:val="22"/>
        </w:rPr>
        <w:t>Annex 2</w:t>
      </w:r>
      <w:r w:rsidR="00E54801" w:rsidRPr="00D7384A">
        <w:rPr>
          <w:szCs w:val="22"/>
        </w:rPr>
        <w:t xml:space="preserve"> </w:t>
      </w:r>
      <w:r w:rsidR="002E0E8B" w:rsidRPr="00D7384A">
        <w:rPr>
          <w:szCs w:val="22"/>
        </w:rPr>
        <w:t xml:space="preserve">by </w:t>
      </w:r>
      <w:r w:rsidR="00E54801" w:rsidRPr="00D7384A">
        <w:rPr>
          <w:szCs w:val="22"/>
        </w:rPr>
        <w:t>2359 </w:t>
      </w:r>
      <w:r w:rsidR="00E32F10" w:rsidRPr="00D7384A">
        <w:rPr>
          <w:szCs w:val="22"/>
        </w:rPr>
        <w:t xml:space="preserve">hours UTC on </w:t>
      </w:r>
      <w:r w:rsidR="00105DDB">
        <w:rPr>
          <w:b/>
          <w:bCs/>
          <w:szCs w:val="22"/>
        </w:rPr>
        <w:t>10</w:t>
      </w:r>
      <w:r w:rsidR="00AB52F8" w:rsidRPr="00AB52F8">
        <w:rPr>
          <w:b/>
          <w:bCs/>
          <w:szCs w:val="22"/>
        </w:rPr>
        <w:t xml:space="preserve"> July 2020</w:t>
      </w:r>
      <w:r w:rsidR="00E32F10" w:rsidRPr="00D7384A">
        <w:t>.</w:t>
      </w:r>
    </w:p>
    <w:p w14:paraId="0F0EF53F" w14:textId="4BE3236A" w:rsidR="00826B97" w:rsidRDefault="00826B97" w:rsidP="00826B97">
      <w:pPr>
        <w:tabs>
          <w:tab w:val="clear" w:pos="794"/>
          <w:tab w:val="clear" w:pos="1191"/>
          <w:tab w:val="clear" w:pos="1588"/>
          <w:tab w:val="clear" w:pos="1985"/>
        </w:tabs>
        <w:overflowPunct/>
        <w:autoSpaceDE/>
        <w:autoSpaceDN/>
        <w:adjustRightInd/>
        <w:spacing w:before="0"/>
        <w:textAlignment w:val="auto"/>
      </w:pPr>
      <w:r>
        <w:br w:type="page"/>
      </w:r>
    </w:p>
    <w:p w14:paraId="27F073DB" w14:textId="77777777" w:rsidR="00826B97" w:rsidRDefault="006A2FAB" w:rsidP="00826B97">
      <w:r w:rsidRPr="00D7384A">
        <w:rPr>
          <w:bCs/>
        </w:rPr>
        <w:lastRenderedPageBreak/>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one Plenary session will be devote</w:t>
      </w:r>
      <w:r w:rsidR="003E07CD">
        <w:t xml:space="preserve">d </w:t>
      </w:r>
      <w:r w:rsidR="007C7DA8" w:rsidRPr="00D7384A">
        <w:t xml:space="preserve">to </w:t>
      </w:r>
      <w:proofErr w:type="gramStart"/>
      <w:r w:rsidR="007C7DA8" w:rsidRPr="00D7384A">
        <w:t>apply</w:t>
      </w:r>
      <w:proofErr w:type="gramEnd"/>
      <w:r w:rsidR="007C7DA8" w:rsidRPr="00D7384A">
        <w:t xml:space="preserve">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7B15431F" w14:textId="35DF6014" w:rsidR="00826B97" w:rsidRDefault="00691DAA" w:rsidP="00826B97">
      <w:pPr>
        <w:spacing w:before="240"/>
      </w:pPr>
      <w:r w:rsidRPr="00D7384A">
        <w:t>Yours faithfully,</w:t>
      </w:r>
    </w:p>
    <w:p w14:paraId="17D1860B" w14:textId="5575C1CC" w:rsidR="00852B82" w:rsidRPr="00D7384A" w:rsidRDefault="00456866" w:rsidP="00826B97">
      <w:pPr>
        <w:spacing w:before="960"/>
      </w:pPr>
      <w:r>
        <w:rPr>
          <w:noProof/>
        </w:rPr>
        <w:drawing>
          <wp:anchor distT="0" distB="0" distL="114300" distR="114300" simplePos="0" relativeHeight="251658240" behindDoc="1" locked="0" layoutInCell="1" allowOverlap="1" wp14:anchorId="4DF3D403" wp14:editId="204D5D81">
            <wp:simplePos x="0" y="0"/>
            <wp:positionH relativeFrom="column">
              <wp:posOffset>3810</wp:posOffset>
            </wp:positionH>
            <wp:positionV relativeFrom="paragraph">
              <wp:posOffset>129540</wp:posOffset>
            </wp:positionV>
            <wp:extent cx="766665" cy="323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9">
                      <a:extLst>
                        <a:ext uri="{28A0092B-C50C-407E-A947-70E740481C1C}">
                          <a14:useLocalDpi xmlns:a14="http://schemas.microsoft.com/office/drawing/2010/main" val="0"/>
                        </a:ext>
                      </a:extLst>
                    </a:blip>
                    <a:stretch>
                      <a:fillRect/>
                    </a:stretch>
                  </pic:blipFill>
                  <pic:spPr>
                    <a:xfrm>
                      <a:off x="0" y="0"/>
                      <a:ext cx="766665" cy="323850"/>
                    </a:xfrm>
                    <a:prstGeom prst="rect">
                      <a:avLst/>
                    </a:prstGeom>
                  </pic:spPr>
                </pic:pic>
              </a:graphicData>
            </a:graphic>
            <wp14:sizeRelH relativeFrom="margin">
              <wp14:pctWidth>0</wp14:pctWidth>
            </wp14:sizeRelH>
            <wp14:sizeRelV relativeFrom="margin">
              <wp14:pctHeight>0</wp14:pctHeight>
            </wp14:sizeRelV>
          </wp:anchor>
        </w:drawing>
      </w:r>
      <w:r w:rsidR="00691DAA" w:rsidRPr="00D7384A">
        <w:t>Chaesub Lee</w:t>
      </w:r>
      <w:bookmarkStart w:id="0" w:name="_GoBack"/>
      <w:bookmarkEnd w:id="0"/>
      <w:r w:rsidR="00691DAA" w:rsidRPr="00D7384A">
        <w:br/>
        <w:t>Director of the Telecommunication</w:t>
      </w:r>
      <w:r w:rsidR="00691DAA" w:rsidRPr="00D7384A">
        <w:br/>
        <w:t>Standardization Bureau</w:t>
      </w:r>
    </w:p>
    <w:p w14:paraId="5C0FFF61" w14:textId="77777777" w:rsidR="00852B82" w:rsidRPr="00D7384A" w:rsidRDefault="00691DAA" w:rsidP="00067FDC">
      <w:r w:rsidRPr="00D7384A">
        <w:rPr>
          <w:b/>
        </w:rPr>
        <w:t>Annex</w:t>
      </w:r>
      <w:r w:rsidR="00F96117" w:rsidRPr="00D7384A">
        <w:rPr>
          <w:b/>
        </w:rPr>
        <w:t>es</w:t>
      </w:r>
      <w:r w:rsidRPr="00D7384A">
        <w:rPr>
          <w:b/>
        </w:rPr>
        <w:t xml:space="preserve">: </w:t>
      </w:r>
      <w:r w:rsidR="00F96117" w:rsidRPr="00D7384A">
        <w:rPr>
          <w:b/>
        </w:rPr>
        <w:t>2</w:t>
      </w:r>
      <w:r w:rsidRPr="00D7384A">
        <w:br w:type="page"/>
      </w:r>
    </w:p>
    <w:p w14:paraId="6CC50C98" w14:textId="77777777" w:rsidR="00852B82" w:rsidRPr="00D7384A" w:rsidRDefault="00C13D40" w:rsidP="007C7DA8">
      <w:pPr>
        <w:pStyle w:val="Annextitle"/>
      </w:pPr>
      <w:r>
        <w:lastRenderedPageBreak/>
        <w:t>Annex 1</w:t>
      </w:r>
    </w:p>
    <w:p w14:paraId="5E8113AF" w14:textId="16E99BC6" w:rsidR="00852B82" w:rsidRPr="00D7384A" w:rsidRDefault="00691DAA">
      <w:pPr>
        <w:pStyle w:val="Annextitle"/>
      </w:pPr>
      <w:r w:rsidRPr="00D7384A">
        <w:t>Summary and location</w:t>
      </w:r>
      <w:r w:rsidR="0006765F" w:rsidRPr="00D7384A">
        <w:t xml:space="preserve"> of Determined draft </w:t>
      </w:r>
      <w:r w:rsidR="0031651B">
        <w:t>text</w:t>
      </w:r>
    </w:p>
    <w:p w14:paraId="18DD1324" w14:textId="4BAC7D23" w:rsidR="00852B82" w:rsidRPr="00D7384A" w:rsidRDefault="007C7DA8" w:rsidP="007C7DA8">
      <w:pPr>
        <w:pStyle w:val="Heading1"/>
        <w:rPr>
          <w:highlight w:val="yellow"/>
        </w:rPr>
      </w:pPr>
      <w:r w:rsidRPr="0031651B">
        <w:t>1</w:t>
      </w:r>
      <w:r w:rsidRPr="0031651B">
        <w:tab/>
        <w:t xml:space="preserve">Draft </w:t>
      </w:r>
      <w:r w:rsidR="009A2345">
        <w:t xml:space="preserve">new </w:t>
      </w:r>
      <w:r w:rsidR="0003021F" w:rsidRPr="0074004D">
        <w:t xml:space="preserve">Recommendation </w:t>
      </w:r>
      <w:r w:rsidR="004A4413" w:rsidRPr="0074004D">
        <w:t xml:space="preserve">ITU-T </w:t>
      </w:r>
      <w:r w:rsidR="0003021F" w:rsidRPr="0074004D">
        <w:t>Q.3643 (ex Q.DEN_IMS) [</w:t>
      </w:r>
      <w:hyperlink r:id="rId10" w:history="1">
        <w:r w:rsidR="0031651B" w:rsidRPr="0074004D">
          <w:rPr>
            <w:rStyle w:val="Hyperlink"/>
          </w:rPr>
          <w:t>SG11-</w:t>
        </w:r>
        <w:r w:rsidR="0003021F" w:rsidRPr="0074004D">
          <w:rPr>
            <w:rStyle w:val="Hyperlink"/>
          </w:rPr>
          <w:t>R</w:t>
        </w:r>
        <w:r w:rsidR="0074004D" w:rsidRPr="0074004D">
          <w:rPr>
            <w:rStyle w:val="Hyperlink"/>
          </w:rPr>
          <w:t>30</w:t>
        </w:r>
      </w:hyperlink>
      <w:r w:rsidR="0003021F" w:rsidRPr="0074004D">
        <w:t>]</w:t>
      </w:r>
    </w:p>
    <w:p w14:paraId="13DE52A9" w14:textId="26686A91" w:rsidR="00852B82" w:rsidRDefault="009A2345" w:rsidP="009A2345">
      <w:pPr>
        <w:pStyle w:val="Heading2"/>
        <w:rPr>
          <w:szCs w:val="24"/>
          <w:lang w:eastAsia="zh-CN"/>
        </w:rPr>
      </w:pPr>
      <w:bookmarkStart w:id="1" w:name="_Hlk36565863"/>
      <w:r w:rsidRPr="00E87278">
        <w:rPr>
          <w:szCs w:val="24"/>
          <w:lang w:eastAsia="zh-CN"/>
        </w:rPr>
        <w:t>Signalling architecture of distributed infrastructure ENUM networking for IM</w:t>
      </w:r>
      <w:r>
        <w:rPr>
          <w:szCs w:val="24"/>
          <w:lang w:eastAsia="zh-CN"/>
        </w:rPr>
        <w:t>S.</w:t>
      </w:r>
    </w:p>
    <w:bookmarkEnd w:id="1"/>
    <w:p w14:paraId="0ECD1252" w14:textId="0BFD4BAC" w:rsidR="009A2345" w:rsidRPr="009A2345" w:rsidRDefault="009A2345" w:rsidP="009A2345">
      <w:pPr>
        <w:rPr>
          <w:b/>
          <w:bCs/>
          <w:lang w:eastAsia="zh-CN"/>
        </w:rPr>
      </w:pPr>
      <w:r w:rsidRPr="009A2345">
        <w:rPr>
          <w:b/>
          <w:bCs/>
          <w:lang w:eastAsia="zh-CN"/>
        </w:rPr>
        <w:t>Summary</w:t>
      </w:r>
    </w:p>
    <w:p w14:paraId="0F4CB8AA" w14:textId="6820936E" w:rsidR="009A2345" w:rsidRPr="0031651B" w:rsidRDefault="009A2345" w:rsidP="0031651B">
      <w:pPr>
        <w:tabs>
          <w:tab w:val="left" w:pos="0"/>
        </w:tabs>
        <w:suppressAutoHyphens/>
        <w:spacing w:before="80"/>
        <w:rPr>
          <w:lang w:val="en-US" w:eastAsia="zh-CN"/>
        </w:rPr>
      </w:pPr>
      <w:r>
        <w:rPr>
          <w:lang w:eastAsia="zh-CN"/>
        </w:rPr>
        <w:t xml:space="preserve">This Recommendation defines the framework and signalling </w:t>
      </w:r>
      <w:r w:rsidRPr="006F6BC5">
        <w:t xml:space="preserve">architecture </w:t>
      </w:r>
      <w:r>
        <w:rPr>
          <w:rFonts w:hint="eastAsia"/>
          <w:lang w:eastAsia="zh-CN"/>
        </w:rPr>
        <w:t xml:space="preserve">for </w:t>
      </w:r>
      <w:r>
        <w:rPr>
          <w:lang w:val="en-US"/>
        </w:rPr>
        <w:t>distributed ENUM networking</w:t>
      </w:r>
      <w:r w:rsidRPr="00533F32">
        <w:rPr>
          <w:rFonts w:hint="eastAsia"/>
          <w:lang w:eastAsia="zh-CN"/>
        </w:rPr>
        <w:t xml:space="preserve"> </w:t>
      </w:r>
      <w:r w:rsidRPr="002D488D">
        <w:rPr>
          <w:rFonts w:hint="eastAsia"/>
          <w:lang w:eastAsia="zh-CN"/>
        </w:rPr>
        <w:t>in support of</w:t>
      </w:r>
      <w:r w:rsidRPr="002D488D">
        <w:rPr>
          <w:lang w:eastAsia="zh-CN"/>
        </w:rPr>
        <w:t xml:space="preserve"> IMS</w:t>
      </w:r>
      <w:r w:rsidRPr="002D488D">
        <w:rPr>
          <w:rFonts w:hint="eastAsia"/>
          <w:lang w:eastAsia="zh-CN"/>
        </w:rPr>
        <w:t xml:space="preserve"> interconnection</w:t>
      </w:r>
      <w:r>
        <w:rPr>
          <w:rFonts w:hint="eastAsia"/>
          <w:lang w:eastAsia="zh-CN"/>
        </w:rPr>
        <w:t xml:space="preserve">. </w:t>
      </w:r>
      <w:bookmarkStart w:id="2" w:name="_Toc252261290"/>
      <w:r w:rsidRPr="00533F32">
        <w:rPr>
          <w:lang w:eastAsia="zh-CN"/>
        </w:rPr>
        <w:t xml:space="preserve">Based on the </w:t>
      </w:r>
      <w:r>
        <w:rPr>
          <w:lang w:eastAsia="zh-CN"/>
        </w:rPr>
        <w:t xml:space="preserve">signalling </w:t>
      </w:r>
      <w:r w:rsidRPr="006F6BC5">
        <w:t>architecture</w:t>
      </w:r>
      <w:r>
        <w:rPr>
          <w:lang w:eastAsia="zh-CN"/>
        </w:rPr>
        <w:t xml:space="preserve"> of distributed ENUM model, it specifies the</w:t>
      </w:r>
      <w:r>
        <w:rPr>
          <w:rFonts w:hint="eastAsia"/>
          <w:lang w:eastAsia="zh-CN"/>
        </w:rPr>
        <w:t xml:space="preserve"> </w:t>
      </w:r>
      <w:r>
        <w:rPr>
          <w:lang w:eastAsia="zh-CN"/>
        </w:rPr>
        <w:t>signalling procedures of ENUM profile management and</w:t>
      </w:r>
      <w:r w:rsidRPr="004E69D3">
        <w:rPr>
          <w:lang w:eastAsia="zh-CN"/>
        </w:rPr>
        <w:t xml:space="preserve"> </w:t>
      </w:r>
      <w:r w:rsidRPr="002D488D">
        <w:rPr>
          <w:lang w:eastAsia="zh-CN"/>
        </w:rPr>
        <w:t xml:space="preserve">ENUM </w:t>
      </w:r>
      <w:bookmarkEnd w:id="2"/>
      <w:r w:rsidRPr="002D488D">
        <w:rPr>
          <w:lang w:eastAsia="zh-CN"/>
        </w:rPr>
        <w:t>resolution</w:t>
      </w:r>
      <w:r>
        <w:rPr>
          <w:lang w:eastAsia="zh-CN"/>
        </w:rPr>
        <w:t>. The signalling requirements and protocols</w:t>
      </w:r>
      <w:r w:rsidRPr="002B7D80">
        <w:rPr>
          <w:rFonts w:hint="eastAsia"/>
          <w:lang w:eastAsia="zh-CN"/>
        </w:rPr>
        <w:t xml:space="preserve"> </w:t>
      </w:r>
      <w:r w:rsidRPr="002D488D">
        <w:rPr>
          <w:rFonts w:hint="eastAsia"/>
          <w:lang w:eastAsia="zh-CN"/>
        </w:rPr>
        <w:t>to be applied for interfaces</w:t>
      </w:r>
      <w:r>
        <w:rPr>
          <w:lang w:eastAsia="zh-CN"/>
        </w:rPr>
        <w:t xml:space="preserve"> of </w:t>
      </w:r>
      <w:r>
        <w:rPr>
          <w:lang w:val="en-US"/>
        </w:rPr>
        <w:t>distributed ENUM networking are addressed as well.</w:t>
      </w:r>
    </w:p>
    <w:p w14:paraId="5315E4E0" w14:textId="59647F23" w:rsidR="00524224" w:rsidRPr="0031651B" w:rsidRDefault="001E17EA" w:rsidP="00524224">
      <w:r w:rsidRPr="0031651B">
        <w:t xml:space="preserve">This Determined draft text includes </w:t>
      </w:r>
      <w:r w:rsidRPr="00BE12BA">
        <w:t>normative references that require an ITU-T A.5 justification, which can be found in [</w:t>
      </w:r>
      <w:hyperlink r:id="rId11" w:history="1">
        <w:r w:rsidRPr="00BE12BA">
          <w:rPr>
            <w:rStyle w:val="Hyperlink"/>
          </w:rPr>
          <w:t>SG</w:t>
        </w:r>
        <w:r w:rsidR="0031651B" w:rsidRPr="00BE12BA">
          <w:rPr>
            <w:rStyle w:val="Hyperlink"/>
          </w:rPr>
          <w:t>11</w:t>
        </w:r>
        <w:r w:rsidRPr="00BE12BA">
          <w:rPr>
            <w:rStyle w:val="Hyperlink"/>
          </w:rPr>
          <w:t>-TD</w:t>
        </w:r>
        <w:r w:rsidR="0031651B" w:rsidRPr="00BE12BA">
          <w:rPr>
            <w:rStyle w:val="Hyperlink"/>
          </w:rPr>
          <w:t>1191</w:t>
        </w:r>
      </w:hyperlink>
      <w:r w:rsidRPr="00BE12BA">
        <w:t>]</w:t>
      </w:r>
    </w:p>
    <w:p w14:paraId="09FA4A28" w14:textId="7040081F" w:rsidR="0072062B" w:rsidRPr="0031651B" w:rsidRDefault="0072062B" w:rsidP="001F4FBE">
      <w:r w:rsidRPr="0031651B">
        <w:t xml:space="preserve">TSB NOTE – As of the date of this Circular, </w:t>
      </w:r>
      <w:r w:rsidRPr="00D35A3A">
        <w:t>no</w:t>
      </w:r>
      <w:r w:rsidR="0031651B" w:rsidRPr="0031651B">
        <w:t xml:space="preserve"> </w:t>
      </w:r>
      <w:r w:rsidRPr="0031651B">
        <w:t>IPR statement</w:t>
      </w:r>
      <w:r w:rsidR="00985B35" w:rsidRPr="0031651B">
        <w:t>s</w:t>
      </w:r>
      <w:r w:rsidRPr="0031651B">
        <w:t xml:space="preserve"> had been received by TSB regarding this draft text.</w:t>
      </w:r>
      <w:r w:rsidR="00ED76A0" w:rsidRPr="0031651B">
        <w:t xml:space="preserve"> </w:t>
      </w:r>
      <w:r w:rsidR="00985B35" w:rsidRPr="0031651B">
        <w:t xml:space="preserve">For </w:t>
      </w:r>
      <w:r w:rsidR="001F4FBE" w:rsidRPr="0031651B">
        <w:t xml:space="preserve">up-to-date </w:t>
      </w:r>
      <w:r w:rsidR="00985B35" w:rsidRPr="0031651B">
        <w:t xml:space="preserve">information, members are invited to consult the IPR database at </w:t>
      </w:r>
      <w:hyperlink r:id="rId12" w:history="1">
        <w:r w:rsidR="00ED76A0" w:rsidRPr="0031651B">
          <w:rPr>
            <w:rStyle w:val="Hyperlink"/>
          </w:rPr>
          <w:t>www.itu.int/ipr/</w:t>
        </w:r>
      </w:hyperlink>
      <w:r w:rsidR="00ED76A0" w:rsidRPr="0031651B">
        <w:t>.</w:t>
      </w:r>
    </w:p>
    <w:p w14:paraId="0D2D2E19" w14:textId="77777777" w:rsidR="009A1A66" w:rsidRPr="00D7384A" w:rsidRDefault="009A1A66" w:rsidP="00692261">
      <w:pPr>
        <w:pStyle w:val="Annextitle"/>
        <w:spacing w:before="120"/>
      </w:pPr>
      <w:r w:rsidRPr="00D7384A">
        <w:rPr>
          <w:highlight w:val="cyan"/>
        </w:rPr>
        <w:br w:type="page"/>
      </w:r>
      <w:r w:rsidR="00C13D40">
        <w:lastRenderedPageBreak/>
        <w:t>Annex 2</w:t>
      </w:r>
    </w:p>
    <w:p w14:paraId="194E2D48" w14:textId="258C14FC" w:rsidR="008F14F3" w:rsidRPr="00D7384A" w:rsidRDefault="008F14F3" w:rsidP="0006765F">
      <w:pPr>
        <w:pStyle w:val="Annextitle"/>
      </w:pPr>
      <w:r w:rsidRPr="00D7384A">
        <w:t xml:space="preserve">Subject: </w:t>
      </w:r>
      <w:r w:rsidR="00692261" w:rsidRPr="00D7384A">
        <w:t>Member State response</w:t>
      </w:r>
      <w:r w:rsidRPr="00D7384A">
        <w:t xml:space="preserve"> to TSB Circular </w:t>
      </w:r>
      <w:r w:rsidR="0049089B" w:rsidRPr="0049089B">
        <w:t>241</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0031651B">
        <w:t xml:space="preserve"> new</w:t>
      </w:r>
      <w:r w:rsidRPr="00D7384A">
        <w:t xml:space="preserve"> </w:t>
      </w:r>
      <w:r w:rsidR="0031651B" w:rsidRPr="0031651B">
        <w:t>Recommendation ITU-T Q.3643</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5002FBC4" w14:textId="77777777" w:rsidTr="00780D16">
        <w:tc>
          <w:tcPr>
            <w:tcW w:w="1005" w:type="dxa"/>
            <w:shd w:val="clear" w:color="auto" w:fill="auto"/>
          </w:tcPr>
          <w:p w14:paraId="672BDF79"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19290744"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56087B2B"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1E69F4B1" w14:textId="77777777" w:rsidR="008A779C" w:rsidRPr="00A43CA0" w:rsidRDefault="008A779C" w:rsidP="008F14F3">
            <w:pPr>
              <w:spacing w:before="0"/>
              <w:rPr>
                <w:szCs w:val="24"/>
                <w:lang w:val="fr-CH"/>
              </w:rPr>
            </w:pPr>
            <w:r w:rsidRPr="00A43CA0">
              <w:rPr>
                <w:szCs w:val="24"/>
                <w:lang w:val="fr-CH"/>
              </w:rPr>
              <w:t>Place des Nations</w:t>
            </w:r>
          </w:p>
          <w:p w14:paraId="61DCFC7F"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75CF77F0"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3339304B" w14:textId="77777777" w:rsidR="009A1A66" w:rsidRPr="00D7384A" w:rsidRDefault="008A779C" w:rsidP="009A1A66">
            <w:pPr>
              <w:rPr>
                <w:szCs w:val="24"/>
                <w:highlight w:val="green"/>
              </w:rPr>
            </w:pPr>
            <w:r w:rsidRPr="00D7384A">
              <w:rPr>
                <w:szCs w:val="24"/>
                <w:highlight w:val="green"/>
              </w:rPr>
              <w:t>[Name]</w:t>
            </w:r>
          </w:p>
          <w:p w14:paraId="33FE7BB2" w14:textId="77777777" w:rsidR="008A779C" w:rsidRPr="00D7384A" w:rsidRDefault="008A779C" w:rsidP="008F14F3">
            <w:pPr>
              <w:spacing w:before="0"/>
              <w:rPr>
                <w:szCs w:val="24"/>
                <w:highlight w:val="green"/>
              </w:rPr>
            </w:pPr>
            <w:r w:rsidRPr="00D7384A">
              <w:rPr>
                <w:szCs w:val="24"/>
                <w:highlight w:val="green"/>
              </w:rPr>
              <w:t>[Official role/title]</w:t>
            </w:r>
          </w:p>
          <w:p w14:paraId="44DC3C52" w14:textId="77777777" w:rsidR="008A779C" w:rsidRPr="00D7384A" w:rsidRDefault="008A779C" w:rsidP="009B72DB">
            <w:pPr>
              <w:spacing w:before="0"/>
              <w:rPr>
                <w:szCs w:val="24"/>
              </w:rPr>
            </w:pPr>
            <w:r w:rsidRPr="00D7384A">
              <w:rPr>
                <w:szCs w:val="24"/>
                <w:highlight w:val="green"/>
              </w:rPr>
              <w:t>[Address]</w:t>
            </w:r>
          </w:p>
        </w:tc>
      </w:tr>
      <w:tr w:rsidR="009A1A66" w:rsidRPr="00D7384A" w14:paraId="72D5BBEC" w14:textId="77777777" w:rsidTr="00780D16">
        <w:tc>
          <w:tcPr>
            <w:tcW w:w="1005" w:type="dxa"/>
            <w:shd w:val="clear" w:color="auto" w:fill="auto"/>
          </w:tcPr>
          <w:p w14:paraId="1D817036"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09BA9193"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556F7298" w14:textId="77777777" w:rsidR="009A1A66" w:rsidRPr="00D7384A" w:rsidRDefault="008A779C" w:rsidP="00692261">
            <w:pPr>
              <w:spacing w:before="0"/>
              <w:rPr>
                <w:szCs w:val="24"/>
              </w:rPr>
            </w:pPr>
            <w:r w:rsidRPr="00D7384A">
              <w:rPr>
                <w:szCs w:val="24"/>
              </w:rPr>
              <w:t>+41-22-730-5853</w:t>
            </w:r>
          </w:p>
          <w:p w14:paraId="2F8C01EB" w14:textId="77777777" w:rsidR="008A779C" w:rsidRPr="00D7384A" w:rsidRDefault="00456866"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29325FE7"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0C95D7FE"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6B8BF227" w14:textId="77777777" w:rsidR="009A1A66" w:rsidRPr="00D7384A" w:rsidRDefault="009A1A66" w:rsidP="00692261">
            <w:pPr>
              <w:spacing w:before="0"/>
              <w:rPr>
                <w:szCs w:val="24"/>
              </w:rPr>
            </w:pPr>
          </w:p>
        </w:tc>
      </w:tr>
      <w:tr w:rsidR="009A1A66" w:rsidRPr="00D7384A" w14:paraId="1B235893" w14:textId="77777777" w:rsidTr="00780D16">
        <w:tc>
          <w:tcPr>
            <w:tcW w:w="1005" w:type="dxa"/>
            <w:shd w:val="clear" w:color="auto" w:fill="auto"/>
          </w:tcPr>
          <w:p w14:paraId="0C975362"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246699D0"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0F2797C8"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7CF6979D"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3609C0AA"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2F311B9E" w14:textId="0BF53216"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4A4413">
        <w:rPr>
          <w:szCs w:val="24"/>
        </w:rPr>
        <w:t>text</w:t>
      </w:r>
      <w:r w:rsidRPr="00D7384A">
        <w:rPr>
          <w:szCs w:val="24"/>
        </w:rPr>
        <w:t xml:space="preserve"> listed in </w:t>
      </w:r>
      <w:r w:rsidR="00C51F4B" w:rsidRPr="00D7384A">
        <w:rPr>
          <w:szCs w:val="24"/>
        </w:rPr>
        <w:t xml:space="preserve">TSB Circular </w:t>
      </w:r>
      <w:r w:rsidR="0049089B" w:rsidRPr="0049089B">
        <w:rPr>
          <w:szCs w:val="24"/>
        </w:rPr>
        <w:t>241</w:t>
      </w:r>
      <w:r w:rsidR="00964A6B" w:rsidRPr="0049089B">
        <w:rPr>
          <w:szCs w:val="24"/>
        </w:rPr>
        <w:t>,</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4D72AB49" w14:textId="77777777" w:rsidTr="007149AF">
        <w:trPr>
          <w:tblHeader/>
        </w:trPr>
        <w:tc>
          <w:tcPr>
            <w:tcW w:w="2067" w:type="dxa"/>
            <w:shd w:val="clear" w:color="auto" w:fill="auto"/>
            <w:vAlign w:val="center"/>
          </w:tcPr>
          <w:p w14:paraId="09FD386B"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526A274E"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0A763C05" w14:textId="77777777" w:rsidTr="007149AF">
        <w:trPr>
          <w:trHeight w:val="748"/>
        </w:trPr>
        <w:tc>
          <w:tcPr>
            <w:tcW w:w="2067" w:type="dxa"/>
            <w:vMerge w:val="restart"/>
            <w:shd w:val="clear" w:color="auto" w:fill="auto"/>
            <w:vAlign w:val="center"/>
          </w:tcPr>
          <w:p w14:paraId="4321E217" w14:textId="6BF7FD81" w:rsidR="00BC4AC3" w:rsidRPr="00BC4AC3" w:rsidRDefault="00BC4AC3" w:rsidP="00BC4AC3">
            <w:pPr>
              <w:spacing w:before="60" w:after="60"/>
              <w:jc w:val="center"/>
              <w:rPr>
                <w:b/>
                <w:bCs/>
                <w:szCs w:val="24"/>
                <w:lang w:val="fr-CH"/>
              </w:rPr>
            </w:pPr>
            <w:r w:rsidRPr="00D7384A">
              <w:rPr>
                <w:b/>
                <w:bCs/>
                <w:szCs w:val="24"/>
              </w:rPr>
              <w:t xml:space="preserve">Draft </w:t>
            </w:r>
            <w:r w:rsidRPr="00B54CCA">
              <w:rPr>
                <w:b/>
                <w:bCs/>
                <w:szCs w:val="24"/>
              </w:rPr>
              <w:t xml:space="preserve">new </w:t>
            </w:r>
            <w:r w:rsidR="004A4413" w:rsidRPr="00B54CCA">
              <w:rPr>
                <w:b/>
                <w:bCs/>
                <w:szCs w:val="24"/>
              </w:rPr>
              <w:t>Recommendation ITU-T Q.3643</w:t>
            </w:r>
          </w:p>
        </w:tc>
        <w:tc>
          <w:tcPr>
            <w:tcW w:w="7652" w:type="dxa"/>
            <w:shd w:val="clear" w:color="auto" w:fill="auto"/>
            <w:vAlign w:val="center"/>
          </w:tcPr>
          <w:p w14:paraId="05EB6CA4" w14:textId="07E9347C"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456866">
              <w:rPr>
                <w:sz w:val="22"/>
                <w:szCs w:val="22"/>
              </w:rPr>
            </w:r>
            <w:r w:rsidR="00456866">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4A4413" w:rsidRPr="00B54CCA">
              <w:rPr>
                <w:szCs w:val="24"/>
              </w:rPr>
              <w:t>11</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33B392B7"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0B1046BB"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4BCB3069" w14:textId="77777777" w:rsidTr="007149AF">
        <w:trPr>
          <w:trHeight w:val="747"/>
        </w:trPr>
        <w:tc>
          <w:tcPr>
            <w:tcW w:w="2067" w:type="dxa"/>
            <w:vMerge/>
            <w:shd w:val="clear" w:color="auto" w:fill="auto"/>
            <w:vAlign w:val="center"/>
          </w:tcPr>
          <w:p w14:paraId="74E93540" w14:textId="77777777" w:rsidR="00BC4AC3" w:rsidRPr="00BC4AC3" w:rsidRDefault="00BC4AC3" w:rsidP="00BC4AC3">
            <w:pPr>
              <w:spacing w:before="60" w:after="60"/>
              <w:jc w:val="center"/>
              <w:rPr>
                <w:b/>
                <w:bCs/>
                <w:szCs w:val="24"/>
                <w:lang w:val="en-US"/>
              </w:rPr>
            </w:pPr>
          </w:p>
        </w:tc>
        <w:tc>
          <w:tcPr>
            <w:tcW w:w="7652" w:type="dxa"/>
            <w:shd w:val="clear" w:color="auto" w:fill="auto"/>
            <w:vAlign w:val="center"/>
          </w:tcPr>
          <w:p w14:paraId="31ACC340" w14:textId="0D2E0E3F"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456866">
              <w:rPr>
                <w:sz w:val="22"/>
                <w:szCs w:val="22"/>
              </w:rPr>
            </w:r>
            <w:r w:rsidR="00456866">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4A4413" w:rsidRPr="00B54CCA">
              <w:rPr>
                <w:szCs w:val="24"/>
              </w:rPr>
              <w:t>11</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4D0D14E5" w14:textId="77777777" w:rsidR="00C51F4B" w:rsidRPr="00D7384A" w:rsidRDefault="00C51F4B" w:rsidP="009A1A66"/>
    <w:p w14:paraId="09E76C7D" w14:textId="77777777" w:rsidR="008F14F3" w:rsidRPr="00D7384A" w:rsidRDefault="008F14F3" w:rsidP="00692261">
      <w:pPr>
        <w:spacing w:before="0"/>
      </w:pPr>
      <w:r w:rsidRPr="00D7384A">
        <w:t>Yours faithfully,</w:t>
      </w:r>
    </w:p>
    <w:p w14:paraId="0E399BFB" w14:textId="77777777" w:rsidR="008F14F3" w:rsidRPr="00D7384A" w:rsidRDefault="008F14F3" w:rsidP="008F14F3"/>
    <w:p w14:paraId="532191DF" w14:textId="77777777" w:rsidR="00692261" w:rsidRPr="00D7384A" w:rsidRDefault="00692261" w:rsidP="00692261">
      <w:pPr>
        <w:rPr>
          <w:szCs w:val="24"/>
          <w:highlight w:val="green"/>
        </w:rPr>
      </w:pPr>
      <w:r w:rsidRPr="00D7384A">
        <w:rPr>
          <w:szCs w:val="24"/>
          <w:highlight w:val="green"/>
        </w:rPr>
        <w:t>[Name]</w:t>
      </w:r>
    </w:p>
    <w:p w14:paraId="49E5FFDD" w14:textId="77777777" w:rsidR="00692261" w:rsidRPr="00D7384A" w:rsidRDefault="00692261" w:rsidP="00692261">
      <w:pPr>
        <w:rPr>
          <w:szCs w:val="24"/>
        </w:rPr>
      </w:pPr>
      <w:r w:rsidRPr="00D7384A">
        <w:rPr>
          <w:szCs w:val="24"/>
          <w:highlight w:val="green"/>
        </w:rPr>
        <w:t>[Official role/title]</w:t>
      </w:r>
    </w:p>
    <w:p w14:paraId="179591B0"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6002BC97" w14:textId="77777777" w:rsidR="00852B82" w:rsidRPr="00D7384A" w:rsidRDefault="00691DAA" w:rsidP="008F14F3">
      <w:pPr>
        <w:jc w:val="center"/>
      </w:pPr>
      <w:r w:rsidRPr="00D7384A">
        <w:t>___________</w:t>
      </w:r>
    </w:p>
    <w:sectPr w:rsidR="00852B82" w:rsidRPr="00D7384A" w:rsidSect="00852B82">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A2371" w14:textId="77777777" w:rsidR="001E3F3C" w:rsidRDefault="001E3F3C">
      <w:r>
        <w:separator/>
      </w:r>
    </w:p>
  </w:endnote>
  <w:endnote w:type="continuationSeparator" w:id="0">
    <w:p w14:paraId="31DAB7C2" w14:textId="77777777" w:rsidR="001E3F3C" w:rsidRDefault="001E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31FF2" w14:textId="77777777" w:rsidR="007149AF" w:rsidRPr="00F763C8" w:rsidRDefault="007149AF"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B16D7" w14:textId="77777777" w:rsidR="001E3F3C" w:rsidRDefault="001E3F3C">
      <w:r>
        <w:t>____________________</w:t>
      </w:r>
    </w:p>
  </w:footnote>
  <w:footnote w:type="continuationSeparator" w:id="0">
    <w:p w14:paraId="7D0F2C47" w14:textId="77777777" w:rsidR="001E3F3C" w:rsidRDefault="001E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83066" w14:textId="4938DCCD" w:rsidR="007149AF" w:rsidRDefault="007149AF" w:rsidP="00F763C8">
    <w:pPr>
      <w:pStyle w:val="Header"/>
    </w:pPr>
    <w:r>
      <w:t xml:space="preserve">- </w:t>
    </w:r>
    <w:r>
      <w:fldChar w:fldCharType="begin"/>
    </w:r>
    <w:r>
      <w:instrText xml:space="preserve"> PAGE   \* MERGEFORMAT </w:instrText>
    </w:r>
    <w:r>
      <w:fldChar w:fldCharType="separate"/>
    </w:r>
    <w:r w:rsidR="000F5616">
      <w:rPr>
        <w:noProof/>
      </w:rPr>
      <w:t>2</w:t>
    </w:r>
    <w:r>
      <w:rPr>
        <w:noProof/>
      </w:rPr>
      <w:fldChar w:fldCharType="end"/>
    </w:r>
    <w:r>
      <w:rPr>
        <w:noProof/>
      </w:rPr>
      <w:t xml:space="preserve"> -</w:t>
    </w:r>
    <w:r>
      <w:rPr>
        <w:noProof/>
      </w:rPr>
      <w:br/>
    </w:r>
    <w:r>
      <w:t>TSB Circular</w:t>
    </w:r>
    <w:r w:rsidRPr="00F763C8">
      <w:t xml:space="preserve"> </w:t>
    </w:r>
    <w:r w:rsidR="0033435D">
      <w:t>241</w:t>
    </w:r>
  </w:p>
  <w:p w14:paraId="59058242" w14:textId="77777777" w:rsidR="007149AF" w:rsidRDefault="007149A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FD"/>
    <w:rsid w:val="00013943"/>
    <w:rsid w:val="0003021F"/>
    <w:rsid w:val="00041231"/>
    <w:rsid w:val="000528FF"/>
    <w:rsid w:val="0006765F"/>
    <w:rsid w:val="00067FDC"/>
    <w:rsid w:val="00076B60"/>
    <w:rsid w:val="00087690"/>
    <w:rsid w:val="000E7066"/>
    <w:rsid w:val="000F5616"/>
    <w:rsid w:val="00105DDB"/>
    <w:rsid w:val="0016049B"/>
    <w:rsid w:val="00164419"/>
    <w:rsid w:val="0018039E"/>
    <w:rsid w:val="0018632F"/>
    <w:rsid w:val="001B1770"/>
    <w:rsid w:val="001E17EA"/>
    <w:rsid w:val="001E32E7"/>
    <w:rsid w:val="001E3F3C"/>
    <w:rsid w:val="001F3BDD"/>
    <w:rsid w:val="001F4FBE"/>
    <w:rsid w:val="002414F2"/>
    <w:rsid w:val="00290976"/>
    <w:rsid w:val="002A4977"/>
    <w:rsid w:val="002B3E1F"/>
    <w:rsid w:val="002E0E8B"/>
    <w:rsid w:val="0031651B"/>
    <w:rsid w:val="0033435D"/>
    <w:rsid w:val="00334A43"/>
    <w:rsid w:val="003C7BEF"/>
    <w:rsid w:val="003D4331"/>
    <w:rsid w:val="003E07CD"/>
    <w:rsid w:val="003F0D56"/>
    <w:rsid w:val="003F1773"/>
    <w:rsid w:val="00425273"/>
    <w:rsid w:val="00431C36"/>
    <w:rsid w:val="00440CB5"/>
    <w:rsid w:val="0045007E"/>
    <w:rsid w:val="00450779"/>
    <w:rsid w:val="00456866"/>
    <w:rsid w:val="0049089B"/>
    <w:rsid w:val="004A4413"/>
    <w:rsid w:val="004B1587"/>
    <w:rsid w:val="004B50B2"/>
    <w:rsid w:val="00520612"/>
    <w:rsid w:val="00524224"/>
    <w:rsid w:val="005C4FFD"/>
    <w:rsid w:val="005D124E"/>
    <w:rsid w:val="005D297E"/>
    <w:rsid w:val="00607E07"/>
    <w:rsid w:val="00626967"/>
    <w:rsid w:val="00630BA3"/>
    <w:rsid w:val="006666D7"/>
    <w:rsid w:val="006812CD"/>
    <w:rsid w:val="00691DAA"/>
    <w:rsid w:val="00692261"/>
    <w:rsid w:val="006A2FAB"/>
    <w:rsid w:val="006D7724"/>
    <w:rsid w:val="006E7431"/>
    <w:rsid w:val="007149AF"/>
    <w:rsid w:val="0072062B"/>
    <w:rsid w:val="00720A5D"/>
    <w:rsid w:val="007311BA"/>
    <w:rsid w:val="00733B5C"/>
    <w:rsid w:val="0074004D"/>
    <w:rsid w:val="00763B08"/>
    <w:rsid w:val="00765253"/>
    <w:rsid w:val="00770EF1"/>
    <w:rsid w:val="00780D16"/>
    <w:rsid w:val="00787F87"/>
    <w:rsid w:val="007A0105"/>
    <w:rsid w:val="007C7DA8"/>
    <w:rsid w:val="00800E48"/>
    <w:rsid w:val="00826B97"/>
    <w:rsid w:val="00831BAA"/>
    <w:rsid w:val="00852B82"/>
    <w:rsid w:val="00860AE1"/>
    <w:rsid w:val="008A540B"/>
    <w:rsid w:val="008A779C"/>
    <w:rsid w:val="008E5C2F"/>
    <w:rsid w:val="008F14F3"/>
    <w:rsid w:val="00901734"/>
    <w:rsid w:val="00944A88"/>
    <w:rsid w:val="0094539E"/>
    <w:rsid w:val="00964A6B"/>
    <w:rsid w:val="00985B35"/>
    <w:rsid w:val="009A1A66"/>
    <w:rsid w:val="009A2345"/>
    <w:rsid w:val="009B72DB"/>
    <w:rsid w:val="009D5E4E"/>
    <w:rsid w:val="009F7B79"/>
    <w:rsid w:val="00A4376F"/>
    <w:rsid w:val="00A43CA0"/>
    <w:rsid w:val="00AB52F8"/>
    <w:rsid w:val="00B33034"/>
    <w:rsid w:val="00B45C37"/>
    <w:rsid w:val="00B54CCA"/>
    <w:rsid w:val="00B6629C"/>
    <w:rsid w:val="00B84AE5"/>
    <w:rsid w:val="00B86BF0"/>
    <w:rsid w:val="00B94A59"/>
    <w:rsid w:val="00BA28E3"/>
    <w:rsid w:val="00BC4AC3"/>
    <w:rsid w:val="00BE12BA"/>
    <w:rsid w:val="00C007D7"/>
    <w:rsid w:val="00C13D40"/>
    <w:rsid w:val="00C23D2B"/>
    <w:rsid w:val="00C50517"/>
    <w:rsid w:val="00C51F4B"/>
    <w:rsid w:val="00C65B9E"/>
    <w:rsid w:val="00CF19B2"/>
    <w:rsid w:val="00CF3418"/>
    <w:rsid w:val="00D02492"/>
    <w:rsid w:val="00D22D78"/>
    <w:rsid w:val="00D35A3A"/>
    <w:rsid w:val="00D62CEF"/>
    <w:rsid w:val="00D7384A"/>
    <w:rsid w:val="00D92917"/>
    <w:rsid w:val="00DB770A"/>
    <w:rsid w:val="00DF1780"/>
    <w:rsid w:val="00DF664C"/>
    <w:rsid w:val="00E32F10"/>
    <w:rsid w:val="00E36B12"/>
    <w:rsid w:val="00E54801"/>
    <w:rsid w:val="00E55E1F"/>
    <w:rsid w:val="00E72D24"/>
    <w:rsid w:val="00EA3D68"/>
    <w:rsid w:val="00ED76A0"/>
    <w:rsid w:val="00F11BC5"/>
    <w:rsid w:val="00F21679"/>
    <w:rsid w:val="00F37106"/>
    <w:rsid w:val="00F64E52"/>
    <w:rsid w:val="00F751B3"/>
    <w:rsid w:val="00F763C8"/>
    <w:rsid w:val="00F96117"/>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B2CE51"/>
  <w15:docId w15:val="{98733266-1545-446E-AF11-051942D0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UnresolvedMention1">
    <w:name w:val="Unresolved Mention1"/>
    <w:basedOn w:val="DefaultParagraphFont"/>
    <w:uiPriority w:val="99"/>
    <w:semiHidden/>
    <w:unhideWhenUsed/>
    <w:rsid w:val="0031651B"/>
    <w:rPr>
      <w:color w:val="605E5C"/>
      <w:shd w:val="clear" w:color="auto" w:fill="E1DFDD"/>
    </w:rPr>
  </w:style>
  <w:style w:type="character" w:styleId="Emphasis">
    <w:name w:val="Emphasis"/>
    <w:basedOn w:val="DefaultParagraphFont"/>
    <w:uiPriority w:val="20"/>
    <w:qFormat/>
    <w:rsid w:val="003F0D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11-200304-TD-GEN-1191/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T17-SG11-R-0030/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tivo\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190</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4504</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Restivo, Charlyne</dc:creator>
  <cp:keywords/>
  <dc:description/>
  <cp:lastModifiedBy>Braud, Olivia</cp:lastModifiedBy>
  <cp:revision>17</cp:revision>
  <cp:lastPrinted>2020-04-01T08:56:00Z</cp:lastPrinted>
  <dcterms:created xsi:type="dcterms:W3CDTF">2020-03-19T10:50:00Z</dcterms:created>
  <dcterms:modified xsi:type="dcterms:W3CDTF">2020-04-01T08:56:00Z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