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21" w:type="dxa"/>
        <w:tblInd w:w="-90" w:type="dxa"/>
        <w:tblLayout w:type="fixed"/>
        <w:tblCellMar>
          <w:left w:w="0" w:type="dxa"/>
          <w:right w:w="0" w:type="dxa"/>
        </w:tblCellMar>
        <w:tblLook w:val="0000" w:firstRow="0" w:lastRow="0" w:firstColumn="0" w:lastColumn="0" w:noHBand="0" w:noVBand="0"/>
      </w:tblPr>
      <w:tblGrid>
        <w:gridCol w:w="920"/>
        <w:gridCol w:w="588"/>
        <w:gridCol w:w="567"/>
        <w:gridCol w:w="2835"/>
        <w:gridCol w:w="2977"/>
        <w:gridCol w:w="2126"/>
        <w:gridCol w:w="8"/>
      </w:tblGrid>
      <w:tr w:rsidR="00036F4F" w:rsidRPr="00316BA1" w14:paraId="21563248" w14:textId="77777777" w:rsidTr="002751B0">
        <w:trPr>
          <w:gridAfter w:val="1"/>
          <w:wAfter w:w="8" w:type="dxa"/>
          <w:cantSplit/>
        </w:trPr>
        <w:tc>
          <w:tcPr>
            <w:tcW w:w="1508" w:type="dxa"/>
            <w:gridSpan w:val="2"/>
            <w:vAlign w:val="center"/>
          </w:tcPr>
          <w:p w14:paraId="77536453" w14:textId="77777777" w:rsidR="00036F4F" w:rsidRPr="00316BA1" w:rsidRDefault="00036F4F" w:rsidP="00FC44C7">
            <w:pPr>
              <w:tabs>
                <w:tab w:val="right" w:pos="8732"/>
              </w:tabs>
              <w:spacing w:before="0"/>
              <w:rPr>
                <w:b/>
                <w:bCs/>
                <w:iCs/>
                <w:color w:val="FFFFFF"/>
                <w:sz w:val="30"/>
                <w:szCs w:val="30"/>
              </w:rPr>
            </w:pPr>
            <w:r w:rsidRPr="00316BA1">
              <w:rPr>
                <w:noProof/>
                <w:lang w:val="en-GB" w:eastAsia="en-GB"/>
              </w:rPr>
              <w:drawing>
                <wp:inline distT="0" distB="0" distL="0" distR="0" wp14:anchorId="2E38105B" wp14:editId="37D84914">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14:paraId="553CC1BB" w14:textId="77777777" w:rsidR="00036F4F" w:rsidRPr="00316BA1" w:rsidRDefault="00036F4F" w:rsidP="00FC44C7">
            <w:pPr>
              <w:spacing w:before="0"/>
              <w:rPr>
                <w:rFonts w:cs="Times New Roman Bold"/>
                <w:b/>
                <w:bCs/>
                <w:iCs/>
                <w:smallCaps/>
                <w:sz w:val="34"/>
                <w:szCs w:val="34"/>
              </w:rPr>
            </w:pPr>
            <w:r w:rsidRPr="00316BA1">
              <w:rPr>
                <w:rFonts w:cs="Times New Roman Bold"/>
                <w:b/>
                <w:bCs/>
                <w:iCs/>
                <w:smallCaps/>
                <w:sz w:val="34"/>
                <w:szCs w:val="34"/>
              </w:rPr>
              <w:t>Union internationale des télécommunications</w:t>
            </w:r>
          </w:p>
          <w:p w14:paraId="16E10D42" w14:textId="77777777" w:rsidR="00036F4F" w:rsidRPr="00316BA1" w:rsidRDefault="00036F4F" w:rsidP="00FC44C7">
            <w:pPr>
              <w:tabs>
                <w:tab w:val="right" w:pos="8732"/>
              </w:tabs>
              <w:spacing w:before="0"/>
              <w:rPr>
                <w:b/>
                <w:bCs/>
                <w:iCs/>
                <w:color w:val="FFFFFF"/>
                <w:sz w:val="30"/>
                <w:szCs w:val="30"/>
              </w:rPr>
            </w:pPr>
            <w:r w:rsidRPr="00316BA1">
              <w:rPr>
                <w:rFonts w:cs="Times New Roman Bold"/>
                <w:b/>
                <w:bCs/>
                <w:iCs/>
                <w:smallCaps/>
                <w:sz w:val="28"/>
                <w:szCs w:val="28"/>
              </w:rPr>
              <w:t>B</w:t>
            </w:r>
            <w:r w:rsidRPr="00316BA1">
              <w:rPr>
                <w:b/>
                <w:bCs/>
                <w:iCs/>
                <w:smallCaps/>
                <w:sz w:val="28"/>
                <w:szCs w:val="28"/>
              </w:rPr>
              <w:t>ureau de la Normalisation des Télécommunications</w:t>
            </w:r>
          </w:p>
        </w:tc>
        <w:tc>
          <w:tcPr>
            <w:tcW w:w="2126" w:type="dxa"/>
            <w:vAlign w:val="center"/>
          </w:tcPr>
          <w:p w14:paraId="52C66D26" w14:textId="77777777" w:rsidR="00036F4F" w:rsidRPr="00316BA1" w:rsidRDefault="00036F4F" w:rsidP="00FC44C7">
            <w:pPr>
              <w:spacing w:before="0"/>
              <w:jc w:val="right"/>
              <w:rPr>
                <w:color w:val="FFFFFF"/>
                <w:sz w:val="26"/>
                <w:szCs w:val="26"/>
              </w:rPr>
            </w:pPr>
          </w:p>
        </w:tc>
      </w:tr>
      <w:tr w:rsidR="00036F4F" w:rsidRPr="00316BA1" w14:paraId="15DFD091" w14:textId="77777777" w:rsidTr="002751B0">
        <w:trPr>
          <w:cantSplit/>
          <w:trHeight w:val="702"/>
        </w:trPr>
        <w:tc>
          <w:tcPr>
            <w:tcW w:w="2075" w:type="dxa"/>
            <w:gridSpan w:val="3"/>
          </w:tcPr>
          <w:p w14:paraId="02D3C814" w14:textId="77777777" w:rsidR="00036F4F" w:rsidRPr="00316BA1" w:rsidRDefault="00036F4F" w:rsidP="00FC44C7">
            <w:pPr>
              <w:tabs>
                <w:tab w:val="left" w:pos="4111"/>
              </w:tabs>
              <w:spacing w:before="10"/>
              <w:ind w:left="57"/>
            </w:pPr>
          </w:p>
        </w:tc>
        <w:tc>
          <w:tcPr>
            <w:tcW w:w="2835" w:type="dxa"/>
          </w:tcPr>
          <w:p w14:paraId="11AF6B87" w14:textId="77777777" w:rsidR="00036F4F" w:rsidRPr="00316BA1" w:rsidRDefault="00036F4F" w:rsidP="00FC44C7">
            <w:pPr>
              <w:tabs>
                <w:tab w:val="left" w:pos="4111"/>
              </w:tabs>
              <w:spacing w:before="10"/>
              <w:ind w:left="57"/>
              <w:rPr>
                <w:b/>
              </w:rPr>
            </w:pPr>
          </w:p>
        </w:tc>
        <w:tc>
          <w:tcPr>
            <w:tcW w:w="5111" w:type="dxa"/>
            <w:gridSpan w:val="3"/>
          </w:tcPr>
          <w:p w14:paraId="11BCDFBB" w14:textId="39E44270" w:rsidR="00036F4F" w:rsidRPr="00316BA1" w:rsidRDefault="00036F4F" w:rsidP="00FC44C7">
            <w:pPr>
              <w:tabs>
                <w:tab w:val="clear" w:pos="794"/>
                <w:tab w:val="clear" w:pos="1191"/>
                <w:tab w:val="clear" w:pos="1588"/>
                <w:tab w:val="clear" w:pos="1985"/>
                <w:tab w:val="left" w:pos="284"/>
              </w:tabs>
              <w:spacing w:after="120"/>
              <w:ind w:left="284" w:hanging="227"/>
            </w:pPr>
            <w:r w:rsidRPr="00316BA1">
              <w:t>Genève, le</w:t>
            </w:r>
            <w:r w:rsidR="00876369" w:rsidRPr="00316BA1">
              <w:t xml:space="preserve"> 22 avril 2020</w:t>
            </w:r>
          </w:p>
        </w:tc>
      </w:tr>
      <w:tr w:rsidR="00036F4F" w:rsidRPr="00316BA1" w14:paraId="1567BD56" w14:textId="77777777" w:rsidTr="002751B0">
        <w:trPr>
          <w:cantSplit/>
          <w:trHeight w:val="340"/>
        </w:trPr>
        <w:tc>
          <w:tcPr>
            <w:tcW w:w="920" w:type="dxa"/>
          </w:tcPr>
          <w:p w14:paraId="46511707" w14:textId="77777777" w:rsidR="00036F4F" w:rsidRPr="00316BA1" w:rsidRDefault="00036F4F" w:rsidP="00FC44C7">
            <w:pPr>
              <w:tabs>
                <w:tab w:val="left" w:pos="4111"/>
              </w:tabs>
              <w:spacing w:before="10"/>
              <w:ind w:left="57"/>
              <w:rPr>
                <w:b/>
                <w:bCs/>
              </w:rPr>
            </w:pPr>
            <w:proofErr w:type="gramStart"/>
            <w:r w:rsidRPr="00316BA1">
              <w:rPr>
                <w:b/>
                <w:bCs/>
              </w:rPr>
              <w:t>Réf.:</w:t>
            </w:r>
            <w:proofErr w:type="gramEnd"/>
          </w:p>
          <w:p w14:paraId="2FED44E8" w14:textId="77777777" w:rsidR="00036F4F" w:rsidRPr="00316BA1" w:rsidRDefault="00036F4F" w:rsidP="00FC44C7">
            <w:pPr>
              <w:tabs>
                <w:tab w:val="left" w:pos="4111"/>
              </w:tabs>
              <w:spacing w:before="10"/>
              <w:ind w:left="57"/>
              <w:rPr>
                <w:b/>
                <w:bCs/>
              </w:rPr>
            </w:pPr>
          </w:p>
        </w:tc>
        <w:tc>
          <w:tcPr>
            <w:tcW w:w="3990" w:type="dxa"/>
            <w:gridSpan w:val="3"/>
          </w:tcPr>
          <w:p w14:paraId="3C793832" w14:textId="05628A93" w:rsidR="00876369" w:rsidRPr="00316BA1" w:rsidRDefault="00876369" w:rsidP="00FC44C7">
            <w:pPr>
              <w:tabs>
                <w:tab w:val="left" w:pos="4111"/>
              </w:tabs>
              <w:spacing w:before="10"/>
              <w:ind w:left="57"/>
              <w:rPr>
                <w:b/>
              </w:rPr>
            </w:pPr>
            <w:r w:rsidRPr="00316BA1">
              <w:rPr>
                <w:b/>
              </w:rPr>
              <w:t>Circulaire TSB 246</w:t>
            </w:r>
          </w:p>
          <w:p w14:paraId="116DADAF" w14:textId="77777777" w:rsidR="00036F4F" w:rsidRPr="00316BA1" w:rsidRDefault="00876369" w:rsidP="00FC44C7">
            <w:pPr>
              <w:tabs>
                <w:tab w:val="left" w:pos="4111"/>
              </w:tabs>
              <w:spacing w:before="10"/>
              <w:ind w:left="57"/>
              <w:rPr>
                <w:bCs/>
              </w:rPr>
            </w:pPr>
            <w:r w:rsidRPr="00316BA1">
              <w:rPr>
                <w:bCs/>
              </w:rPr>
              <w:t>CE 17/XY</w:t>
            </w:r>
          </w:p>
        </w:tc>
        <w:tc>
          <w:tcPr>
            <w:tcW w:w="5111" w:type="dxa"/>
            <w:gridSpan w:val="3"/>
            <w:vMerge w:val="restart"/>
          </w:tcPr>
          <w:p w14:paraId="548CFEF0" w14:textId="77777777" w:rsidR="00036F4F" w:rsidRDefault="00036F4F" w:rsidP="00FC44C7">
            <w:pPr>
              <w:tabs>
                <w:tab w:val="clear" w:pos="794"/>
                <w:tab w:val="clear" w:pos="1191"/>
                <w:tab w:val="clear" w:pos="1588"/>
                <w:tab w:val="clear" w:pos="1985"/>
                <w:tab w:val="left" w:pos="284"/>
              </w:tabs>
              <w:spacing w:before="0"/>
              <w:ind w:left="284" w:hanging="227"/>
            </w:pPr>
            <w:bookmarkStart w:id="0" w:name="Addressee_F"/>
            <w:bookmarkEnd w:id="0"/>
            <w:r w:rsidRPr="00316BA1">
              <w:t>-</w:t>
            </w:r>
            <w:r w:rsidRPr="00316BA1">
              <w:tab/>
              <w:t xml:space="preserve">Aux administrations des </w:t>
            </w:r>
            <w:r w:rsidR="00876369" w:rsidRPr="00316BA1">
              <w:t>États</w:t>
            </w:r>
            <w:r w:rsidRPr="00316BA1">
              <w:t xml:space="preserve"> Membres de l'Union</w:t>
            </w:r>
          </w:p>
          <w:p w14:paraId="401D21E4" w14:textId="77777777" w:rsidR="002751B0" w:rsidRPr="00316BA1" w:rsidRDefault="002751B0" w:rsidP="002751B0">
            <w:pPr>
              <w:tabs>
                <w:tab w:val="left" w:pos="4111"/>
              </w:tabs>
              <w:spacing w:before="0"/>
            </w:pPr>
            <w:proofErr w:type="gramStart"/>
            <w:r w:rsidRPr="00316BA1">
              <w:rPr>
                <w:b/>
              </w:rPr>
              <w:t>Copie</w:t>
            </w:r>
            <w:r w:rsidRPr="00316BA1">
              <w:t>:</w:t>
            </w:r>
            <w:proofErr w:type="gramEnd"/>
          </w:p>
          <w:p w14:paraId="38AA0677" w14:textId="77777777" w:rsidR="002751B0" w:rsidRPr="00316BA1" w:rsidRDefault="002751B0" w:rsidP="002751B0">
            <w:pPr>
              <w:tabs>
                <w:tab w:val="clear" w:pos="794"/>
                <w:tab w:val="left" w:pos="226"/>
                <w:tab w:val="left" w:pos="4111"/>
              </w:tabs>
              <w:spacing w:before="0"/>
            </w:pPr>
            <w:r w:rsidRPr="00316BA1">
              <w:t>-</w:t>
            </w:r>
            <w:r w:rsidRPr="00316BA1">
              <w:tab/>
              <w:t>Aux Membres du Secteur UIT-</w:t>
            </w:r>
            <w:proofErr w:type="gramStart"/>
            <w:r w:rsidRPr="00316BA1">
              <w:t>T;</w:t>
            </w:r>
            <w:proofErr w:type="gramEnd"/>
          </w:p>
          <w:p w14:paraId="6DC6C683" w14:textId="77777777" w:rsidR="002751B0" w:rsidRPr="00316BA1" w:rsidRDefault="002751B0" w:rsidP="002751B0">
            <w:pPr>
              <w:tabs>
                <w:tab w:val="clear" w:pos="794"/>
                <w:tab w:val="left" w:pos="226"/>
                <w:tab w:val="left" w:pos="4111"/>
              </w:tabs>
              <w:spacing w:before="0"/>
              <w:ind w:left="226" w:hanging="226"/>
            </w:pPr>
            <w:r w:rsidRPr="00316BA1">
              <w:t>-</w:t>
            </w:r>
            <w:r w:rsidRPr="00316BA1">
              <w:tab/>
              <w:t>Aux Associés de l'UIT</w:t>
            </w:r>
            <w:r w:rsidRPr="00316BA1">
              <w:noBreakHyphen/>
              <w:t xml:space="preserve">T participant aux travaux de la Commission d'études </w:t>
            </w:r>
            <w:proofErr w:type="gramStart"/>
            <w:r w:rsidRPr="00316BA1">
              <w:t>17;</w:t>
            </w:r>
            <w:proofErr w:type="gramEnd"/>
          </w:p>
          <w:p w14:paraId="7DBA9422" w14:textId="77777777" w:rsidR="002751B0" w:rsidRPr="00316BA1" w:rsidRDefault="002751B0" w:rsidP="002751B0">
            <w:pPr>
              <w:tabs>
                <w:tab w:val="clear" w:pos="794"/>
                <w:tab w:val="left" w:pos="226"/>
                <w:tab w:val="left" w:pos="4111"/>
              </w:tabs>
              <w:spacing w:before="0"/>
              <w:ind w:left="226" w:hanging="226"/>
            </w:pPr>
            <w:r w:rsidRPr="00316BA1">
              <w:t>-</w:t>
            </w:r>
            <w:r w:rsidRPr="00316BA1">
              <w:tab/>
              <w:t xml:space="preserve">Aux établissements universitaires participant aux travaux de </w:t>
            </w:r>
            <w:proofErr w:type="gramStart"/>
            <w:r w:rsidRPr="00316BA1">
              <w:t>l'UIT;</w:t>
            </w:r>
            <w:proofErr w:type="gramEnd"/>
          </w:p>
          <w:p w14:paraId="79D1E8FD" w14:textId="77777777" w:rsidR="002751B0" w:rsidRPr="00316BA1" w:rsidRDefault="002751B0" w:rsidP="002751B0">
            <w:pPr>
              <w:tabs>
                <w:tab w:val="clear" w:pos="794"/>
                <w:tab w:val="left" w:pos="226"/>
                <w:tab w:val="left" w:pos="4111"/>
              </w:tabs>
              <w:spacing w:before="0"/>
              <w:ind w:left="226" w:hanging="226"/>
            </w:pPr>
            <w:r w:rsidRPr="00316BA1">
              <w:t>-</w:t>
            </w:r>
            <w:r w:rsidRPr="00316BA1">
              <w:tab/>
              <w:t>Aux Président et Vice-Présidents de la Commission d'études 17 de l'UIT</w:t>
            </w:r>
            <w:r w:rsidRPr="00316BA1">
              <w:noBreakHyphen/>
            </w:r>
            <w:proofErr w:type="gramStart"/>
            <w:r w:rsidRPr="00316BA1">
              <w:t>T;</w:t>
            </w:r>
            <w:proofErr w:type="gramEnd"/>
          </w:p>
          <w:p w14:paraId="04E42FDE" w14:textId="77777777" w:rsidR="002751B0" w:rsidRPr="00316BA1" w:rsidRDefault="002751B0" w:rsidP="002751B0">
            <w:pPr>
              <w:tabs>
                <w:tab w:val="clear" w:pos="794"/>
                <w:tab w:val="left" w:pos="226"/>
                <w:tab w:val="left" w:pos="4111"/>
              </w:tabs>
              <w:spacing w:before="0"/>
              <w:ind w:left="226" w:hanging="226"/>
            </w:pPr>
            <w:r w:rsidRPr="00316BA1">
              <w:t>-</w:t>
            </w:r>
            <w:r w:rsidRPr="00316BA1">
              <w:tab/>
              <w:t xml:space="preserve">À la Directrice du Bureau de développement des </w:t>
            </w:r>
            <w:proofErr w:type="gramStart"/>
            <w:r w:rsidRPr="00316BA1">
              <w:t>télécommunications;</w:t>
            </w:r>
            <w:proofErr w:type="gramEnd"/>
          </w:p>
          <w:p w14:paraId="7B1CA80C" w14:textId="410D1829" w:rsidR="002751B0" w:rsidRPr="00316BA1" w:rsidRDefault="002751B0" w:rsidP="002751B0">
            <w:pPr>
              <w:tabs>
                <w:tab w:val="clear" w:pos="794"/>
                <w:tab w:val="clear" w:pos="1191"/>
                <w:tab w:val="clear" w:pos="1588"/>
                <w:tab w:val="clear" w:pos="1985"/>
                <w:tab w:val="left" w:pos="284"/>
              </w:tabs>
              <w:spacing w:before="0"/>
              <w:ind w:left="284" w:hanging="227"/>
            </w:pPr>
            <w:r w:rsidRPr="00316BA1">
              <w:t>-</w:t>
            </w:r>
            <w:r w:rsidRPr="00316BA1">
              <w:tab/>
              <w:t>Au Directeur du Bureau des radiocommunications</w:t>
            </w:r>
          </w:p>
        </w:tc>
      </w:tr>
      <w:tr w:rsidR="00036F4F" w:rsidRPr="00316BA1" w14:paraId="37264C13" w14:textId="77777777" w:rsidTr="002751B0">
        <w:trPr>
          <w:cantSplit/>
        </w:trPr>
        <w:tc>
          <w:tcPr>
            <w:tcW w:w="920" w:type="dxa"/>
          </w:tcPr>
          <w:p w14:paraId="47D75226" w14:textId="77777777" w:rsidR="00036F4F" w:rsidRPr="00316BA1" w:rsidRDefault="00036F4F" w:rsidP="00FC44C7">
            <w:pPr>
              <w:tabs>
                <w:tab w:val="left" w:pos="4111"/>
              </w:tabs>
              <w:spacing w:before="10"/>
              <w:ind w:left="57"/>
              <w:rPr>
                <w:b/>
                <w:bCs/>
                <w:sz w:val="20"/>
              </w:rPr>
            </w:pPr>
            <w:proofErr w:type="gramStart"/>
            <w:r w:rsidRPr="00316BA1">
              <w:rPr>
                <w:b/>
                <w:bCs/>
              </w:rPr>
              <w:t>Tél.:</w:t>
            </w:r>
            <w:proofErr w:type="gramEnd"/>
          </w:p>
        </w:tc>
        <w:tc>
          <w:tcPr>
            <w:tcW w:w="3990" w:type="dxa"/>
            <w:gridSpan w:val="3"/>
          </w:tcPr>
          <w:p w14:paraId="2A7767B4" w14:textId="028DF337" w:rsidR="00036F4F" w:rsidRPr="00316BA1" w:rsidRDefault="00876369" w:rsidP="00FC44C7">
            <w:pPr>
              <w:tabs>
                <w:tab w:val="left" w:pos="4111"/>
              </w:tabs>
              <w:spacing w:before="0"/>
              <w:ind w:left="57"/>
            </w:pPr>
            <w:r w:rsidRPr="00316BA1">
              <w:t>+41 22 730 6206</w:t>
            </w:r>
          </w:p>
        </w:tc>
        <w:tc>
          <w:tcPr>
            <w:tcW w:w="5111" w:type="dxa"/>
            <w:gridSpan w:val="3"/>
            <w:vMerge/>
          </w:tcPr>
          <w:p w14:paraId="41D22D72" w14:textId="77777777" w:rsidR="00036F4F" w:rsidRPr="00316BA1" w:rsidRDefault="00036F4F" w:rsidP="00FC44C7">
            <w:pPr>
              <w:tabs>
                <w:tab w:val="left" w:pos="4111"/>
              </w:tabs>
              <w:spacing w:before="0"/>
              <w:rPr>
                <w:b/>
              </w:rPr>
            </w:pPr>
          </w:p>
        </w:tc>
      </w:tr>
      <w:tr w:rsidR="00036F4F" w:rsidRPr="00316BA1" w14:paraId="20525A96" w14:textId="77777777" w:rsidTr="002751B0">
        <w:trPr>
          <w:cantSplit/>
          <w:trHeight w:val="3402"/>
        </w:trPr>
        <w:tc>
          <w:tcPr>
            <w:tcW w:w="920" w:type="dxa"/>
          </w:tcPr>
          <w:p w14:paraId="50D78ECC" w14:textId="77777777" w:rsidR="00036F4F" w:rsidRDefault="00036F4F" w:rsidP="00FC44C7">
            <w:pPr>
              <w:tabs>
                <w:tab w:val="left" w:pos="4111"/>
              </w:tabs>
              <w:spacing w:before="10"/>
              <w:ind w:left="57"/>
              <w:rPr>
                <w:b/>
                <w:bCs/>
              </w:rPr>
            </w:pPr>
            <w:proofErr w:type="gramStart"/>
            <w:r w:rsidRPr="00316BA1">
              <w:rPr>
                <w:b/>
                <w:bCs/>
              </w:rPr>
              <w:t>Fax:</w:t>
            </w:r>
            <w:proofErr w:type="gramEnd"/>
          </w:p>
          <w:p w14:paraId="534150B0" w14:textId="788E09AA" w:rsidR="002751B0" w:rsidRPr="00316BA1" w:rsidRDefault="002751B0" w:rsidP="00FC44C7">
            <w:pPr>
              <w:tabs>
                <w:tab w:val="left" w:pos="4111"/>
              </w:tabs>
              <w:spacing w:before="10"/>
              <w:ind w:left="57"/>
              <w:rPr>
                <w:b/>
                <w:bCs/>
                <w:sz w:val="20"/>
              </w:rPr>
            </w:pPr>
            <w:proofErr w:type="gramStart"/>
            <w:r w:rsidRPr="00316BA1">
              <w:rPr>
                <w:b/>
                <w:bCs/>
              </w:rPr>
              <w:t>E-mail:</w:t>
            </w:r>
            <w:proofErr w:type="gramEnd"/>
          </w:p>
        </w:tc>
        <w:tc>
          <w:tcPr>
            <w:tcW w:w="3990" w:type="dxa"/>
            <w:gridSpan w:val="3"/>
          </w:tcPr>
          <w:p w14:paraId="5B23DC6D" w14:textId="77777777" w:rsidR="00036F4F" w:rsidRDefault="00036F4F" w:rsidP="00FC44C7">
            <w:pPr>
              <w:tabs>
                <w:tab w:val="left" w:pos="4111"/>
              </w:tabs>
              <w:spacing w:before="0"/>
              <w:ind w:left="57"/>
            </w:pPr>
            <w:r w:rsidRPr="00316BA1">
              <w:t>+41 22 730 5853</w:t>
            </w:r>
          </w:p>
          <w:p w14:paraId="0BC15D56" w14:textId="09CC2076" w:rsidR="002751B0" w:rsidRPr="00316BA1" w:rsidRDefault="002751B0" w:rsidP="00FC44C7">
            <w:pPr>
              <w:tabs>
                <w:tab w:val="left" w:pos="4111"/>
              </w:tabs>
              <w:spacing w:before="0"/>
              <w:ind w:left="57"/>
            </w:pPr>
            <w:hyperlink r:id="rId12" w:history="1">
              <w:r w:rsidRPr="00316BA1">
                <w:rPr>
                  <w:rStyle w:val="Hyperlink"/>
                </w:rPr>
                <w:t>tsbsg17@itu.int</w:t>
              </w:r>
            </w:hyperlink>
          </w:p>
        </w:tc>
        <w:tc>
          <w:tcPr>
            <w:tcW w:w="5111" w:type="dxa"/>
            <w:gridSpan w:val="3"/>
            <w:vMerge/>
          </w:tcPr>
          <w:p w14:paraId="14266737" w14:textId="77777777" w:rsidR="00036F4F" w:rsidRPr="00316BA1" w:rsidRDefault="00036F4F" w:rsidP="00FC44C7">
            <w:pPr>
              <w:tabs>
                <w:tab w:val="left" w:pos="4111"/>
              </w:tabs>
              <w:spacing w:before="0"/>
              <w:rPr>
                <w:b/>
              </w:rPr>
            </w:pPr>
          </w:p>
        </w:tc>
      </w:tr>
      <w:tr w:rsidR="00876369" w:rsidRPr="00316BA1" w14:paraId="3DA4C4C5" w14:textId="77777777" w:rsidTr="002751B0">
        <w:trPr>
          <w:gridAfter w:val="1"/>
          <w:wAfter w:w="8" w:type="dxa"/>
          <w:cantSplit/>
          <w:trHeight w:val="2241"/>
        </w:trPr>
        <w:tc>
          <w:tcPr>
            <w:tcW w:w="920" w:type="dxa"/>
          </w:tcPr>
          <w:p w14:paraId="7B7AAE87" w14:textId="77777777" w:rsidR="00876369" w:rsidRPr="00316BA1" w:rsidRDefault="00876369" w:rsidP="00FC44C7">
            <w:pPr>
              <w:tabs>
                <w:tab w:val="left" w:pos="4111"/>
              </w:tabs>
              <w:ind w:left="57"/>
              <w:rPr>
                <w:b/>
                <w:bCs/>
                <w:szCs w:val="22"/>
              </w:rPr>
            </w:pPr>
            <w:proofErr w:type="gramStart"/>
            <w:r w:rsidRPr="00316BA1">
              <w:rPr>
                <w:b/>
                <w:bCs/>
                <w:szCs w:val="22"/>
              </w:rPr>
              <w:t>Objet:</w:t>
            </w:r>
            <w:proofErr w:type="gramEnd"/>
          </w:p>
        </w:tc>
        <w:tc>
          <w:tcPr>
            <w:tcW w:w="9093" w:type="dxa"/>
            <w:gridSpan w:val="5"/>
          </w:tcPr>
          <w:p w14:paraId="2C86778A" w14:textId="40ABC710" w:rsidR="00876369" w:rsidRPr="00316BA1" w:rsidRDefault="00876369" w:rsidP="00FC44C7">
            <w:pPr>
              <w:tabs>
                <w:tab w:val="left" w:pos="4111"/>
              </w:tabs>
              <w:spacing w:after="120"/>
              <w:ind w:left="57"/>
              <w:rPr>
                <w:b/>
                <w:bCs/>
                <w:szCs w:val="22"/>
              </w:rPr>
            </w:pPr>
            <w:r w:rsidRPr="00316BA1">
              <w:rPr>
                <w:b/>
              </w:rPr>
              <w:t xml:space="preserve">Consultation des États Membres au sujet des textes déterminés des projets de </w:t>
            </w:r>
            <w:r w:rsidR="008E68DE" w:rsidRPr="00316BA1">
              <w:rPr>
                <w:b/>
              </w:rPr>
              <w:t>révision des Recommandations UIT-T</w:t>
            </w:r>
            <w:r w:rsidRPr="00316BA1">
              <w:rPr>
                <w:b/>
              </w:rPr>
              <w:t xml:space="preserve"> X.1054</w:t>
            </w:r>
            <w:r w:rsidR="008E68DE" w:rsidRPr="00316BA1">
              <w:rPr>
                <w:b/>
              </w:rPr>
              <w:t xml:space="preserve"> et </w:t>
            </w:r>
            <w:r w:rsidRPr="00316BA1">
              <w:rPr>
                <w:b/>
              </w:rPr>
              <w:t>X.1254</w:t>
            </w:r>
            <w:r w:rsidR="008E68DE" w:rsidRPr="00316BA1">
              <w:rPr>
                <w:b/>
              </w:rPr>
              <w:t>, et des projets de nouvelles Recommandations UIT-T</w:t>
            </w:r>
            <w:r w:rsidRPr="00316BA1">
              <w:rPr>
                <w:b/>
              </w:rPr>
              <w:t xml:space="preserve"> X.1148 (X.fdip), X.1216 (X.gcpie), X.1279 (X.eaasd), X.1366 (X.amas-iot), X.1367 (X.elf-iot), X.1403 (X.dlt-sec), X.1606 (X.SRCaaS), X.1750 (X.GSBDaaS) </w:t>
            </w:r>
            <w:r w:rsidR="008E68DE" w:rsidRPr="00316BA1">
              <w:rPr>
                <w:b/>
              </w:rPr>
              <w:t>et</w:t>
            </w:r>
            <w:r w:rsidRPr="00316BA1">
              <w:rPr>
                <w:b/>
              </w:rPr>
              <w:t xml:space="preserve"> X.1751 (X.sgtBD), qu'il est proposé d'approuver à la réunion de la Commission d'études</w:t>
            </w:r>
            <w:r w:rsidR="00637E7B" w:rsidRPr="00316BA1">
              <w:rPr>
                <w:b/>
              </w:rPr>
              <w:t> </w:t>
            </w:r>
            <w:r w:rsidRPr="00316BA1">
              <w:rPr>
                <w:b/>
              </w:rPr>
              <w:t>17 de l'UIT-T (</w:t>
            </w:r>
            <w:r w:rsidR="008E68DE" w:rsidRPr="00316BA1">
              <w:rPr>
                <w:b/>
              </w:rPr>
              <w:t>réunion virtuelle</w:t>
            </w:r>
            <w:r w:rsidRPr="00316BA1">
              <w:rPr>
                <w:b/>
              </w:rPr>
              <w:t xml:space="preserve">, </w:t>
            </w:r>
            <w:r w:rsidR="008E68DE" w:rsidRPr="00316BA1">
              <w:rPr>
                <w:b/>
              </w:rPr>
              <w:t>août/septembre</w:t>
            </w:r>
            <w:r w:rsidRPr="00316BA1">
              <w:rPr>
                <w:b/>
              </w:rPr>
              <w:t xml:space="preserve"> 2020)</w:t>
            </w:r>
          </w:p>
        </w:tc>
      </w:tr>
    </w:tbl>
    <w:p w14:paraId="751D9906" w14:textId="77777777" w:rsidR="00517A03" w:rsidRPr="00316BA1" w:rsidRDefault="00517A03" w:rsidP="00FC44C7">
      <w:bookmarkStart w:id="1" w:name="StartTyping_F"/>
      <w:bookmarkEnd w:id="1"/>
      <w:r w:rsidRPr="00316BA1">
        <w:t>Madame, Monsieur,</w:t>
      </w:r>
    </w:p>
    <w:p w14:paraId="3644299C" w14:textId="1816361A" w:rsidR="00876369" w:rsidRPr="00316BA1" w:rsidRDefault="00876369" w:rsidP="00FC44C7">
      <w:pPr>
        <w:rPr>
          <w:bCs/>
        </w:rPr>
      </w:pPr>
      <w:r w:rsidRPr="00316BA1">
        <w:rPr>
          <w:bCs/>
        </w:rPr>
        <w:t>1</w:t>
      </w:r>
      <w:r w:rsidRPr="00316BA1">
        <w:rPr>
          <w:bCs/>
        </w:rPr>
        <w:tab/>
        <w:t xml:space="preserve">La Commission d'études 17 de l'UIT-T (Sécurité) a l'intention d'appliquer la procédure d'approbation traditionnelle énoncée à la section 9 de la Résolution 1 (Rév. Hammamet, 2016) de l'AMNT pour l'approbation des </w:t>
      </w:r>
      <w:r w:rsidR="008E68DE" w:rsidRPr="00316BA1">
        <w:rPr>
          <w:bCs/>
        </w:rPr>
        <w:t xml:space="preserve">11 </w:t>
      </w:r>
      <w:r w:rsidRPr="00316BA1">
        <w:rPr>
          <w:bCs/>
        </w:rPr>
        <w:t>projets de Recommandations mentionnés ci-dessus à sa prochaine réunion</w:t>
      </w:r>
      <w:r w:rsidR="008E68DE" w:rsidRPr="00316BA1">
        <w:rPr>
          <w:bCs/>
        </w:rPr>
        <w:t xml:space="preserve"> virtuelle</w:t>
      </w:r>
      <w:r w:rsidRPr="00316BA1">
        <w:rPr>
          <w:bCs/>
        </w:rPr>
        <w:t xml:space="preserve">, qui </w:t>
      </w:r>
      <w:r w:rsidR="008E68DE" w:rsidRPr="00316BA1">
        <w:rPr>
          <w:bCs/>
        </w:rPr>
        <w:t>devrait se tenir en</w:t>
      </w:r>
      <w:r w:rsidRPr="00316BA1">
        <w:rPr>
          <w:bCs/>
        </w:rPr>
        <w:t xml:space="preserve"> août</w:t>
      </w:r>
      <w:r w:rsidR="008E68DE" w:rsidRPr="00316BA1">
        <w:rPr>
          <w:bCs/>
        </w:rPr>
        <w:t>/</w:t>
      </w:r>
      <w:r w:rsidRPr="00316BA1">
        <w:rPr>
          <w:bCs/>
        </w:rPr>
        <w:t>septembre 2020. L'ordre du jour ainsi que tous les renseignements pertinents concernant la réunion de la Commission d'études 17 de l'UIT-T seront disponibles dans la Lettre collective 9/17.</w:t>
      </w:r>
    </w:p>
    <w:p w14:paraId="6FFD132F" w14:textId="10F1243E" w:rsidR="00876369" w:rsidRPr="00316BA1" w:rsidRDefault="00876369" w:rsidP="00FC44C7">
      <w:pPr>
        <w:rPr>
          <w:bCs/>
        </w:rPr>
      </w:pPr>
      <w:r w:rsidRPr="00316BA1">
        <w:rPr>
          <w:bCs/>
        </w:rPr>
        <w:t>2</w:t>
      </w:r>
      <w:r w:rsidRPr="00316BA1">
        <w:rPr>
          <w:bCs/>
        </w:rPr>
        <w:tab/>
        <w:t>Vous trouverez dans l'</w:t>
      </w:r>
      <w:r w:rsidRPr="00316BA1">
        <w:rPr>
          <w:b/>
          <w:bCs/>
        </w:rPr>
        <w:t>Annexe 1</w:t>
      </w:r>
      <w:r w:rsidRPr="00316BA1">
        <w:rPr>
          <w:bCs/>
        </w:rPr>
        <w:t xml:space="preserve"> le titre, le résumé et la localisation des projets de </w:t>
      </w:r>
      <w:r w:rsidR="00C25325" w:rsidRPr="00316BA1">
        <w:rPr>
          <w:bCs/>
        </w:rPr>
        <w:t>révision de</w:t>
      </w:r>
      <w:r w:rsidR="00A872F1" w:rsidRPr="00316BA1">
        <w:rPr>
          <w:bCs/>
        </w:rPr>
        <w:t>s</w:t>
      </w:r>
      <w:r w:rsidR="00C25325" w:rsidRPr="00316BA1">
        <w:rPr>
          <w:bCs/>
        </w:rPr>
        <w:t xml:space="preserve"> Recommandations </w:t>
      </w:r>
      <w:r w:rsidR="00A872F1" w:rsidRPr="00316BA1">
        <w:rPr>
          <w:bCs/>
        </w:rPr>
        <w:t>UIT-T X.1054 et X.1254 et</w:t>
      </w:r>
      <w:r w:rsidR="00C25325" w:rsidRPr="00316BA1">
        <w:rPr>
          <w:bCs/>
        </w:rPr>
        <w:t xml:space="preserve"> des projets de nouvelles </w:t>
      </w:r>
      <w:r w:rsidRPr="00316BA1">
        <w:rPr>
          <w:bCs/>
        </w:rPr>
        <w:t>Recommandations</w:t>
      </w:r>
      <w:r w:rsidR="000A71F0" w:rsidRPr="00316BA1">
        <w:rPr>
          <w:bCs/>
        </w:rPr>
        <w:t xml:space="preserve"> </w:t>
      </w:r>
      <w:r w:rsidRPr="00316BA1">
        <w:rPr>
          <w:bCs/>
        </w:rPr>
        <w:t>UIT-T X.1148 (X.fdip), X.1216 (X.gcpie), X.1279 (X.eaasd), X.1366 (X.amas-iot), X.1367 (X.elf-iot), X.1403 (X.dlt-sec), X.1606 (X.SRCaaS), X.1750 (X.GSBDaaS) et X.1751 (X.sgtBD)</w:t>
      </w:r>
      <w:r w:rsidR="0094237A" w:rsidRPr="00316BA1">
        <w:rPr>
          <w:bCs/>
        </w:rPr>
        <w:t>,</w:t>
      </w:r>
      <w:r w:rsidR="00637E7B" w:rsidRPr="00316BA1">
        <w:rPr>
          <w:bCs/>
        </w:rPr>
        <w:t xml:space="preserve"> </w:t>
      </w:r>
      <w:r w:rsidRPr="00316BA1">
        <w:rPr>
          <w:bCs/>
        </w:rPr>
        <w:t>qu'il est proposé d'approuver.</w:t>
      </w:r>
    </w:p>
    <w:p w14:paraId="197AC2DC" w14:textId="33DB2F7B" w:rsidR="00876369" w:rsidRPr="00316BA1" w:rsidRDefault="00876369" w:rsidP="00FC44C7">
      <w:pPr>
        <w:rPr>
          <w:bCs/>
        </w:rPr>
      </w:pPr>
      <w:r w:rsidRPr="00316BA1">
        <w:rPr>
          <w:bCs/>
        </w:rPr>
        <w:t>3</w:t>
      </w:r>
      <w:r w:rsidRPr="00316BA1">
        <w:rPr>
          <w:bCs/>
        </w:rPr>
        <w:tab/>
        <w:t>La présente Circulaire a pour objet d'engager le processus de consultation formelle des États Membres de l'UIT, qui devront indiquer si ces textes peuvent être examinés en vue de leur approbation à la prochaine réunion, conformément au paragraphe 9.4 de la Résolution 1. Les États Membres sont priés de remplir le formulaire de l'</w:t>
      </w:r>
      <w:r w:rsidRPr="00316BA1">
        <w:rPr>
          <w:b/>
          <w:bCs/>
        </w:rPr>
        <w:t>Annexe 2</w:t>
      </w:r>
      <w:r w:rsidRPr="00316BA1">
        <w:rPr>
          <w:bCs/>
        </w:rPr>
        <w:t xml:space="preserve"> et de le renvoyer d'ici au </w:t>
      </w:r>
      <w:r w:rsidRPr="00316BA1">
        <w:rPr>
          <w:b/>
          <w:bCs/>
        </w:rPr>
        <w:t>1</w:t>
      </w:r>
      <w:r w:rsidR="00DE70FF" w:rsidRPr="00316BA1">
        <w:rPr>
          <w:b/>
          <w:bCs/>
        </w:rPr>
        <w:t>3 août</w:t>
      </w:r>
      <w:r w:rsidRPr="00316BA1">
        <w:rPr>
          <w:b/>
          <w:bCs/>
        </w:rPr>
        <w:t xml:space="preserve"> 2020</w:t>
      </w:r>
      <w:r w:rsidRPr="00316BA1">
        <w:rPr>
          <w:bCs/>
        </w:rPr>
        <w:t xml:space="preserve"> à 23 h 59 (UTC).</w:t>
      </w:r>
    </w:p>
    <w:p w14:paraId="69EC67D7" w14:textId="77777777" w:rsidR="00316BA1" w:rsidRPr="00316BA1" w:rsidRDefault="00316BA1" w:rsidP="00FC44C7">
      <w:pPr>
        <w:rPr>
          <w:bCs/>
        </w:rPr>
      </w:pPr>
      <w:r w:rsidRPr="00316BA1">
        <w:rPr>
          <w:bCs/>
        </w:rPr>
        <w:br w:type="page"/>
      </w:r>
    </w:p>
    <w:p w14:paraId="0B8464C2" w14:textId="6BB06A56" w:rsidR="00036F4F" w:rsidRPr="00316BA1" w:rsidRDefault="00876369" w:rsidP="00FC44C7">
      <w:pPr>
        <w:rPr>
          <w:bCs/>
        </w:rPr>
      </w:pPr>
      <w:r w:rsidRPr="00316BA1">
        <w:rPr>
          <w:bCs/>
        </w:rPr>
        <w:lastRenderedPageBreak/>
        <w:t>4</w:t>
      </w:r>
      <w:r w:rsidRPr="00316BA1">
        <w:rPr>
          <w:bCs/>
        </w:rPr>
        <w:tab/>
        <w:t>Si au moins 70% des réponses des États Membres sont en faveur de l'examen, aux fins d'approbation, de ces textes, une séance plénière sera consacrée à l'application de la procédure d'approbation. Les États Membres qui n'autorisent pas la commission d'études à procéder ainsi doivent informer le Directeur du TSB des motifs de cette décision et lui faire part des éventuelles modifications qui permettraient la poursuite des travaux.</w:t>
      </w:r>
    </w:p>
    <w:p w14:paraId="01B4AAA2" w14:textId="40375538" w:rsidR="00DE70FF" w:rsidRPr="00316BA1" w:rsidRDefault="00DE70FF" w:rsidP="00FC44C7">
      <w:pPr>
        <w:rPr>
          <w:bCs/>
        </w:rPr>
      </w:pPr>
      <w:r w:rsidRPr="00316BA1">
        <w:rPr>
          <w:bCs/>
        </w:rPr>
        <w:t>NOTE 1 DU TSB – À la date de la présente Circulaire, le TSB n'a reçu aucune déclaration concernant les droits de propriété intellectuelle relative à ces projets de texte</w:t>
      </w:r>
      <w:r w:rsidR="00181D43" w:rsidRPr="00316BA1">
        <w:rPr>
          <w:bCs/>
        </w:rPr>
        <w:t>s</w:t>
      </w:r>
      <w:r w:rsidRPr="00316BA1">
        <w:rPr>
          <w:bCs/>
        </w:rPr>
        <w:t>. Pour obtenir des renseignements actualisés, les membres sont invités à consulter la base de données relative aux droits de propriété intellectuelle à l'adresse</w:t>
      </w:r>
      <w:r w:rsidRPr="00316BA1">
        <w:rPr>
          <w:bCs/>
          <w:u w:val="single"/>
        </w:rPr>
        <w:t xml:space="preserve"> </w:t>
      </w:r>
      <w:hyperlink r:id="rId13" w:history="1">
        <w:r w:rsidRPr="00316BA1">
          <w:rPr>
            <w:rStyle w:val="Hyperlink"/>
            <w:bCs/>
          </w:rPr>
          <w:t>www.itu.int/ipr/</w:t>
        </w:r>
      </w:hyperlink>
      <w:r w:rsidRPr="00316BA1">
        <w:rPr>
          <w:bCs/>
        </w:rPr>
        <w:t>.</w:t>
      </w:r>
    </w:p>
    <w:p w14:paraId="711A1767" w14:textId="7B54090B" w:rsidR="00036F4F" w:rsidRPr="00316BA1" w:rsidRDefault="00DE70FF" w:rsidP="00FC44C7">
      <w:pPr>
        <w:rPr>
          <w:bCs/>
        </w:rPr>
      </w:pPr>
      <w:r w:rsidRPr="00316BA1">
        <w:rPr>
          <w:bCs/>
        </w:rPr>
        <w:t>NOTE 2 DU TSB – Aucun document de justification UIT-T A.5 n'a été élaboré pour ces projets de textes déterminés avant leur détermination.</w:t>
      </w:r>
    </w:p>
    <w:p w14:paraId="1100BBB6" w14:textId="5F3ABC14" w:rsidR="00BD6ECF" w:rsidRPr="00316BA1" w:rsidRDefault="00A7709B" w:rsidP="002751B0">
      <w:pPr>
        <w:spacing w:after="240"/>
      </w:pPr>
      <w:r>
        <w:rPr>
          <w:noProof/>
        </w:rPr>
        <w:drawing>
          <wp:anchor distT="0" distB="0" distL="114300" distR="114300" simplePos="0" relativeHeight="251658240" behindDoc="1" locked="0" layoutInCell="1" allowOverlap="1" wp14:anchorId="09938FB1" wp14:editId="34C09721">
            <wp:simplePos x="0" y="0"/>
            <wp:positionH relativeFrom="column">
              <wp:posOffset>3810</wp:posOffset>
            </wp:positionH>
            <wp:positionV relativeFrom="paragraph">
              <wp:posOffset>414655</wp:posOffset>
            </wp:positionV>
            <wp:extent cx="570865" cy="428625"/>
            <wp:effectExtent l="0" t="0" r="635" b="0"/>
            <wp:wrapNone/>
            <wp:docPr id="3" name="Picture 3"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FR.PNG"/>
                    <pic:cNvPicPr/>
                  </pic:nvPicPr>
                  <pic:blipFill>
                    <a:blip r:embed="rId14">
                      <a:extLst>
                        <a:ext uri="{28A0092B-C50C-407E-A947-70E740481C1C}">
                          <a14:useLocalDpi xmlns:a14="http://schemas.microsoft.com/office/drawing/2010/main" val="0"/>
                        </a:ext>
                      </a:extLst>
                    </a:blip>
                    <a:stretch>
                      <a:fillRect/>
                    </a:stretch>
                  </pic:blipFill>
                  <pic:spPr>
                    <a:xfrm>
                      <a:off x="0" y="0"/>
                      <a:ext cx="570865" cy="428625"/>
                    </a:xfrm>
                    <a:prstGeom prst="rect">
                      <a:avLst/>
                    </a:prstGeom>
                  </pic:spPr>
                </pic:pic>
              </a:graphicData>
            </a:graphic>
            <wp14:sizeRelH relativeFrom="margin">
              <wp14:pctWidth>0</wp14:pctWidth>
            </wp14:sizeRelH>
            <wp14:sizeRelV relativeFrom="margin">
              <wp14:pctHeight>0</wp14:pctHeight>
            </wp14:sizeRelV>
          </wp:anchor>
        </w:drawing>
      </w:r>
      <w:r w:rsidR="00517A03" w:rsidRPr="00316BA1">
        <w:t>Veuillez agréer, Madame, Monsieur, l</w:t>
      </w:r>
      <w:r w:rsidR="00167472" w:rsidRPr="00316BA1">
        <w:t>'</w:t>
      </w:r>
      <w:r w:rsidR="00517A03" w:rsidRPr="00316BA1">
        <w:t>assurance de ma haute considération.</w:t>
      </w:r>
    </w:p>
    <w:p w14:paraId="53EFB679" w14:textId="3DCF92AD" w:rsidR="00517A03" w:rsidRPr="00316BA1" w:rsidRDefault="00036F4F" w:rsidP="002751B0">
      <w:pPr>
        <w:keepNext/>
        <w:keepLines/>
        <w:spacing w:before="960"/>
        <w:ind w:right="-288"/>
        <w:rPr>
          <w:b/>
        </w:rPr>
      </w:pPr>
      <w:r w:rsidRPr="00316BA1">
        <w:t>Chaesub Lee</w:t>
      </w:r>
      <w:r w:rsidRPr="00316BA1">
        <w:br/>
        <w:t xml:space="preserve">Directeur du Bureau de la normalisation </w:t>
      </w:r>
      <w:r w:rsidRPr="00316BA1">
        <w:br/>
        <w:t>des télécommunications</w:t>
      </w:r>
    </w:p>
    <w:p w14:paraId="36C322F5" w14:textId="09AC756A" w:rsidR="00C45540" w:rsidRPr="00316BA1" w:rsidRDefault="00C45540" w:rsidP="00FC44C7">
      <w:pPr>
        <w:keepNext/>
        <w:keepLines/>
        <w:spacing w:before="3480" w:after="120"/>
        <w:ind w:right="-284"/>
      </w:pPr>
      <w:proofErr w:type="gramStart"/>
      <w:r w:rsidRPr="00316BA1">
        <w:rPr>
          <w:b/>
        </w:rPr>
        <w:t>Annexes:</w:t>
      </w:r>
      <w:proofErr w:type="gramEnd"/>
      <w:r w:rsidRPr="00316BA1">
        <w:rPr>
          <w:b/>
        </w:rPr>
        <w:t xml:space="preserve"> </w:t>
      </w:r>
      <w:r w:rsidRPr="00316BA1">
        <w:t>2</w:t>
      </w:r>
    </w:p>
    <w:p w14:paraId="1E7C077A" w14:textId="4B9F2AB9" w:rsidR="00C45540" w:rsidRPr="00316BA1" w:rsidRDefault="00C45540" w:rsidP="00FC44C7">
      <w:pPr>
        <w:keepNext/>
        <w:keepLines/>
        <w:spacing w:before="0"/>
        <w:ind w:right="-284"/>
      </w:pPr>
      <w:r w:rsidRPr="00316BA1">
        <w:br w:type="page"/>
      </w:r>
    </w:p>
    <w:p w14:paraId="3436EA07" w14:textId="01F6175E" w:rsidR="00C45540" w:rsidRPr="00316BA1" w:rsidRDefault="00C45540" w:rsidP="00FC44C7">
      <w:pPr>
        <w:pStyle w:val="AnnexTitle"/>
      </w:pPr>
      <w:r w:rsidRPr="00316BA1">
        <w:lastRenderedPageBreak/>
        <w:t>ANNEXE 1</w:t>
      </w:r>
      <w:r w:rsidRPr="00316BA1">
        <w:br/>
      </w:r>
      <w:r w:rsidRPr="00316BA1">
        <w:br/>
        <w:t>Résumé et localisation des textes déterminés des projets de Recommandations</w:t>
      </w:r>
      <w:r w:rsidR="0094237A" w:rsidRPr="00316BA1">
        <w:t xml:space="preserve"> UIT-T</w:t>
      </w:r>
      <w:r w:rsidR="00181D43" w:rsidRPr="00316BA1">
        <w:t xml:space="preserve"> </w:t>
      </w:r>
      <w:r w:rsidRPr="00316BA1">
        <w:t xml:space="preserve">X.1054, X.1148 (X.fdip), X.1216 (X.gcpie), X.1254, X.1279 (X.eaasd), X.1366 (X.amas-iot), </w:t>
      </w:r>
      <w:r w:rsidR="002F3C3D" w:rsidRPr="00316BA1">
        <w:br/>
      </w:r>
      <w:r w:rsidRPr="00316BA1">
        <w:t xml:space="preserve">X.1367 (X.elf-iot), X.1403 (X.dlt-sec), X.1606 (X.SRCaaS), </w:t>
      </w:r>
      <w:r w:rsidR="002F3C3D" w:rsidRPr="00316BA1">
        <w:br/>
      </w:r>
      <w:r w:rsidRPr="00316BA1">
        <w:t xml:space="preserve">X.1750 (X.GSBDaaS) </w:t>
      </w:r>
      <w:r w:rsidR="004A02CA" w:rsidRPr="00316BA1">
        <w:t>et</w:t>
      </w:r>
      <w:r w:rsidRPr="00316BA1">
        <w:t xml:space="preserve"> X.1751 (X.sgtBD)</w:t>
      </w:r>
    </w:p>
    <w:p w14:paraId="3D552F82" w14:textId="1583E711" w:rsidR="00C45540" w:rsidRPr="00316BA1" w:rsidRDefault="0094237A" w:rsidP="00FC44C7">
      <w:pPr>
        <w:pStyle w:val="Heading1"/>
        <w:numPr>
          <w:ilvl w:val="0"/>
          <w:numId w:val="5"/>
        </w:numPr>
        <w:tabs>
          <w:tab w:val="clear" w:pos="2127"/>
          <w:tab w:val="clear" w:pos="2410"/>
          <w:tab w:val="clear" w:pos="2921"/>
          <w:tab w:val="clear" w:pos="3261"/>
          <w:tab w:val="left" w:pos="1191"/>
          <w:tab w:val="left" w:pos="1588"/>
          <w:tab w:val="left" w:pos="1985"/>
        </w:tabs>
        <w:spacing w:before="200"/>
        <w:rPr>
          <w:rFonts w:cstheme="minorHAnsi"/>
        </w:rPr>
      </w:pPr>
      <w:r w:rsidRPr="00316BA1">
        <w:rPr>
          <w:rFonts w:cstheme="minorHAnsi"/>
        </w:rPr>
        <w:t>Projet de révision de la Recommandation UIT-T</w:t>
      </w:r>
      <w:r w:rsidR="00C45540" w:rsidRPr="00316BA1">
        <w:rPr>
          <w:rFonts w:cstheme="minorHAnsi"/>
        </w:rPr>
        <w:t xml:space="preserve"> </w:t>
      </w:r>
      <w:r w:rsidR="00C45540" w:rsidRPr="00316BA1">
        <w:rPr>
          <w:rFonts w:cstheme="minorHAnsi"/>
          <w:szCs w:val="22"/>
        </w:rPr>
        <w:t>X.1054 [</w:t>
      </w:r>
      <w:hyperlink r:id="rId15" w:history="1">
        <w:r w:rsidR="00C45540" w:rsidRPr="00316BA1">
          <w:rPr>
            <w:rStyle w:val="Hyperlink"/>
            <w:rFonts w:cstheme="minorHAnsi"/>
            <w:szCs w:val="22"/>
          </w:rPr>
          <w:t>R056</w:t>
        </w:r>
      </w:hyperlink>
      <w:r w:rsidR="00C45540" w:rsidRPr="00316BA1">
        <w:rPr>
          <w:rFonts w:cstheme="minorHAnsi"/>
        </w:rPr>
        <w:t>]</w:t>
      </w:r>
    </w:p>
    <w:p w14:paraId="080C6F0A" w14:textId="4B7039E6" w:rsidR="00C45540" w:rsidRPr="00316BA1" w:rsidRDefault="00CE1F3C" w:rsidP="00FC44C7">
      <w:pPr>
        <w:pStyle w:val="headingb"/>
      </w:pPr>
      <w:r w:rsidRPr="00316BA1">
        <w:t xml:space="preserve">Sécurité </w:t>
      </w:r>
      <w:r w:rsidR="002C4D39" w:rsidRPr="00316BA1">
        <w:t>de l'information</w:t>
      </w:r>
      <w:r w:rsidRPr="00316BA1">
        <w:t xml:space="preserve">, cybersécurité et protection de la vie privée – Gouvernance de la sécurité </w:t>
      </w:r>
      <w:r w:rsidR="002C4D39" w:rsidRPr="00316BA1">
        <w:t>de l'information</w:t>
      </w:r>
    </w:p>
    <w:p w14:paraId="600C79D2" w14:textId="672231EA" w:rsidR="00C45540" w:rsidRPr="00316BA1" w:rsidRDefault="00CE1F3C" w:rsidP="00FC44C7">
      <w:pPr>
        <w:pStyle w:val="headingb"/>
      </w:pPr>
      <w:r w:rsidRPr="00316BA1">
        <w:t>Résumé</w:t>
      </w:r>
    </w:p>
    <w:p w14:paraId="2228C60E" w14:textId="3EB97500" w:rsidR="002C4D39" w:rsidRPr="00316BA1" w:rsidRDefault="002C4D39" w:rsidP="00FC44C7">
      <w:pPr>
        <w:rPr>
          <w:rFonts w:eastAsia="Cambria"/>
          <w:lang w:bidi="en-US"/>
        </w:rPr>
      </w:pPr>
      <w:r w:rsidRPr="00316BA1">
        <w:rPr>
          <w:rFonts w:eastAsia="Cambria"/>
          <w:lang w:bidi="en-US"/>
        </w:rPr>
        <w:t xml:space="preserve">La sécurité de l'information est une question fondamentale pour les organisations, qui a pris de l'importance en raison des progrès rapides accomplis dans les </w:t>
      </w:r>
      <w:r w:rsidR="0044502C" w:rsidRPr="00316BA1">
        <w:rPr>
          <w:rFonts w:eastAsia="Cambria"/>
          <w:lang w:bidi="en-US"/>
        </w:rPr>
        <w:t xml:space="preserve">technologies et les </w:t>
      </w:r>
      <w:r w:rsidRPr="00316BA1">
        <w:rPr>
          <w:rFonts w:eastAsia="Cambria"/>
          <w:lang w:bidi="en-US"/>
        </w:rPr>
        <w:t>méthodes d'attaque, ainsi que des pressions réglementaires connexes qui se sont accentuées.</w:t>
      </w:r>
    </w:p>
    <w:p w14:paraId="10C6B9B0" w14:textId="5E2C3AEF" w:rsidR="002C4D39" w:rsidRPr="00316BA1" w:rsidRDefault="002C4D39" w:rsidP="00FC44C7">
      <w:pPr>
        <w:rPr>
          <w:rFonts w:eastAsia="Cambria"/>
          <w:lang w:bidi="en-US"/>
        </w:rPr>
      </w:pPr>
      <w:r w:rsidRPr="00316BA1">
        <w:rPr>
          <w:rFonts w:eastAsia="Cambria"/>
          <w:lang w:bidi="en-US"/>
        </w:rPr>
        <w:t>Une défaillance des contrôles de sécurité de l'information d'une organisation peut avoir de nombreuses conséquences négatives pour celle-ci et ses parties intéressées, y compris, sans toutefois s'y limiter, une détérioration du lien de confiance.</w:t>
      </w:r>
    </w:p>
    <w:p w14:paraId="16A95436" w14:textId="77777777" w:rsidR="00373E59" w:rsidRPr="00316BA1" w:rsidRDefault="00373E59" w:rsidP="00FC44C7">
      <w:pPr>
        <w:rPr>
          <w:rFonts w:eastAsia="Cambria"/>
          <w:lang w:bidi="en-US"/>
        </w:rPr>
      </w:pPr>
      <w:r w:rsidRPr="00316BA1">
        <w:rPr>
          <w:rFonts w:eastAsia="Cambria"/>
          <w:lang w:bidi="en-US"/>
        </w:rPr>
        <w:t xml:space="preserve">La gouvernance de la sécurité de l'information consiste à utiliser des ressources pour garantir la mise en œuvre efficace d'une stratégie de sécurité de l'information, et donne </w:t>
      </w:r>
      <w:proofErr w:type="gramStart"/>
      <w:r w:rsidRPr="00316BA1">
        <w:rPr>
          <w:rFonts w:eastAsia="Cambria"/>
          <w:lang w:bidi="en-US"/>
        </w:rPr>
        <w:t>l'assurance:</w:t>
      </w:r>
      <w:proofErr w:type="gramEnd"/>
    </w:p>
    <w:p w14:paraId="79104F17" w14:textId="69FCE0AF" w:rsidR="00373E59" w:rsidRPr="00316BA1" w:rsidRDefault="002F3C3D" w:rsidP="002F3C3D">
      <w:pPr>
        <w:pStyle w:val="enumlev1"/>
        <w:rPr>
          <w:rFonts w:eastAsia="SimSun"/>
        </w:rPr>
      </w:pPr>
      <w:r w:rsidRPr="00316BA1">
        <w:rPr>
          <w:rFonts w:eastAsia="SimSun"/>
        </w:rPr>
        <w:t>•</w:t>
      </w:r>
      <w:r w:rsidRPr="00316BA1">
        <w:rPr>
          <w:rFonts w:eastAsia="SimSun"/>
        </w:rPr>
        <w:tab/>
      </w:r>
      <w:r w:rsidR="00373E59" w:rsidRPr="00316BA1">
        <w:rPr>
          <w:rFonts w:eastAsia="SimSun"/>
        </w:rPr>
        <w:t xml:space="preserve">que les directives relatives à la sécurité de l'information seront </w:t>
      </w:r>
      <w:proofErr w:type="gramStart"/>
      <w:r w:rsidR="00373E59" w:rsidRPr="00316BA1">
        <w:rPr>
          <w:rFonts w:eastAsia="SimSun"/>
        </w:rPr>
        <w:t>respectées;</w:t>
      </w:r>
      <w:proofErr w:type="gramEnd"/>
      <w:r w:rsidR="00373E59" w:rsidRPr="00316BA1">
        <w:rPr>
          <w:rFonts w:eastAsia="SimSun"/>
          <w:spacing w:val="-10"/>
        </w:rPr>
        <w:t xml:space="preserve"> </w:t>
      </w:r>
      <w:r w:rsidR="00373E59" w:rsidRPr="00316BA1">
        <w:rPr>
          <w:rFonts w:eastAsia="SimSun"/>
        </w:rPr>
        <w:t>et</w:t>
      </w:r>
    </w:p>
    <w:p w14:paraId="01B71D65" w14:textId="7AAD19AA" w:rsidR="00373E59" w:rsidRPr="00316BA1" w:rsidRDefault="002F3C3D" w:rsidP="002F3C3D">
      <w:pPr>
        <w:pStyle w:val="enumlev1"/>
        <w:rPr>
          <w:rFonts w:eastAsia="SimSun"/>
        </w:rPr>
      </w:pPr>
      <w:r w:rsidRPr="00316BA1">
        <w:rPr>
          <w:rFonts w:eastAsia="SimSun"/>
        </w:rPr>
        <w:t>•</w:t>
      </w:r>
      <w:r w:rsidRPr="00316BA1">
        <w:rPr>
          <w:rFonts w:eastAsia="SimSun"/>
        </w:rPr>
        <w:tab/>
      </w:r>
      <w:r w:rsidR="00373E59" w:rsidRPr="00316BA1">
        <w:rPr>
          <w:rFonts w:eastAsia="SimSun"/>
        </w:rPr>
        <w:t>que l'organe directeur recevra des rapports fiables et pertinents sur les activités liées à la sécurité de l'information.</w:t>
      </w:r>
    </w:p>
    <w:p w14:paraId="68EF5EDE" w14:textId="680B639F" w:rsidR="00373E59" w:rsidRPr="00316BA1" w:rsidRDefault="00373E59" w:rsidP="00FC44C7">
      <w:pPr>
        <w:rPr>
          <w:rFonts w:eastAsia="Cambria"/>
          <w:lang w:bidi="en-US"/>
        </w:rPr>
      </w:pPr>
      <w:r w:rsidRPr="00316BA1">
        <w:rPr>
          <w:rFonts w:eastAsia="Cambria"/>
          <w:lang w:bidi="en-US"/>
        </w:rPr>
        <w:t>Cela aide l'organe directeur à prendre des décisions concernant les objectifs stratégiques de l'organisation grâce à la fourniture de renseignements sur la sécurité de l'information pouvant avoir une incidence sur ces objectifs. En outre, cela garantit que la stratégie de sécurité de l</w:t>
      </w:r>
      <w:r w:rsidR="00057CBA" w:rsidRPr="00316BA1">
        <w:rPr>
          <w:rFonts w:eastAsia="Cambria"/>
          <w:lang w:bidi="en-US"/>
        </w:rPr>
        <w:t>'</w:t>
      </w:r>
      <w:r w:rsidRPr="00316BA1">
        <w:rPr>
          <w:rFonts w:eastAsia="Cambria"/>
          <w:lang w:bidi="en-US"/>
        </w:rPr>
        <w:t>information concorde avec les objectifs généraux de l'entité.</w:t>
      </w:r>
    </w:p>
    <w:p w14:paraId="421746D0" w14:textId="77777777" w:rsidR="00373E59" w:rsidRPr="00316BA1" w:rsidRDefault="00373E59" w:rsidP="00FC44C7">
      <w:pPr>
        <w:rPr>
          <w:rFonts w:eastAsia="Cambria"/>
          <w:lang w:bidi="en-US"/>
        </w:rPr>
      </w:pPr>
      <w:r w:rsidRPr="00316BA1">
        <w:rPr>
          <w:rFonts w:eastAsia="Cambria"/>
          <w:lang w:bidi="en-US"/>
        </w:rPr>
        <w:t xml:space="preserve">Les responsables et autres membres du personnel des organisations doivent </w:t>
      </w:r>
      <w:proofErr w:type="gramStart"/>
      <w:r w:rsidRPr="00316BA1">
        <w:rPr>
          <w:rFonts w:eastAsia="Cambria"/>
          <w:lang w:bidi="en-US"/>
        </w:rPr>
        <w:t>comprendre:</w:t>
      </w:r>
      <w:proofErr w:type="gramEnd"/>
    </w:p>
    <w:p w14:paraId="12047414" w14:textId="5DBE7C00" w:rsidR="00373E59" w:rsidRPr="00316BA1" w:rsidRDefault="002F3C3D" w:rsidP="002F3C3D">
      <w:pPr>
        <w:pStyle w:val="enumlev1"/>
        <w:rPr>
          <w:rFonts w:eastAsia="SimSun"/>
        </w:rPr>
      </w:pPr>
      <w:r w:rsidRPr="00316BA1">
        <w:rPr>
          <w:rFonts w:eastAsia="SimSun"/>
        </w:rPr>
        <w:t>•</w:t>
      </w:r>
      <w:r w:rsidRPr="00316BA1">
        <w:rPr>
          <w:rFonts w:eastAsia="SimSun"/>
        </w:rPr>
        <w:tab/>
      </w:r>
      <w:r w:rsidR="00373E59" w:rsidRPr="00316BA1">
        <w:rPr>
          <w:rFonts w:eastAsia="SimSun"/>
        </w:rPr>
        <w:t xml:space="preserve">les exigences de gouvernance qui influent sur leur </w:t>
      </w:r>
      <w:proofErr w:type="gramStart"/>
      <w:r w:rsidR="00373E59" w:rsidRPr="00316BA1">
        <w:rPr>
          <w:rFonts w:eastAsia="SimSun"/>
        </w:rPr>
        <w:t>travail;</w:t>
      </w:r>
      <w:proofErr w:type="gramEnd"/>
      <w:r w:rsidR="00373E59" w:rsidRPr="00316BA1">
        <w:rPr>
          <w:rFonts w:eastAsia="SimSun"/>
        </w:rPr>
        <w:t xml:space="preserve"> et</w:t>
      </w:r>
    </w:p>
    <w:p w14:paraId="61DDD7B6" w14:textId="6FA805E8" w:rsidR="00373E59" w:rsidRPr="00316BA1" w:rsidRDefault="002F3C3D" w:rsidP="002F3C3D">
      <w:pPr>
        <w:pStyle w:val="enumlev1"/>
        <w:rPr>
          <w:rFonts w:eastAsia="SimSun"/>
        </w:rPr>
      </w:pPr>
      <w:r w:rsidRPr="00316BA1">
        <w:rPr>
          <w:rFonts w:eastAsia="SimSun"/>
        </w:rPr>
        <w:t>•</w:t>
      </w:r>
      <w:r w:rsidRPr="00316BA1">
        <w:rPr>
          <w:rFonts w:eastAsia="SimSun"/>
        </w:rPr>
        <w:tab/>
      </w:r>
      <w:r w:rsidR="00373E59" w:rsidRPr="00316BA1">
        <w:rPr>
          <w:rFonts w:eastAsia="SimSun"/>
        </w:rPr>
        <w:t>comment respecter les exigences de gouvernance qui leur imposent d'agir.</w:t>
      </w:r>
    </w:p>
    <w:p w14:paraId="541CB409" w14:textId="46132D6A" w:rsidR="00C45540" w:rsidRPr="00316BA1" w:rsidRDefault="00483183" w:rsidP="00FC44C7">
      <w:pPr>
        <w:pStyle w:val="Heading1"/>
        <w:numPr>
          <w:ilvl w:val="0"/>
          <w:numId w:val="5"/>
        </w:numPr>
        <w:tabs>
          <w:tab w:val="clear" w:pos="2127"/>
          <w:tab w:val="clear" w:pos="2410"/>
          <w:tab w:val="clear" w:pos="2921"/>
          <w:tab w:val="clear" w:pos="3261"/>
          <w:tab w:val="left" w:pos="1191"/>
          <w:tab w:val="left" w:pos="1588"/>
          <w:tab w:val="left" w:pos="1985"/>
        </w:tabs>
        <w:spacing w:before="200"/>
        <w:rPr>
          <w:rFonts w:cstheme="minorHAnsi"/>
        </w:rPr>
      </w:pPr>
      <w:r w:rsidRPr="00316BA1">
        <w:rPr>
          <w:rFonts w:cstheme="minorHAnsi"/>
        </w:rPr>
        <w:t>Projet de nouvelle Recommandation UIT</w:t>
      </w:r>
      <w:r w:rsidR="00C45540" w:rsidRPr="00316BA1">
        <w:rPr>
          <w:rFonts w:cstheme="minorHAnsi"/>
          <w:szCs w:val="22"/>
        </w:rPr>
        <w:t>-T</w:t>
      </w:r>
      <w:r w:rsidR="00C45540" w:rsidRPr="00316BA1">
        <w:rPr>
          <w:rFonts w:cstheme="minorHAnsi"/>
        </w:rPr>
        <w:t xml:space="preserve"> </w:t>
      </w:r>
      <w:r w:rsidR="00C45540" w:rsidRPr="00316BA1">
        <w:rPr>
          <w:rFonts w:cstheme="minorHAnsi"/>
          <w:szCs w:val="22"/>
        </w:rPr>
        <w:t>X.1148 (</w:t>
      </w:r>
      <w:proofErr w:type="gramStart"/>
      <w:r w:rsidR="00C45540" w:rsidRPr="00316BA1">
        <w:rPr>
          <w:rFonts w:cstheme="minorHAnsi"/>
          <w:szCs w:val="22"/>
        </w:rPr>
        <w:t>X.fdip</w:t>
      </w:r>
      <w:proofErr w:type="gramEnd"/>
      <w:r w:rsidR="00C45540" w:rsidRPr="00316BA1">
        <w:rPr>
          <w:rFonts w:cstheme="minorHAnsi"/>
          <w:szCs w:val="22"/>
        </w:rPr>
        <w:t>) [</w:t>
      </w:r>
      <w:hyperlink r:id="rId16" w:history="1">
        <w:r w:rsidR="00C45540" w:rsidRPr="00316BA1">
          <w:rPr>
            <w:rStyle w:val="Hyperlink"/>
            <w:rFonts w:cstheme="minorHAnsi"/>
            <w:szCs w:val="22"/>
          </w:rPr>
          <w:t>R060</w:t>
        </w:r>
      </w:hyperlink>
      <w:r w:rsidR="00C45540" w:rsidRPr="00316BA1">
        <w:rPr>
          <w:rFonts w:cstheme="minorHAnsi"/>
        </w:rPr>
        <w:t>]</w:t>
      </w:r>
    </w:p>
    <w:p w14:paraId="6C339FA6" w14:textId="6EC11526" w:rsidR="00C45540" w:rsidRPr="00316BA1" w:rsidRDefault="00483183" w:rsidP="00FC44C7">
      <w:pPr>
        <w:pStyle w:val="headingb"/>
        <w:rPr>
          <w:rFonts w:eastAsia="Malgun Gothic"/>
          <w:lang w:eastAsia="ko-KR"/>
        </w:rPr>
      </w:pPr>
      <w:r w:rsidRPr="00316BA1">
        <w:rPr>
          <w:rFonts w:eastAsia="Malgun Gothic"/>
          <w:lang w:eastAsia="ko-KR"/>
        </w:rPr>
        <w:t>Cadre applicable au processus de désidentification à l'intention des fournisseurs de services de télécommunication</w:t>
      </w:r>
    </w:p>
    <w:p w14:paraId="1380901B" w14:textId="0C8023C4" w:rsidR="00C45540" w:rsidRPr="00316BA1" w:rsidRDefault="00483183" w:rsidP="00FC44C7">
      <w:pPr>
        <w:pStyle w:val="headingb"/>
      </w:pPr>
      <w:r w:rsidRPr="00316BA1">
        <w:t>Résumé</w:t>
      </w:r>
    </w:p>
    <w:p w14:paraId="46250565" w14:textId="25091FEC" w:rsidR="00C45540" w:rsidRPr="00316BA1" w:rsidRDefault="00483183" w:rsidP="002F3C3D">
      <w:pPr>
        <w:rPr>
          <w:rFonts w:eastAsia="Malgun Gothic"/>
          <w:lang w:eastAsia="ko-KR"/>
        </w:rPr>
      </w:pPr>
      <w:r w:rsidRPr="00316BA1">
        <w:rPr>
          <w:rFonts w:eastAsia="Malgun Gothic"/>
          <w:lang w:eastAsia="ko-KR"/>
        </w:rPr>
        <w:t xml:space="preserve">Les organisations de télécommunication recueillent, gèrent, utilisent et partagent </w:t>
      </w:r>
      <w:r w:rsidR="00432C04" w:rsidRPr="00316BA1">
        <w:rPr>
          <w:rFonts w:eastAsia="Malgun Gothic"/>
          <w:lang w:eastAsia="ko-KR"/>
        </w:rPr>
        <w:t>d</w:t>
      </w:r>
      <w:r w:rsidRPr="00316BA1">
        <w:rPr>
          <w:rFonts w:eastAsia="Malgun Gothic"/>
          <w:lang w:eastAsia="ko-KR"/>
        </w:rPr>
        <w:t xml:space="preserve">es données concernant les particuliers, y compris </w:t>
      </w:r>
      <w:r w:rsidR="00432C04" w:rsidRPr="00316BA1">
        <w:rPr>
          <w:rFonts w:eastAsia="Malgun Gothic"/>
          <w:lang w:eastAsia="ko-KR"/>
        </w:rPr>
        <w:t>d</w:t>
      </w:r>
      <w:r w:rsidRPr="00316BA1">
        <w:rPr>
          <w:rFonts w:eastAsia="Malgun Gothic"/>
          <w:lang w:eastAsia="ko-KR"/>
        </w:rPr>
        <w:t xml:space="preserve">es informations d'identification personnelle. </w:t>
      </w:r>
      <w:r w:rsidR="00726865" w:rsidRPr="00316BA1">
        <w:rPr>
          <w:rFonts w:eastAsia="Malgun Gothic"/>
          <w:lang w:eastAsia="ko-KR"/>
        </w:rPr>
        <w:t>Par conséquent</w:t>
      </w:r>
      <w:r w:rsidRPr="00316BA1">
        <w:rPr>
          <w:rFonts w:eastAsia="Malgun Gothic"/>
          <w:lang w:eastAsia="ko-KR"/>
        </w:rPr>
        <w:t>, elles utilisent des techniques pour désidentifier les données, afin de protéger les données des particuliers.</w:t>
      </w:r>
      <w:r w:rsidRPr="00316BA1">
        <w:rPr>
          <w:rFonts w:eastAsia="SimSun"/>
          <w:lang w:eastAsia="zh-CN"/>
        </w:rPr>
        <w:t xml:space="preserve"> </w:t>
      </w:r>
      <w:r w:rsidR="009C21F7" w:rsidRPr="00316BA1">
        <w:rPr>
          <w:rFonts w:eastAsia="SimSun"/>
          <w:lang w:eastAsia="zh-CN"/>
        </w:rPr>
        <w:t>C</w:t>
      </w:r>
      <w:r w:rsidR="00432C04" w:rsidRPr="00316BA1">
        <w:rPr>
          <w:rFonts w:eastAsia="SimSun"/>
          <w:lang w:eastAsia="zh-CN"/>
        </w:rPr>
        <w:t>ette</w:t>
      </w:r>
      <w:r w:rsidRPr="00316BA1">
        <w:rPr>
          <w:rFonts w:eastAsia="SimSun"/>
          <w:lang w:eastAsia="zh-CN"/>
        </w:rPr>
        <w:t xml:space="preserve"> Recommandation </w:t>
      </w:r>
      <w:r w:rsidR="004878EE" w:rsidRPr="00316BA1">
        <w:rPr>
          <w:rFonts w:eastAsia="SimSun"/>
          <w:lang w:eastAsia="zh-CN"/>
        </w:rPr>
        <w:t xml:space="preserve">décrit </w:t>
      </w:r>
      <w:r w:rsidR="001353AC" w:rsidRPr="00316BA1">
        <w:rPr>
          <w:rFonts w:eastAsia="SimSun"/>
          <w:lang w:eastAsia="zh-CN"/>
        </w:rPr>
        <w:t>un</w:t>
      </w:r>
      <w:r w:rsidRPr="00316BA1">
        <w:rPr>
          <w:rFonts w:eastAsia="SimSun"/>
          <w:lang w:eastAsia="zh-CN"/>
        </w:rPr>
        <w:t xml:space="preserve"> cadre applicable au processus de désidentification, </w:t>
      </w:r>
      <w:r w:rsidR="001353AC" w:rsidRPr="00316BA1">
        <w:rPr>
          <w:rFonts w:eastAsia="SimSun"/>
          <w:lang w:eastAsia="zh-CN"/>
        </w:rPr>
        <w:t>et les étapes de sa mise en œuvre,</w:t>
      </w:r>
      <w:r w:rsidRPr="00316BA1">
        <w:rPr>
          <w:rFonts w:eastAsia="SimSun"/>
          <w:lang w:eastAsia="zh-CN"/>
        </w:rPr>
        <w:t xml:space="preserve"> </w:t>
      </w:r>
      <w:r w:rsidR="004878EE" w:rsidRPr="00316BA1">
        <w:rPr>
          <w:rFonts w:eastAsia="SimSun"/>
          <w:lang w:eastAsia="zh-CN"/>
        </w:rPr>
        <w:t xml:space="preserve">et spécifie </w:t>
      </w:r>
      <w:r w:rsidR="009C21F7" w:rsidRPr="00316BA1">
        <w:rPr>
          <w:rFonts w:eastAsia="SimSun"/>
          <w:lang w:eastAsia="zh-CN"/>
        </w:rPr>
        <w:t>les</w:t>
      </w:r>
      <w:r w:rsidRPr="00316BA1">
        <w:rPr>
          <w:rFonts w:eastAsia="SimSun"/>
          <w:lang w:eastAsia="zh-CN"/>
        </w:rPr>
        <w:t xml:space="preserve"> modèles </w:t>
      </w:r>
      <w:r w:rsidR="009C21F7" w:rsidRPr="00316BA1">
        <w:rPr>
          <w:rFonts w:eastAsia="SimSun"/>
          <w:lang w:eastAsia="zh-CN"/>
        </w:rPr>
        <w:t>de</w:t>
      </w:r>
      <w:r w:rsidRPr="00316BA1">
        <w:rPr>
          <w:rFonts w:eastAsia="SimSun"/>
          <w:lang w:eastAsia="zh-CN"/>
        </w:rPr>
        <w:t xml:space="preserve"> diffusion des données et les </w:t>
      </w:r>
      <w:r w:rsidR="00BD6A3D" w:rsidRPr="00316BA1">
        <w:rPr>
          <w:rFonts w:eastAsia="SimSun"/>
          <w:lang w:eastAsia="zh-CN"/>
        </w:rPr>
        <w:t>niveaux de</w:t>
      </w:r>
      <w:r w:rsidR="001548E9" w:rsidRPr="00316BA1">
        <w:rPr>
          <w:rFonts w:eastAsia="SimSun"/>
          <w:lang w:eastAsia="zh-CN"/>
        </w:rPr>
        <w:t xml:space="preserve"> désidentification des</w:t>
      </w:r>
      <w:r w:rsidR="00BD6A3D" w:rsidRPr="00316BA1">
        <w:rPr>
          <w:rFonts w:eastAsia="SimSun"/>
          <w:lang w:eastAsia="zh-CN"/>
        </w:rPr>
        <w:t xml:space="preserve"> données</w:t>
      </w:r>
      <w:r w:rsidRPr="00316BA1">
        <w:rPr>
          <w:rFonts w:eastAsia="SimSun"/>
          <w:lang w:eastAsia="zh-CN"/>
        </w:rPr>
        <w:t xml:space="preserve">, </w:t>
      </w:r>
      <w:r w:rsidR="009C21F7" w:rsidRPr="00316BA1">
        <w:rPr>
          <w:rFonts w:eastAsia="SimSun"/>
          <w:lang w:eastAsia="zh-CN"/>
        </w:rPr>
        <w:t>à l'intention des</w:t>
      </w:r>
      <w:r w:rsidR="00726865" w:rsidRPr="00316BA1">
        <w:rPr>
          <w:rFonts w:eastAsia="SimSun"/>
          <w:lang w:eastAsia="zh-CN"/>
        </w:rPr>
        <w:t xml:space="preserve"> fournisseurs de services de télécommunication, </w:t>
      </w:r>
      <w:r w:rsidR="001353AC" w:rsidRPr="00316BA1">
        <w:rPr>
          <w:rFonts w:eastAsia="SimSun"/>
          <w:lang w:eastAsia="zh-CN"/>
        </w:rPr>
        <w:t>compte tenu</w:t>
      </w:r>
      <w:r w:rsidR="00726865" w:rsidRPr="00316BA1">
        <w:rPr>
          <w:rFonts w:eastAsia="SimSun"/>
          <w:lang w:eastAsia="zh-CN"/>
        </w:rPr>
        <w:t xml:space="preserve"> du modèle de cycle de vie des données et du rôle des parties prenantes.</w:t>
      </w:r>
    </w:p>
    <w:p w14:paraId="154CC644" w14:textId="3064D54F" w:rsidR="00C45540" w:rsidRPr="00316BA1" w:rsidRDefault="00726865" w:rsidP="00FC44C7">
      <w:pPr>
        <w:pStyle w:val="Heading1"/>
        <w:numPr>
          <w:ilvl w:val="0"/>
          <w:numId w:val="5"/>
        </w:numPr>
        <w:tabs>
          <w:tab w:val="clear" w:pos="2127"/>
          <w:tab w:val="clear" w:pos="2410"/>
          <w:tab w:val="clear" w:pos="2921"/>
          <w:tab w:val="clear" w:pos="3261"/>
          <w:tab w:val="left" w:pos="1191"/>
          <w:tab w:val="left" w:pos="1588"/>
          <w:tab w:val="left" w:pos="1985"/>
        </w:tabs>
        <w:spacing w:before="200"/>
        <w:rPr>
          <w:rFonts w:cstheme="minorHAnsi"/>
        </w:rPr>
      </w:pPr>
      <w:r w:rsidRPr="00316BA1">
        <w:rPr>
          <w:rFonts w:cstheme="minorHAnsi"/>
        </w:rPr>
        <w:lastRenderedPageBreak/>
        <w:t>Projet de nouvelle Recommandation UIT-T</w:t>
      </w:r>
      <w:r w:rsidR="00C45540" w:rsidRPr="00316BA1">
        <w:rPr>
          <w:rFonts w:cstheme="minorHAnsi"/>
        </w:rPr>
        <w:t xml:space="preserve"> </w:t>
      </w:r>
      <w:r w:rsidR="00C45540" w:rsidRPr="00316BA1">
        <w:rPr>
          <w:rFonts w:cstheme="minorHAnsi"/>
          <w:szCs w:val="22"/>
        </w:rPr>
        <w:t>X.1216 (</w:t>
      </w:r>
      <w:proofErr w:type="gramStart"/>
      <w:r w:rsidR="00C45540" w:rsidRPr="00316BA1">
        <w:rPr>
          <w:rFonts w:cstheme="minorHAnsi"/>
          <w:szCs w:val="22"/>
        </w:rPr>
        <w:t>X.gcpie</w:t>
      </w:r>
      <w:proofErr w:type="gramEnd"/>
      <w:r w:rsidR="00C45540" w:rsidRPr="00316BA1">
        <w:rPr>
          <w:rFonts w:cstheme="minorHAnsi"/>
          <w:szCs w:val="22"/>
        </w:rPr>
        <w:t>) [</w:t>
      </w:r>
      <w:hyperlink r:id="rId17" w:history="1">
        <w:r w:rsidR="00C45540" w:rsidRPr="00316BA1">
          <w:rPr>
            <w:rStyle w:val="Hyperlink"/>
            <w:rFonts w:cstheme="minorHAnsi"/>
            <w:szCs w:val="22"/>
          </w:rPr>
          <w:t>R057</w:t>
        </w:r>
      </w:hyperlink>
      <w:r w:rsidR="00C45540" w:rsidRPr="00316BA1">
        <w:rPr>
          <w:rFonts w:cstheme="minorHAnsi"/>
        </w:rPr>
        <w:t>]</w:t>
      </w:r>
    </w:p>
    <w:p w14:paraId="3D5ED8A0" w14:textId="4433BE30" w:rsidR="00C45540" w:rsidRPr="00316BA1" w:rsidRDefault="00726865" w:rsidP="00FC44C7">
      <w:pPr>
        <w:pStyle w:val="headingb"/>
      </w:pPr>
      <w:r w:rsidRPr="00316BA1">
        <w:t>Exigences en matière de collecte et de conservation de preuves relatives aux incidents de cybersécurité</w:t>
      </w:r>
      <w:r w:rsidR="00C45540" w:rsidRPr="00316BA1">
        <w:t xml:space="preserve"> </w:t>
      </w:r>
    </w:p>
    <w:p w14:paraId="7AA93542" w14:textId="0A03669E" w:rsidR="00C45540" w:rsidRPr="00316BA1" w:rsidRDefault="00726865" w:rsidP="00FC44C7">
      <w:pPr>
        <w:pStyle w:val="headingb"/>
        <w:rPr>
          <w:bCs/>
        </w:rPr>
      </w:pPr>
      <w:r w:rsidRPr="00316BA1">
        <w:rPr>
          <w:bCs/>
        </w:rPr>
        <w:t>Résumé</w:t>
      </w:r>
    </w:p>
    <w:p w14:paraId="486D1B96" w14:textId="7EA8773C" w:rsidR="00C45540" w:rsidRPr="00316BA1" w:rsidRDefault="00726865" w:rsidP="00FC44C7">
      <w:pPr>
        <w:rPr>
          <w:rFonts w:eastAsia="Malgun Gothic"/>
          <w:lang w:eastAsia="ko-KR"/>
        </w:rPr>
      </w:pPr>
      <w:r w:rsidRPr="00316BA1">
        <w:rPr>
          <w:rFonts w:eastAsia="Malgun Gothic"/>
          <w:lang w:eastAsia="ko-KR"/>
        </w:rPr>
        <w:t xml:space="preserve">La Recommandation UIT-T X.1216 </w:t>
      </w:r>
      <w:r w:rsidR="004878EE" w:rsidRPr="00316BA1">
        <w:rPr>
          <w:rFonts w:eastAsia="Malgun Gothic"/>
          <w:lang w:eastAsia="ko-KR"/>
        </w:rPr>
        <w:t xml:space="preserve">décrit </w:t>
      </w:r>
      <w:r w:rsidRPr="00316BA1">
        <w:rPr>
          <w:rFonts w:eastAsia="Malgun Gothic"/>
          <w:lang w:eastAsia="ko-KR"/>
        </w:rPr>
        <w:t xml:space="preserve">une procédure générale pour les interventions en cas d'incident de cybersécurité et les enquêtes sur ces incidents, </w:t>
      </w:r>
      <w:r w:rsidR="004878EE" w:rsidRPr="00316BA1">
        <w:rPr>
          <w:rFonts w:eastAsia="Malgun Gothic"/>
          <w:lang w:eastAsia="ko-KR"/>
        </w:rPr>
        <w:t xml:space="preserve">contient </w:t>
      </w:r>
      <w:r w:rsidRPr="00316BA1">
        <w:rPr>
          <w:rFonts w:eastAsia="Malgun Gothic"/>
          <w:lang w:eastAsia="ko-KR"/>
        </w:rPr>
        <w:t xml:space="preserve">une analyse des sources des preuves relatives aux incidents de cybersécurité et </w:t>
      </w:r>
      <w:r w:rsidR="004878EE" w:rsidRPr="00316BA1">
        <w:rPr>
          <w:rFonts w:eastAsia="Malgun Gothic"/>
          <w:lang w:eastAsia="ko-KR"/>
        </w:rPr>
        <w:t xml:space="preserve">précise </w:t>
      </w:r>
      <w:r w:rsidRPr="00316BA1">
        <w:rPr>
          <w:rFonts w:eastAsia="Malgun Gothic"/>
          <w:lang w:eastAsia="ko-KR"/>
        </w:rPr>
        <w:t>les exigences relatives aux capacités des outils utilisés pour collecter et conserver ces preuves dans le cadre d'une procédure d'enquête. Cette Recommandation précise en outre les exigences relatives à la garantie de fiabilité des outils, qui serviront de lignes directrices aux développeurs qui conçoivent des outils de ce type.</w:t>
      </w:r>
    </w:p>
    <w:p w14:paraId="5047ACC8" w14:textId="04E4114F" w:rsidR="00C45540" w:rsidRPr="00316BA1" w:rsidRDefault="00C45540" w:rsidP="00FC44C7">
      <w:pPr>
        <w:pStyle w:val="Heading1"/>
        <w:rPr>
          <w:rFonts w:cstheme="minorHAnsi"/>
        </w:rPr>
      </w:pPr>
      <w:r w:rsidRPr="00316BA1">
        <w:rPr>
          <w:rFonts w:cstheme="minorHAnsi"/>
        </w:rPr>
        <w:t>4</w:t>
      </w:r>
      <w:r w:rsidRPr="00316BA1">
        <w:rPr>
          <w:rFonts w:cstheme="minorHAnsi"/>
        </w:rPr>
        <w:tab/>
      </w:r>
      <w:r w:rsidR="00726865" w:rsidRPr="00316BA1">
        <w:rPr>
          <w:rFonts w:cstheme="minorHAnsi"/>
        </w:rPr>
        <w:t>Projet de révision de la Recommandation UIT-</w:t>
      </w:r>
      <w:r w:rsidRPr="00316BA1">
        <w:rPr>
          <w:rFonts w:cstheme="minorHAnsi"/>
          <w:szCs w:val="22"/>
        </w:rPr>
        <w:t>T</w:t>
      </w:r>
      <w:r w:rsidRPr="00316BA1">
        <w:rPr>
          <w:rFonts w:cstheme="minorHAnsi"/>
        </w:rPr>
        <w:t xml:space="preserve"> </w:t>
      </w:r>
      <w:r w:rsidRPr="00316BA1">
        <w:rPr>
          <w:rFonts w:cstheme="minorHAnsi"/>
          <w:szCs w:val="22"/>
        </w:rPr>
        <w:t>X.1254 [</w:t>
      </w:r>
      <w:hyperlink r:id="rId18" w:history="1">
        <w:r w:rsidRPr="00316BA1">
          <w:rPr>
            <w:rStyle w:val="Hyperlink"/>
            <w:rFonts w:cstheme="minorHAnsi"/>
            <w:szCs w:val="22"/>
          </w:rPr>
          <w:t>R064</w:t>
        </w:r>
      </w:hyperlink>
      <w:r w:rsidRPr="00316BA1">
        <w:rPr>
          <w:rFonts w:cstheme="minorHAnsi"/>
        </w:rPr>
        <w:t>]</w:t>
      </w:r>
    </w:p>
    <w:p w14:paraId="5B43824F" w14:textId="169AE9CB" w:rsidR="00C45540" w:rsidRPr="00316BA1" w:rsidRDefault="006F4D72" w:rsidP="00FC44C7">
      <w:pPr>
        <w:pStyle w:val="headingb"/>
      </w:pPr>
      <w:r w:rsidRPr="00316BA1">
        <w:t>Cadre de garantie d'authentification des entités</w:t>
      </w:r>
    </w:p>
    <w:p w14:paraId="7842F215" w14:textId="77777777" w:rsidR="006F4D72" w:rsidRPr="00316BA1" w:rsidRDefault="006F4D72" w:rsidP="00FC44C7">
      <w:pPr>
        <w:pStyle w:val="headingb"/>
      </w:pPr>
      <w:bookmarkStart w:id="2" w:name="isumf"/>
      <w:r w:rsidRPr="00316BA1">
        <w:t>Résumé</w:t>
      </w:r>
    </w:p>
    <w:p w14:paraId="6FD599C7" w14:textId="77777777" w:rsidR="00DA55CA" w:rsidRPr="00316BA1" w:rsidRDefault="006F4D72" w:rsidP="00FC44C7">
      <w:r w:rsidRPr="00316BA1">
        <w:t xml:space="preserve">La Recommandation UIT-T X.1254 définit </w:t>
      </w:r>
      <w:r w:rsidR="00726865" w:rsidRPr="00316BA1">
        <w:t>trois</w:t>
      </w:r>
      <w:r w:rsidRPr="00316BA1">
        <w:t xml:space="preserve"> niveaux de garantie d'authentification des entités (AAL1 – AAL3) ainsi que les critères et menaces correspondant à chacun de ces </w:t>
      </w:r>
      <w:r w:rsidR="00726865" w:rsidRPr="00316BA1">
        <w:t>trois</w:t>
      </w:r>
      <w:r w:rsidRPr="00316BA1">
        <w:t xml:space="preserve"> niveaux.</w:t>
      </w:r>
      <w:r w:rsidR="00AA1A79" w:rsidRPr="00316BA1">
        <w:t xml:space="preserve"> </w:t>
      </w:r>
    </w:p>
    <w:p w14:paraId="3B4DF59B" w14:textId="68466676" w:rsidR="006F4D72" w:rsidRPr="00316BA1" w:rsidRDefault="006F4D72" w:rsidP="00FC44C7">
      <w:r w:rsidRPr="00316BA1">
        <w:t xml:space="preserve">En </w:t>
      </w:r>
      <w:proofErr w:type="gramStart"/>
      <w:r w:rsidRPr="00316BA1">
        <w:t>outre:</w:t>
      </w:r>
      <w:proofErr w:type="gramEnd"/>
    </w:p>
    <w:p w14:paraId="38D41D64" w14:textId="666DEB3C" w:rsidR="006F4D72" w:rsidRPr="00316BA1" w:rsidRDefault="006F4D72" w:rsidP="00FC44C7">
      <w:pPr>
        <w:pStyle w:val="enumlev1"/>
      </w:pPr>
      <w:r w:rsidRPr="00316BA1">
        <w:rPr>
          <w:rFonts w:ascii="Vladimir Script" w:hAnsi="Vladimir Script" w:cs="Vladimir Script"/>
        </w:rPr>
        <w:t>•</w:t>
      </w:r>
      <w:r w:rsidRPr="00316BA1">
        <w:rPr>
          <w:rFonts w:ascii="Vladimir Script" w:hAnsi="Vladimir Script" w:cs="Vladimir Script"/>
        </w:rPr>
        <w:tab/>
      </w:r>
      <w:r w:rsidRPr="00316BA1">
        <w:t xml:space="preserve">elle </w:t>
      </w:r>
      <w:r w:rsidR="00FD4776" w:rsidRPr="00316BA1">
        <w:t xml:space="preserve">définit </w:t>
      </w:r>
      <w:r w:rsidRPr="00316BA1">
        <w:rPr>
          <w:lang w:eastAsia="ja-JP"/>
        </w:rPr>
        <w:t xml:space="preserve">un cadre de gestion des niveaux de </w:t>
      </w:r>
      <w:proofErr w:type="gramStart"/>
      <w:r w:rsidRPr="00316BA1">
        <w:rPr>
          <w:lang w:eastAsia="ja-JP"/>
        </w:rPr>
        <w:t>garantie</w:t>
      </w:r>
      <w:r w:rsidRPr="00316BA1">
        <w:t>;</w:t>
      </w:r>
      <w:proofErr w:type="gramEnd"/>
    </w:p>
    <w:p w14:paraId="3C785640" w14:textId="6ED44397" w:rsidR="006F4D72" w:rsidRPr="00316BA1" w:rsidRDefault="006F4D72" w:rsidP="00FC44C7">
      <w:pPr>
        <w:pStyle w:val="enumlev1"/>
      </w:pPr>
      <w:r w:rsidRPr="00316BA1">
        <w:rPr>
          <w:rFonts w:ascii="Vladimir Script" w:hAnsi="Vladimir Script" w:cs="Vladimir Script"/>
        </w:rPr>
        <w:t>•</w:t>
      </w:r>
      <w:r w:rsidRPr="00316BA1">
        <w:rPr>
          <w:rFonts w:ascii="Vladimir Script" w:hAnsi="Vladimir Script" w:cs="Vladimir Script"/>
        </w:rPr>
        <w:tab/>
      </w:r>
      <w:r w:rsidRPr="00316BA1">
        <w:t xml:space="preserve">elle fournit, d'après une évaluation des risques, des orientations concernant les techniques de contrôle à utiliser pour réduire les menaces sur </w:t>
      </w:r>
      <w:proofErr w:type="gramStart"/>
      <w:r w:rsidRPr="00316BA1">
        <w:t>l'authentification;</w:t>
      </w:r>
      <w:proofErr w:type="gramEnd"/>
    </w:p>
    <w:p w14:paraId="6F91B5AE" w14:textId="233E8762" w:rsidR="006F4D72" w:rsidRPr="00316BA1" w:rsidRDefault="006F4D72" w:rsidP="00FC44C7">
      <w:pPr>
        <w:pStyle w:val="enumlev1"/>
      </w:pPr>
      <w:r w:rsidRPr="00316BA1">
        <w:rPr>
          <w:rFonts w:ascii="Vladimir Script" w:hAnsi="Vladimir Script" w:cs="Vladimir Script"/>
        </w:rPr>
        <w:t>•</w:t>
      </w:r>
      <w:r w:rsidRPr="00316BA1">
        <w:tab/>
        <w:t xml:space="preserve">elle donne des orientations relatives à l'application des trois niveaux de garantie à </w:t>
      </w:r>
      <w:r w:rsidRPr="00316BA1">
        <w:rPr>
          <w:lang w:eastAsia="ja-JP"/>
        </w:rPr>
        <w:t xml:space="preserve">d'autres systèmes de garantie </w:t>
      </w:r>
      <w:proofErr w:type="gramStart"/>
      <w:r w:rsidRPr="00316BA1">
        <w:rPr>
          <w:lang w:eastAsia="ja-JP"/>
        </w:rPr>
        <w:t>d'authentification;</w:t>
      </w:r>
      <w:proofErr w:type="gramEnd"/>
      <w:r w:rsidRPr="00316BA1">
        <w:rPr>
          <w:lang w:eastAsia="ja-JP"/>
        </w:rPr>
        <w:t xml:space="preserve"> et</w:t>
      </w:r>
    </w:p>
    <w:p w14:paraId="5007D1A2" w14:textId="71C086F3" w:rsidR="006F4D72" w:rsidRPr="00316BA1" w:rsidRDefault="006F4D72" w:rsidP="00FC44C7">
      <w:pPr>
        <w:pStyle w:val="enumlev1"/>
        <w:rPr>
          <w:lang w:eastAsia="ja-JP"/>
        </w:rPr>
      </w:pPr>
      <w:r w:rsidRPr="00316BA1">
        <w:rPr>
          <w:rFonts w:ascii="Vladimir Script" w:hAnsi="Vladimir Script" w:cs="Vladimir Script"/>
        </w:rPr>
        <w:t>•</w:t>
      </w:r>
      <w:r w:rsidRPr="00316BA1">
        <w:tab/>
        <w:t xml:space="preserve">elle donne </w:t>
      </w:r>
      <w:r w:rsidRPr="00316BA1">
        <w:rPr>
          <w:lang w:eastAsia="ja-JP"/>
        </w:rPr>
        <w:t>des orientations quant à l'échange des résultats d'authentification reposant sur les trois niveaux de garantie.</w:t>
      </w:r>
      <w:bookmarkEnd w:id="2"/>
    </w:p>
    <w:p w14:paraId="2376A894" w14:textId="4207EC0F" w:rsidR="009B06F7" w:rsidRPr="00316BA1" w:rsidRDefault="009B06F7" w:rsidP="00FC44C7">
      <w:pPr>
        <w:pStyle w:val="Heading1"/>
      </w:pPr>
      <w:r w:rsidRPr="00316BA1">
        <w:t>5</w:t>
      </w:r>
      <w:r w:rsidRPr="00316BA1">
        <w:tab/>
      </w:r>
      <w:r w:rsidR="006D5404" w:rsidRPr="00316BA1">
        <w:t>Projet de nouvelle Recommandation UIT</w:t>
      </w:r>
      <w:r w:rsidRPr="00316BA1">
        <w:t>-T X.1279 (</w:t>
      </w:r>
      <w:proofErr w:type="gramStart"/>
      <w:r w:rsidRPr="00316BA1">
        <w:t>X.eaasd</w:t>
      </w:r>
      <w:proofErr w:type="gramEnd"/>
      <w:r w:rsidRPr="00316BA1">
        <w:t>) [</w:t>
      </w:r>
      <w:hyperlink r:id="rId19" w:history="1">
        <w:r w:rsidRPr="00316BA1">
          <w:rPr>
            <w:rStyle w:val="Hyperlink"/>
          </w:rPr>
          <w:t>R065</w:t>
        </w:r>
      </w:hyperlink>
      <w:r w:rsidRPr="00316BA1">
        <w:t>]</w:t>
      </w:r>
    </w:p>
    <w:p w14:paraId="1A2E0B43" w14:textId="17CD3003" w:rsidR="009B06F7" w:rsidRPr="00316BA1" w:rsidRDefault="007E0080" w:rsidP="00FC44C7">
      <w:pPr>
        <w:pStyle w:val="Headingb0"/>
        <w:rPr>
          <w:lang w:val="fr-FR"/>
        </w:rPr>
      </w:pPr>
      <w:r w:rsidRPr="00316BA1">
        <w:rPr>
          <w:lang w:val="fr-FR"/>
        </w:rPr>
        <w:t>Cadre de l'authentification renforcée utilisant la télébiométrie avec des mécanismes de détection d</w:t>
      </w:r>
      <w:r w:rsidR="00057CBA" w:rsidRPr="00316BA1">
        <w:rPr>
          <w:lang w:val="fr-FR"/>
        </w:rPr>
        <w:t>'</w:t>
      </w:r>
      <w:r w:rsidRPr="00316BA1">
        <w:rPr>
          <w:lang w:val="fr-FR"/>
        </w:rPr>
        <w:t>usurpation d</w:t>
      </w:r>
      <w:r w:rsidR="00057CBA" w:rsidRPr="00316BA1">
        <w:rPr>
          <w:lang w:val="fr-FR"/>
        </w:rPr>
        <w:t>'</w:t>
      </w:r>
      <w:r w:rsidRPr="00316BA1">
        <w:rPr>
          <w:lang w:val="fr-FR"/>
        </w:rPr>
        <w:t>identité</w:t>
      </w:r>
    </w:p>
    <w:p w14:paraId="7372C67B" w14:textId="3D142F45" w:rsidR="009B06F7" w:rsidRPr="00316BA1" w:rsidRDefault="007E0080" w:rsidP="00FC44C7">
      <w:pPr>
        <w:pStyle w:val="Headingb0"/>
        <w:rPr>
          <w:lang w:val="fr-FR"/>
        </w:rPr>
      </w:pPr>
      <w:r w:rsidRPr="00316BA1">
        <w:rPr>
          <w:lang w:val="fr-FR"/>
        </w:rPr>
        <w:t>Résumé</w:t>
      </w:r>
    </w:p>
    <w:p w14:paraId="40416813" w14:textId="05915AEB" w:rsidR="007E0080" w:rsidRPr="00316BA1" w:rsidRDefault="007E0080" w:rsidP="00FC44C7">
      <w:r w:rsidRPr="00316BA1">
        <w:t>Cette Recommandation fournit un cadre architectural pour l'authentification renforcée utilisant la télébiométrie et la détection d'usurpation d'identité. Cette Recommandation vise à analyser les menaces concernant les solutions traditionnelles d'authentification télébiométrique et spécifie un cadre architectural de même que les flux de processus d'authentification et les aspects liés à la sécurité de l'authentification renforcée utilisant la télébiométrie avec des mécanismes de détection d'usurpation d'identité.</w:t>
      </w:r>
    </w:p>
    <w:p w14:paraId="36BB75F1" w14:textId="59567477" w:rsidR="009B06F7" w:rsidRPr="00316BA1" w:rsidRDefault="009B06F7" w:rsidP="00FC44C7">
      <w:pPr>
        <w:pStyle w:val="Heading1"/>
      </w:pPr>
      <w:r w:rsidRPr="00316BA1">
        <w:lastRenderedPageBreak/>
        <w:t>6</w:t>
      </w:r>
      <w:r w:rsidRPr="00316BA1">
        <w:tab/>
      </w:r>
      <w:r w:rsidR="00726865" w:rsidRPr="00316BA1">
        <w:t>Projet de nouvelle Recommandation UIT</w:t>
      </w:r>
      <w:r w:rsidRPr="00316BA1">
        <w:t>-T X.1366 (</w:t>
      </w:r>
      <w:proofErr w:type="gramStart"/>
      <w:r w:rsidRPr="00316BA1">
        <w:t>X.amas</w:t>
      </w:r>
      <w:proofErr w:type="gramEnd"/>
      <w:r w:rsidRPr="00316BA1">
        <w:t>-iot) [</w:t>
      </w:r>
      <w:hyperlink r:id="rId20" w:history="1">
        <w:r w:rsidRPr="00316BA1">
          <w:rPr>
            <w:rStyle w:val="Hyperlink"/>
          </w:rPr>
          <w:t>R058</w:t>
        </w:r>
      </w:hyperlink>
      <w:r w:rsidRPr="00316BA1">
        <w:t>]</w:t>
      </w:r>
    </w:p>
    <w:p w14:paraId="50A87DB6" w14:textId="20A74C91" w:rsidR="009B06F7" w:rsidRPr="00316BA1" w:rsidRDefault="00726865" w:rsidP="00FC44C7">
      <w:pPr>
        <w:pStyle w:val="headingb"/>
      </w:pPr>
      <w:r w:rsidRPr="00316BA1">
        <w:t xml:space="preserve">Systèmes d'authentification </w:t>
      </w:r>
      <w:r w:rsidR="009E196D" w:rsidRPr="00316BA1">
        <w:t xml:space="preserve">de messages </w:t>
      </w:r>
      <w:r w:rsidR="00203902" w:rsidRPr="00316BA1">
        <w:t>agrégés</w:t>
      </w:r>
      <w:r w:rsidR="009E196D" w:rsidRPr="00316BA1">
        <w:t xml:space="preserve"> pour l'Internet des objets </w:t>
      </w:r>
      <w:r w:rsidR="009B06F7" w:rsidRPr="00316BA1">
        <w:t>(IoT) (</w:t>
      </w:r>
      <w:proofErr w:type="gramStart"/>
      <w:r w:rsidR="009B06F7" w:rsidRPr="00316BA1">
        <w:t>X.amas</w:t>
      </w:r>
      <w:proofErr w:type="gramEnd"/>
      <w:r w:rsidR="009B06F7" w:rsidRPr="00316BA1">
        <w:t>-iot)</w:t>
      </w:r>
    </w:p>
    <w:p w14:paraId="6AEB7CD1" w14:textId="7CF55009" w:rsidR="009B06F7" w:rsidRPr="00316BA1" w:rsidRDefault="009E196D" w:rsidP="00FC44C7">
      <w:pPr>
        <w:pStyle w:val="headingb"/>
      </w:pPr>
      <w:r w:rsidRPr="00316BA1">
        <w:t>Résumé</w:t>
      </w:r>
    </w:p>
    <w:p w14:paraId="672045A0" w14:textId="7048A8BB" w:rsidR="009B06F7" w:rsidRPr="00316BA1" w:rsidRDefault="009E196D" w:rsidP="00FC44C7">
      <w:r w:rsidRPr="00316BA1">
        <w:t xml:space="preserve">Le nombre de dispositifs de l'Internet des objets (IoT) </w:t>
      </w:r>
      <w:r w:rsidR="00040F59" w:rsidRPr="00316BA1">
        <w:t xml:space="preserve">est en augmentation </w:t>
      </w:r>
      <w:r w:rsidRPr="00316BA1">
        <w:t xml:space="preserve">et, dans un avenir proche, un nombre considérable de dispositifs </w:t>
      </w:r>
      <w:r w:rsidR="0073117D" w:rsidRPr="00316BA1">
        <w:t xml:space="preserve">seront </w:t>
      </w:r>
      <w:r w:rsidRPr="00316BA1">
        <w:t>connectés au réseau IoT, y compris au réseau</w:t>
      </w:r>
      <w:r w:rsidR="0025620E" w:rsidRPr="00316BA1">
        <w:t> </w:t>
      </w:r>
      <w:r w:rsidRPr="00316BA1">
        <w:t xml:space="preserve">5G. Cette Recommandation définit deux systèmes d'authentification de messages. </w:t>
      </w:r>
      <w:r w:rsidR="00DE6207" w:rsidRPr="00316BA1">
        <w:t xml:space="preserve">L'un est </w:t>
      </w:r>
      <w:r w:rsidRPr="00316BA1">
        <w:t xml:space="preserve">un système d'authentification de messages </w:t>
      </w:r>
      <w:r w:rsidR="00203902" w:rsidRPr="00316BA1">
        <w:t xml:space="preserve">agrégés </w:t>
      </w:r>
      <w:r w:rsidRPr="00316BA1">
        <w:t>(AMA) pour l'IoT</w:t>
      </w:r>
      <w:r w:rsidR="005F26C0" w:rsidRPr="00316BA1">
        <w:t xml:space="preserve"> comme</w:t>
      </w:r>
      <w:r w:rsidRPr="00316BA1">
        <w:t xml:space="preserve"> mécanisme de base. </w:t>
      </w:r>
      <w:r w:rsidR="00DE6207" w:rsidRPr="00316BA1">
        <w:t xml:space="preserve">L'autre est </w:t>
      </w:r>
      <w:r w:rsidRPr="00316BA1">
        <w:t xml:space="preserve">un système interactif d'authentification de messages </w:t>
      </w:r>
      <w:r w:rsidR="00203902" w:rsidRPr="00316BA1">
        <w:t>agrégés</w:t>
      </w:r>
      <w:r w:rsidRPr="00316BA1">
        <w:t xml:space="preserve"> (IAMA), doté d'un protocole interactif</w:t>
      </w:r>
      <w:r w:rsidR="00566321" w:rsidRPr="00316BA1">
        <w:t xml:space="preserve"> permettant </w:t>
      </w:r>
      <w:r w:rsidR="00203902" w:rsidRPr="00316BA1">
        <w:t>d'identifier</w:t>
      </w:r>
      <w:r w:rsidR="00C55067" w:rsidRPr="00316BA1">
        <w:t xml:space="preserve"> en plus</w:t>
      </w:r>
      <w:r w:rsidR="00203902" w:rsidRPr="00316BA1">
        <w:t xml:space="preserve">, de manière simple et sûre, </w:t>
      </w:r>
      <w:r w:rsidRPr="00316BA1">
        <w:t>d</w:t>
      </w:r>
      <w:r w:rsidR="00203902" w:rsidRPr="00316BA1">
        <w:t xml:space="preserve">es </w:t>
      </w:r>
      <w:r w:rsidRPr="00316BA1">
        <w:t>messages non valides</w:t>
      </w:r>
      <w:r w:rsidR="005F26C0" w:rsidRPr="00316BA1">
        <w:t xml:space="preserve"> </w:t>
      </w:r>
      <w:r w:rsidR="00203902" w:rsidRPr="00316BA1">
        <w:t>lors</w:t>
      </w:r>
      <w:r w:rsidRPr="00316BA1">
        <w:t xml:space="preserve"> du processus d'authentification de messages. Ces deux systèmes d'authentification de messages </w:t>
      </w:r>
      <w:r w:rsidR="00203902" w:rsidRPr="00316BA1">
        <w:t>agrégés</w:t>
      </w:r>
      <w:r w:rsidRPr="00316BA1">
        <w:t xml:space="preserve"> </w:t>
      </w:r>
      <w:r w:rsidR="00040F59" w:rsidRPr="00316BA1">
        <w:t xml:space="preserve">permettent d'assurer </w:t>
      </w:r>
      <w:r w:rsidRPr="00316BA1">
        <w:t xml:space="preserve">"l'authentification </w:t>
      </w:r>
      <w:r w:rsidR="00040F59" w:rsidRPr="00316BA1">
        <w:t xml:space="preserve">(de l'identité) des entités </w:t>
      </w:r>
      <w:r w:rsidRPr="00316BA1">
        <w:t>" ainsi que "l'authentification de</w:t>
      </w:r>
      <w:r w:rsidR="00040F59" w:rsidRPr="00316BA1">
        <w:t>s</w:t>
      </w:r>
      <w:r w:rsidRPr="00316BA1">
        <w:t xml:space="preserve"> messages". Il se peut que ces systèmes </w:t>
      </w:r>
      <w:r w:rsidR="001F4B1C" w:rsidRPr="00316BA1">
        <w:t>ne convienne</w:t>
      </w:r>
      <w:r w:rsidR="00040F59" w:rsidRPr="00316BA1">
        <w:t>nt</w:t>
      </w:r>
      <w:r w:rsidR="001F4B1C" w:rsidRPr="00316BA1">
        <w:t xml:space="preserve"> pas </w:t>
      </w:r>
      <w:r w:rsidR="00040F59" w:rsidRPr="00316BA1">
        <w:t xml:space="preserve">dans </w:t>
      </w:r>
      <w:r w:rsidR="001F4B1C" w:rsidRPr="00316BA1">
        <w:t>tous</w:t>
      </w:r>
      <w:r w:rsidR="00C630EC" w:rsidRPr="00316BA1">
        <w:t xml:space="preserve"> les cas d'utilisation </w:t>
      </w:r>
      <w:r w:rsidRPr="00316BA1">
        <w:t>des dispositifs IoT</w:t>
      </w:r>
      <w:r w:rsidR="005F26C0" w:rsidRPr="00316BA1">
        <w:t>,</w:t>
      </w:r>
      <w:r w:rsidR="00954E5C" w:rsidRPr="00316BA1">
        <w:t xml:space="preserve"> mais</w:t>
      </w:r>
      <w:r w:rsidR="001F4B1C" w:rsidRPr="00316BA1">
        <w:t xml:space="preserve"> </w:t>
      </w:r>
      <w:r w:rsidR="00040F59" w:rsidRPr="00316BA1">
        <w:t xml:space="preserve">ils sont </w:t>
      </w:r>
      <w:r w:rsidR="0073117D" w:rsidRPr="00316BA1">
        <w:t>relativement efficace</w:t>
      </w:r>
      <w:r w:rsidR="00040F59" w:rsidRPr="00316BA1">
        <w:t>s</w:t>
      </w:r>
      <w:r w:rsidR="0073117D" w:rsidRPr="00316BA1">
        <w:t xml:space="preserve"> et </w:t>
      </w:r>
      <w:r w:rsidR="00040F59" w:rsidRPr="00316BA1">
        <w:t xml:space="preserve">adaptés </w:t>
      </w:r>
      <w:r w:rsidR="001F4B1C" w:rsidRPr="00316BA1">
        <w:t xml:space="preserve">dans les conditions d'utilisation </w:t>
      </w:r>
      <w:proofErr w:type="gramStart"/>
      <w:r w:rsidR="001F4B1C" w:rsidRPr="00316BA1">
        <w:t>suivantes:</w:t>
      </w:r>
      <w:proofErr w:type="gramEnd"/>
      <w:r w:rsidRPr="00316BA1">
        <w:t xml:space="preserve"> </w:t>
      </w:r>
    </w:p>
    <w:p w14:paraId="5C1BF3F3" w14:textId="2E7DF2DD" w:rsidR="009B06F7" w:rsidRPr="00316BA1" w:rsidRDefault="009B06F7" w:rsidP="00FC44C7">
      <w:pPr>
        <w:pStyle w:val="enumlev1"/>
      </w:pPr>
      <w:r w:rsidRPr="00316BA1">
        <w:t>•</w:t>
      </w:r>
      <w:r w:rsidRPr="00316BA1">
        <w:tab/>
      </w:r>
      <w:r w:rsidR="001F4B1C" w:rsidRPr="00316BA1">
        <w:t xml:space="preserve">lorsqu'une authentification des messages est requise </w:t>
      </w:r>
      <w:r w:rsidR="009632BA" w:rsidRPr="00316BA1">
        <w:t xml:space="preserve">pour </w:t>
      </w:r>
      <w:r w:rsidR="001F4B1C" w:rsidRPr="00316BA1">
        <w:t>des</w:t>
      </w:r>
      <w:r w:rsidR="0073117D" w:rsidRPr="00316BA1">
        <w:t xml:space="preserve"> dizaines à des dizaines de milliers de dispositifs </w:t>
      </w:r>
      <w:proofErr w:type="gramStart"/>
      <w:r w:rsidR="0073117D" w:rsidRPr="00316BA1">
        <w:t>IoT</w:t>
      </w:r>
      <w:r w:rsidR="001F4B1C" w:rsidRPr="00316BA1">
        <w:t>;</w:t>
      </w:r>
      <w:proofErr w:type="gramEnd"/>
    </w:p>
    <w:p w14:paraId="376A8F8A" w14:textId="75DFAAC4" w:rsidR="009B06F7" w:rsidRPr="00316BA1" w:rsidRDefault="009B06F7" w:rsidP="00FC44C7">
      <w:pPr>
        <w:pStyle w:val="enumlev1"/>
      </w:pPr>
      <w:r w:rsidRPr="00316BA1">
        <w:t>•</w:t>
      </w:r>
      <w:r w:rsidRPr="00316BA1">
        <w:tab/>
      </w:r>
      <w:r w:rsidR="00DE6207" w:rsidRPr="00316BA1">
        <w:t xml:space="preserve">lorsqu'on a recours de manière fréquente et intermittente à un processus d'authentification pour le traitement </w:t>
      </w:r>
      <w:r w:rsidR="001F4B1C" w:rsidRPr="00316BA1">
        <w:t>d</w:t>
      </w:r>
      <w:r w:rsidR="00441772" w:rsidRPr="00316BA1">
        <w:t>e données/messages.</w:t>
      </w:r>
    </w:p>
    <w:p w14:paraId="0E1167F2" w14:textId="67DC5264" w:rsidR="009B06F7" w:rsidRPr="00316BA1" w:rsidRDefault="00441772" w:rsidP="00FC44C7">
      <w:r w:rsidRPr="00316BA1">
        <w:t>À titre d'exemple</w:t>
      </w:r>
      <w:r w:rsidR="009B06F7" w:rsidRPr="00316BA1">
        <w:t xml:space="preserve">, </w:t>
      </w:r>
      <w:r w:rsidRPr="00316BA1">
        <w:t xml:space="preserve">les applications de surveillance </w:t>
      </w:r>
      <w:r w:rsidR="00DE6207" w:rsidRPr="00316BA1">
        <w:t xml:space="preserve">de </w:t>
      </w:r>
      <w:r w:rsidRPr="00316BA1">
        <w:t xml:space="preserve">l'utilisation de données d'image et </w:t>
      </w:r>
      <w:r w:rsidR="001C366F" w:rsidRPr="00316BA1">
        <w:t>la</w:t>
      </w:r>
      <w:r w:rsidRPr="00316BA1">
        <w:t xml:space="preserve"> </w:t>
      </w:r>
      <w:r w:rsidR="009632BA" w:rsidRPr="00316BA1">
        <w:t xml:space="preserve">télémesure </w:t>
      </w:r>
      <w:r w:rsidRPr="00316BA1">
        <w:t xml:space="preserve">à distance, </w:t>
      </w:r>
      <w:r w:rsidR="00F144A2" w:rsidRPr="00316BA1">
        <w:t>qui permettent</w:t>
      </w:r>
      <w:r w:rsidR="00074791" w:rsidRPr="00316BA1">
        <w:t xml:space="preserve"> notamment</w:t>
      </w:r>
      <w:r w:rsidRPr="00316BA1">
        <w:t xml:space="preserve"> </w:t>
      </w:r>
      <w:r w:rsidR="00F144A2" w:rsidRPr="00316BA1">
        <w:t xml:space="preserve">d'assurer </w:t>
      </w:r>
      <w:r w:rsidR="001F4B1C" w:rsidRPr="00316BA1">
        <w:t>la surveillance</w:t>
      </w:r>
      <w:r w:rsidRPr="00316BA1">
        <w:t xml:space="preserve"> des activités des </w:t>
      </w:r>
      <w:r w:rsidR="009632BA" w:rsidRPr="00316BA1">
        <w:t xml:space="preserve">usines </w:t>
      </w:r>
      <w:r w:rsidRPr="00316BA1">
        <w:t xml:space="preserve">et le suivi médical, sont des exemples types de cas d'utilisation de ces systèmes. </w:t>
      </w:r>
    </w:p>
    <w:p w14:paraId="678B0D73" w14:textId="3E1DE0AB" w:rsidR="009B06F7" w:rsidRPr="00316BA1" w:rsidRDefault="009B06F7" w:rsidP="00FC44C7">
      <w:pPr>
        <w:pStyle w:val="Heading1"/>
      </w:pPr>
      <w:r w:rsidRPr="00316BA1">
        <w:t>7</w:t>
      </w:r>
      <w:r w:rsidRPr="00316BA1">
        <w:tab/>
      </w:r>
      <w:r w:rsidR="00FC6548" w:rsidRPr="00316BA1">
        <w:t>P</w:t>
      </w:r>
      <w:r w:rsidR="00171486" w:rsidRPr="00316BA1">
        <w:t>ro</w:t>
      </w:r>
      <w:r w:rsidR="00FC6548" w:rsidRPr="00316BA1">
        <w:t>jet de nouvelle Recommandation UIT</w:t>
      </w:r>
      <w:r w:rsidRPr="00316BA1">
        <w:t>-T X.1367 (X.elf-iot) [</w:t>
      </w:r>
      <w:hyperlink r:id="rId21" w:history="1">
        <w:r w:rsidRPr="00316BA1">
          <w:rPr>
            <w:rStyle w:val="Hyperlink"/>
          </w:rPr>
          <w:t>R059</w:t>
        </w:r>
      </w:hyperlink>
      <w:r w:rsidRPr="00316BA1">
        <w:t>]</w:t>
      </w:r>
    </w:p>
    <w:p w14:paraId="5C8FEE29" w14:textId="18131886" w:rsidR="009B06F7" w:rsidRPr="00316BA1" w:rsidRDefault="000367D7" w:rsidP="00FC44C7">
      <w:pPr>
        <w:pStyle w:val="headingb"/>
      </w:pPr>
      <w:r w:rsidRPr="00316BA1">
        <w:t xml:space="preserve">Format normalisé de journaux d'erreurs pour l'Internet des objets </w:t>
      </w:r>
      <w:r w:rsidR="00D86A3F" w:rsidRPr="00316BA1">
        <w:t xml:space="preserve">aux fins </w:t>
      </w:r>
      <w:r w:rsidR="0099451B" w:rsidRPr="00316BA1">
        <w:t xml:space="preserve">de la gestion des </w:t>
      </w:r>
      <w:r w:rsidRPr="00316BA1">
        <w:t>incident</w:t>
      </w:r>
      <w:r w:rsidR="0099451B" w:rsidRPr="00316BA1">
        <w:t>s</w:t>
      </w:r>
      <w:r w:rsidRPr="00316BA1">
        <w:t xml:space="preserve"> de sécurité</w:t>
      </w:r>
    </w:p>
    <w:p w14:paraId="18B07EA0" w14:textId="6C45A94B" w:rsidR="009B06F7" w:rsidRPr="00316BA1" w:rsidRDefault="00FC6548" w:rsidP="00FC44C7">
      <w:pPr>
        <w:pStyle w:val="headingb"/>
      </w:pPr>
      <w:r w:rsidRPr="00316BA1">
        <w:t>Résumé</w:t>
      </w:r>
    </w:p>
    <w:p w14:paraId="45F690E6" w14:textId="685A2AFE" w:rsidR="009B06F7" w:rsidRPr="00316BA1" w:rsidRDefault="003A3111" w:rsidP="00FC44C7">
      <w:r w:rsidRPr="00316BA1">
        <w:t xml:space="preserve">La gestion des incidents de sécurité dans l'écosystème de l'Internet des objets (IoT) se heurte à deux problèmes. Le premier </w:t>
      </w:r>
      <w:r w:rsidR="001F4B1C" w:rsidRPr="00316BA1">
        <w:t>est</w:t>
      </w:r>
      <w:r w:rsidRPr="00316BA1">
        <w:t xml:space="preserve"> l'incompatibilité des protocoles </w:t>
      </w:r>
      <w:r w:rsidR="000A1449" w:rsidRPr="00316BA1">
        <w:t xml:space="preserve">entre, d'une part, </w:t>
      </w:r>
      <w:r w:rsidRPr="00316BA1">
        <w:t>les réseaux informatiques utilisant le protocole de commande de transmission/le protocole Internet (TCP/IP) et</w:t>
      </w:r>
      <w:r w:rsidR="000A1449" w:rsidRPr="00316BA1">
        <w:t xml:space="preserve">, d'autre part, </w:t>
      </w:r>
      <w:r w:rsidRPr="00316BA1">
        <w:t xml:space="preserve">les dispositifs </w:t>
      </w:r>
      <w:r w:rsidR="00DE6207" w:rsidRPr="00316BA1">
        <w:t xml:space="preserve">d'extrémité </w:t>
      </w:r>
      <w:r w:rsidRPr="00316BA1">
        <w:t xml:space="preserve">IoT. Le second concerne l'absence de compatibilité des codes d'erreur </w:t>
      </w:r>
      <w:r w:rsidR="000367D7" w:rsidRPr="00316BA1">
        <w:t>utilisés par les</w:t>
      </w:r>
      <w:r w:rsidRPr="00316BA1">
        <w:t xml:space="preserve"> </w:t>
      </w:r>
      <w:r w:rsidR="00074791" w:rsidRPr="00316BA1">
        <w:t xml:space="preserve">différents </w:t>
      </w:r>
      <w:r w:rsidRPr="00316BA1">
        <w:t xml:space="preserve">fabricants de dispositifs </w:t>
      </w:r>
      <w:r w:rsidR="00DE6207" w:rsidRPr="00316BA1">
        <w:t>d'extrémité</w:t>
      </w:r>
      <w:r w:rsidRPr="00316BA1">
        <w:t>.</w:t>
      </w:r>
    </w:p>
    <w:p w14:paraId="1F219A0E" w14:textId="655A9531" w:rsidR="009B06F7" w:rsidRPr="00316BA1" w:rsidRDefault="003A3111" w:rsidP="00FC44C7">
      <w:r w:rsidRPr="00316BA1">
        <w:t>La Recommandation UIT-T</w:t>
      </w:r>
      <w:r w:rsidR="009B06F7" w:rsidRPr="00316BA1">
        <w:t xml:space="preserve"> X.1367 </w:t>
      </w:r>
      <w:r w:rsidRPr="00316BA1">
        <w:t xml:space="preserve">décrit un format </w:t>
      </w:r>
      <w:r w:rsidR="000367D7" w:rsidRPr="00316BA1">
        <w:t xml:space="preserve">normalisé </w:t>
      </w:r>
      <w:r w:rsidRPr="00316BA1">
        <w:t>de journal d'erreur</w:t>
      </w:r>
      <w:r w:rsidR="000367D7" w:rsidRPr="00316BA1">
        <w:t xml:space="preserve"> </w:t>
      </w:r>
      <w:r w:rsidRPr="00316BA1">
        <w:t xml:space="preserve">qui peut être placé dans une charge utile de protocole, comme </w:t>
      </w:r>
      <w:r w:rsidR="009B06F7" w:rsidRPr="00316BA1">
        <w:t xml:space="preserve">syslog [b-IETF RFC 5424], </w:t>
      </w:r>
      <w:r w:rsidR="000367D7" w:rsidRPr="00316BA1">
        <w:t>afin de</w:t>
      </w:r>
      <w:r w:rsidRPr="00316BA1">
        <w:t xml:space="preserve"> convertir </w:t>
      </w:r>
      <w:r w:rsidR="0099451B" w:rsidRPr="00316BA1">
        <w:t xml:space="preserve">les </w:t>
      </w:r>
      <w:r w:rsidR="000367D7" w:rsidRPr="00316BA1">
        <w:t xml:space="preserve">informations relatives au journal d'erreur </w:t>
      </w:r>
      <w:r w:rsidR="001F4B1C" w:rsidRPr="00316BA1">
        <w:t>provenant</w:t>
      </w:r>
      <w:r w:rsidR="000367D7" w:rsidRPr="00316BA1">
        <w:t xml:space="preserve"> d'un dispositif </w:t>
      </w:r>
      <w:r w:rsidR="00DE6207" w:rsidRPr="00316BA1">
        <w:t xml:space="preserve">d'extrémité </w:t>
      </w:r>
      <w:r w:rsidR="000367D7" w:rsidRPr="00316BA1">
        <w:t>dans le format normalisé de journal d'erreur.</w:t>
      </w:r>
    </w:p>
    <w:p w14:paraId="671FBE09" w14:textId="0928619F" w:rsidR="009B06F7" w:rsidRPr="00316BA1" w:rsidRDefault="000367D7" w:rsidP="00FC44C7">
      <w:r w:rsidRPr="00316BA1">
        <w:t xml:space="preserve">La Recommandation UIT-T X.1367 contient en outre un tableau normalisé de codes d'erreur, qui permet de résoudre le second problème. De cette manière, les incidents de sécurité qui se produisent </w:t>
      </w:r>
      <w:r w:rsidR="0099451B" w:rsidRPr="00316BA1">
        <w:t xml:space="preserve">dans les </w:t>
      </w:r>
      <w:r w:rsidRPr="00316BA1">
        <w:t xml:space="preserve">réseaux informatiques et </w:t>
      </w:r>
      <w:r w:rsidR="0099451B" w:rsidRPr="00316BA1">
        <w:t xml:space="preserve">les </w:t>
      </w:r>
      <w:r w:rsidRPr="00316BA1">
        <w:t xml:space="preserve">réseaux </w:t>
      </w:r>
      <w:r w:rsidR="0099451B" w:rsidRPr="00316BA1">
        <w:t xml:space="preserve">de </w:t>
      </w:r>
      <w:r w:rsidRPr="00316BA1">
        <w:t xml:space="preserve">dispositifs </w:t>
      </w:r>
      <w:r w:rsidR="0099451B" w:rsidRPr="00316BA1">
        <w:t xml:space="preserve">d'extrémité </w:t>
      </w:r>
      <w:r w:rsidRPr="00316BA1">
        <w:t xml:space="preserve">IoT peuvent être gérés dans leur intégralité. </w:t>
      </w:r>
    </w:p>
    <w:p w14:paraId="47CA4CE4" w14:textId="62474C2B" w:rsidR="009B06F7" w:rsidRPr="00316BA1" w:rsidRDefault="009B06F7" w:rsidP="00FC44C7">
      <w:pPr>
        <w:pStyle w:val="Heading1"/>
      </w:pPr>
      <w:r w:rsidRPr="00316BA1">
        <w:lastRenderedPageBreak/>
        <w:t>8</w:t>
      </w:r>
      <w:r w:rsidRPr="00316BA1">
        <w:tab/>
      </w:r>
      <w:r w:rsidR="000367D7" w:rsidRPr="00316BA1">
        <w:t>Projet de nouvelle Recommandation UIT</w:t>
      </w:r>
      <w:r w:rsidRPr="00316BA1">
        <w:t>-T X.1403 (X.dlt-sec) [</w:t>
      </w:r>
      <w:hyperlink r:id="rId22" w:history="1">
        <w:r w:rsidRPr="00316BA1">
          <w:rPr>
            <w:rStyle w:val="Hyperlink"/>
          </w:rPr>
          <w:t>R066</w:t>
        </w:r>
      </w:hyperlink>
      <w:r w:rsidRPr="00316BA1">
        <w:t>]</w:t>
      </w:r>
    </w:p>
    <w:p w14:paraId="36F496B4" w14:textId="60F25502" w:rsidR="009B06F7" w:rsidRPr="00316BA1" w:rsidRDefault="007E0080" w:rsidP="00FC44C7">
      <w:pPr>
        <w:pStyle w:val="Headingb0"/>
        <w:rPr>
          <w:lang w:val="fr-FR"/>
        </w:rPr>
      </w:pPr>
      <w:r w:rsidRPr="00316BA1">
        <w:rPr>
          <w:lang w:val="fr-FR"/>
        </w:rPr>
        <w:t>Lignes directrices sur la sécurité relatives à l</w:t>
      </w:r>
      <w:r w:rsidR="00057CBA" w:rsidRPr="00316BA1">
        <w:rPr>
          <w:lang w:val="fr-FR"/>
        </w:rPr>
        <w:t>'</w:t>
      </w:r>
      <w:r w:rsidRPr="00316BA1">
        <w:rPr>
          <w:lang w:val="fr-FR"/>
        </w:rPr>
        <w:t>utilisation de la technologie des registres distribués pour la gestion décentralisée des identités</w:t>
      </w:r>
    </w:p>
    <w:p w14:paraId="604642FE" w14:textId="275BEFD8" w:rsidR="009B06F7" w:rsidRPr="00316BA1" w:rsidRDefault="007E0080" w:rsidP="00FC44C7">
      <w:pPr>
        <w:pStyle w:val="Headingb0"/>
        <w:rPr>
          <w:lang w:val="fr-FR"/>
        </w:rPr>
      </w:pPr>
      <w:r w:rsidRPr="00316BA1">
        <w:rPr>
          <w:lang w:val="fr-FR"/>
        </w:rPr>
        <w:t>Résumé</w:t>
      </w:r>
    </w:p>
    <w:p w14:paraId="0284EEAE" w14:textId="0E432003" w:rsidR="009B06F7" w:rsidRPr="00316BA1" w:rsidRDefault="007E0080" w:rsidP="00FC44C7">
      <w:r w:rsidRPr="00316BA1">
        <w:t>La technologie des registres distribués (DLT) et ses applications spécifiques telles que la blockchain offrent une opportunité unique d</w:t>
      </w:r>
      <w:r w:rsidR="00057CBA" w:rsidRPr="00316BA1">
        <w:t>'</w:t>
      </w:r>
      <w:r w:rsidRPr="00316BA1">
        <w:t>utiliser une infrastructure de confiance et une plate-forme qui pourraient s</w:t>
      </w:r>
      <w:r w:rsidR="00057CBA" w:rsidRPr="00316BA1">
        <w:t>'</w:t>
      </w:r>
      <w:r w:rsidRPr="00316BA1">
        <w:t>avérer utiles en permettant à une fédération de confiance d</w:t>
      </w:r>
      <w:r w:rsidR="00057CBA" w:rsidRPr="00316BA1">
        <w:t>'</w:t>
      </w:r>
      <w:r w:rsidRPr="00316BA1">
        <w:t>échanger des attributs d</w:t>
      </w:r>
      <w:r w:rsidR="00057CBA" w:rsidRPr="00316BA1">
        <w:t>'</w:t>
      </w:r>
      <w:r w:rsidRPr="00316BA1">
        <w:t>identité et des informations d</w:t>
      </w:r>
      <w:r w:rsidR="00057CBA" w:rsidRPr="00316BA1">
        <w:t>'</w:t>
      </w:r>
      <w:r w:rsidRPr="00316BA1">
        <w:t>identité. La présente Recommandation définit les aspects de confidentialité et de sécurité propres aux télécommunications dans l</w:t>
      </w:r>
      <w:r w:rsidR="00057CBA" w:rsidRPr="00316BA1">
        <w:t>'</w:t>
      </w:r>
      <w:r w:rsidRPr="00316BA1">
        <w:t xml:space="preserve">utilisation de données DLT pour la gestion des identités. </w:t>
      </w:r>
    </w:p>
    <w:p w14:paraId="40C54BF9" w14:textId="070F1556" w:rsidR="009B06F7" w:rsidRPr="00316BA1" w:rsidRDefault="009B06F7" w:rsidP="00FC44C7">
      <w:pPr>
        <w:pStyle w:val="Heading1"/>
      </w:pPr>
      <w:r w:rsidRPr="00316BA1">
        <w:t>9</w:t>
      </w:r>
      <w:r w:rsidRPr="00316BA1">
        <w:tab/>
      </w:r>
      <w:r w:rsidR="000367D7" w:rsidRPr="00316BA1">
        <w:t>Projet de nouvelle Recommandation UIT-T</w:t>
      </w:r>
      <w:r w:rsidRPr="00316BA1">
        <w:t xml:space="preserve"> X.1606 (</w:t>
      </w:r>
      <w:proofErr w:type="gramStart"/>
      <w:r w:rsidRPr="00316BA1">
        <w:t>X.SRCaaS</w:t>
      </w:r>
      <w:proofErr w:type="gramEnd"/>
      <w:r w:rsidRPr="00316BA1">
        <w:t>) [</w:t>
      </w:r>
      <w:hyperlink r:id="rId23" w:history="1">
        <w:r w:rsidRPr="00316BA1">
          <w:rPr>
            <w:rStyle w:val="Hyperlink"/>
          </w:rPr>
          <w:t>R062</w:t>
        </w:r>
      </w:hyperlink>
      <w:r w:rsidRPr="00316BA1">
        <w:t>]</w:t>
      </w:r>
    </w:p>
    <w:p w14:paraId="6C00633A" w14:textId="18D75D6D" w:rsidR="009B06F7" w:rsidRPr="00316BA1" w:rsidRDefault="000367D7" w:rsidP="00FC44C7">
      <w:pPr>
        <w:pStyle w:val="Headingb0"/>
        <w:rPr>
          <w:lang w:val="fr-FR"/>
        </w:rPr>
      </w:pPr>
      <w:r w:rsidRPr="00316BA1">
        <w:rPr>
          <w:lang w:val="fr-FR"/>
        </w:rPr>
        <w:t>Exigences de sécurité</w:t>
      </w:r>
      <w:r w:rsidR="00A043F7" w:rsidRPr="00316BA1">
        <w:rPr>
          <w:lang w:val="fr-FR"/>
        </w:rPr>
        <w:t xml:space="preserve"> pour l'environnement des applications de communication en tant que service </w:t>
      </w:r>
    </w:p>
    <w:p w14:paraId="65EB9BC2" w14:textId="5C14436F" w:rsidR="009B06F7" w:rsidRPr="00316BA1" w:rsidRDefault="00A043F7" w:rsidP="00FC44C7">
      <w:pPr>
        <w:pStyle w:val="Headingb0"/>
        <w:rPr>
          <w:lang w:val="fr-FR"/>
        </w:rPr>
      </w:pPr>
      <w:r w:rsidRPr="00316BA1">
        <w:rPr>
          <w:lang w:val="fr-FR"/>
        </w:rPr>
        <w:t>Résumé</w:t>
      </w:r>
    </w:p>
    <w:p w14:paraId="7170A7BC" w14:textId="512EDB14" w:rsidR="009B06F7" w:rsidRPr="00316BA1" w:rsidRDefault="00A043F7" w:rsidP="00FC44C7">
      <w:r w:rsidRPr="00316BA1">
        <w:t>La Recommandation UIT-T</w:t>
      </w:r>
      <w:r w:rsidR="009B06F7" w:rsidRPr="00316BA1">
        <w:t xml:space="preserve"> Y.3525 </w:t>
      </w:r>
      <w:r w:rsidRPr="00316BA1">
        <w:t xml:space="preserve">recense les menaces </w:t>
      </w:r>
      <w:r w:rsidR="006D5404" w:rsidRPr="00316BA1">
        <w:t>de</w:t>
      </w:r>
      <w:r w:rsidRPr="00316BA1">
        <w:t xml:space="preserve"> sécurité et </w:t>
      </w:r>
      <w:r w:rsidR="009D51DB" w:rsidRPr="00316BA1">
        <w:t>contient</w:t>
      </w:r>
      <w:r w:rsidRPr="00316BA1">
        <w:t xml:space="preserve"> des recommandations concernant les exigences de sécurité pour l'environnement des applications de communication en tant que service </w:t>
      </w:r>
      <w:r w:rsidR="009B06F7" w:rsidRPr="00316BA1">
        <w:t xml:space="preserve">(CaaS). </w:t>
      </w:r>
      <w:r w:rsidRPr="00316BA1">
        <w:t>Cette Recommandation décrit les scénarios et les caractéristiques des applications CaaS dotées de capac</w:t>
      </w:r>
      <w:r w:rsidR="006D5404" w:rsidRPr="00316BA1">
        <w:t>i</w:t>
      </w:r>
      <w:r w:rsidRPr="00316BA1">
        <w:t xml:space="preserve">tés de </w:t>
      </w:r>
      <w:r w:rsidR="008146D4" w:rsidRPr="00316BA1">
        <w:t>multicommunication</w:t>
      </w:r>
      <w:r w:rsidRPr="00316BA1">
        <w:t xml:space="preserve">. Elle recense en outre les menaces qui découlent des caractéristiques uniques des applications CaaS et </w:t>
      </w:r>
      <w:r w:rsidR="0085391D" w:rsidRPr="00316BA1">
        <w:t>contient</w:t>
      </w:r>
      <w:r w:rsidRPr="00316BA1">
        <w:t xml:space="preserve"> des recommandations </w:t>
      </w:r>
      <w:r w:rsidR="0085391D" w:rsidRPr="00316BA1">
        <w:t>relatives aux</w:t>
      </w:r>
      <w:r w:rsidR="006D5404" w:rsidRPr="00316BA1">
        <w:t xml:space="preserve"> exigences de sécurité appropriées pour les applications CaaS. </w:t>
      </w:r>
    </w:p>
    <w:p w14:paraId="5D33BAAD" w14:textId="3248CFD4" w:rsidR="009B06F7" w:rsidRPr="00316BA1" w:rsidRDefault="009B06F7" w:rsidP="00FC44C7">
      <w:pPr>
        <w:pStyle w:val="Heading1"/>
      </w:pPr>
      <w:r w:rsidRPr="00316BA1">
        <w:t>10</w:t>
      </w:r>
      <w:r w:rsidRPr="00316BA1">
        <w:tab/>
      </w:r>
      <w:r w:rsidR="000367D7" w:rsidRPr="00316BA1">
        <w:t>Projet de nouvelle Recommandation UIT</w:t>
      </w:r>
      <w:r w:rsidRPr="00316BA1">
        <w:t>-T X.1750 (</w:t>
      </w:r>
      <w:proofErr w:type="gramStart"/>
      <w:r w:rsidRPr="00316BA1">
        <w:t>X.GSBDaaS</w:t>
      </w:r>
      <w:proofErr w:type="gramEnd"/>
      <w:r w:rsidRPr="00316BA1">
        <w:t>) [</w:t>
      </w:r>
      <w:hyperlink r:id="rId24" w:history="1">
        <w:r w:rsidRPr="00316BA1">
          <w:rPr>
            <w:rStyle w:val="Hyperlink"/>
          </w:rPr>
          <w:t>R061</w:t>
        </w:r>
      </w:hyperlink>
      <w:r w:rsidRPr="00316BA1">
        <w:t>]</w:t>
      </w:r>
    </w:p>
    <w:p w14:paraId="248D668D" w14:textId="50D0C241" w:rsidR="009B06F7" w:rsidRPr="00316BA1" w:rsidRDefault="006D5404" w:rsidP="00FC44C7">
      <w:pPr>
        <w:pStyle w:val="Headingb0"/>
        <w:rPr>
          <w:lang w:val="fr-FR"/>
        </w:rPr>
      </w:pPr>
      <w:r w:rsidRPr="00316BA1">
        <w:rPr>
          <w:lang w:val="fr-FR"/>
        </w:rPr>
        <w:t xml:space="preserve">Lignes directrices relatives à la sécurité des mégadonnées en tant que service </w:t>
      </w:r>
      <w:r w:rsidR="008D01DF" w:rsidRPr="00316BA1">
        <w:rPr>
          <w:lang w:val="fr-FR"/>
        </w:rPr>
        <w:t>pour les</w:t>
      </w:r>
      <w:r w:rsidRPr="00316BA1">
        <w:rPr>
          <w:lang w:val="fr-FR"/>
        </w:rPr>
        <w:t xml:space="preserve"> fournisseurs de services de mégadonnées </w:t>
      </w:r>
    </w:p>
    <w:p w14:paraId="02061962" w14:textId="7A3D85AD" w:rsidR="009B06F7" w:rsidRPr="00316BA1" w:rsidRDefault="00A92A7D" w:rsidP="00FC44C7">
      <w:pPr>
        <w:pStyle w:val="Headingb0"/>
        <w:rPr>
          <w:lang w:val="fr-FR"/>
        </w:rPr>
      </w:pPr>
      <w:r w:rsidRPr="00316BA1">
        <w:rPr>
          <w:lang w:val="fr-FR"/>
        </w:rPr>
        <w:t>Résumé</w:t>
      </w:r>
    </w:p>
    <w:p w14:paraId="591A6CB7" w14:textId="25CB3AC8" w:rsidR="009B06F7" w:rsidRPr="00316BA1" w:rsidRDefault="00A92A7D" w:rsidP="00FC44C7">
      <w:r w:rsidRPr="00316BA1">
        <w:t>Les m</w:t>
      </w:r>
      <w:r w:rsidR="002D1AAE" w:rsidRPr="00316BA1">
        <w:t>égadonnées en tant que service (BDaaS)</w:t>
      </w:r>
      <w:r w:rsidRPr="00316BA1">
        <w:t xml:space="preserve"> sont une</w:t>
      </w:r>
      <w:r w:rsidR="002D1AAE" w:rsidRPr="00316BA1">
        <w:t xml:space="preserve"> catégorie de service </w:t>
      </w:r>
      <w:r w:rsidRPr="00316BA1">
        <w:t>en</w:t>
      </w:r>
      <w:r w:rsidR="002D1AAE" w:rsidRPr="00316BA1">
        <w:t xml:space="preserve"> nuage </w:t>
      </w:r>
      <w:r w:rsidR="00510B39" w:rsidRPr="00316BA1">
        <w:t xml:space="preserve">qui permet </w:t>
      </w:r>
      <w:r w:rsidRPr="00316BA1">
        <w:t xml:space="preserve">aux clients </w:t>
      </w:r>
      <w:r w:rsidR="00510B39" w:rsidRPr="00316BA1">
        <w:t>des services en nuage</w:t>
      </w:r>
      <w:r w:rsidRPr="00316BA1">
        <w:t xml:space="preserve"> de </w:t>
      </w:r>
      <w:r w:rsidR="002D1AAE" w:rsidRPr="00316BA1">
        <w:t xml:space="preserve">collecter, stocker, analyser, visualiser et gérer les </w:t>
      </w:r>
      <w:r w:rsidRPr="00316BA1">
        <w:t>méga</w:t>
      </w:r>
      <w:r w:rsidR="002D1AAE" w:rsidRPr="00316BA1">
        <w:t>données</w:t>
      </w:r>
      <w:r w:rsidRPr="00316BA1">
        <w:t>, comme indiqué dans la Recommandation UIT-T</w:t>
      </w:r>
      <w:r w:rsidR="00F96453" w:rsidRPr="00316BA1">
        <w:t> </w:t>
      </w:r>
      <w:r w:rsidRPr="00316BA1">
        <w:t>Y.3600.</w:t>
      </w:r>
      <w:r w:rsidR="002D1AAE" w:rsidRPr="00316BA1">
        <w:t xml:space="preserve"> </w:t>
      </w:r>
      <w:r w:rsidRPr="00316BA1">
        <w:t xml:space="preserve">Compte tenu de l'augmentation spectaculaire des volumes de données et de l'évolution rapide des activités liées aux mégadonnées, l'infrastructure des mégadonnées </w:t>
      </w:r>
      <w:r w:rsidR="00F9528E" w:rsidRPr="00316BA1">
        <w:t>s'est imposée</w:t>
      </w:r>
      <w:r w:rsidRPr="00316BA1">
        <w:t xml:space="preserve"> comme l'installation centrale pour la fourniture de services BDaaS. En conséquence, des questions importantes concernant la sécurité des services BDaaS se font jour. </w:t>
      </w:r>
      <w:r w:rsidR="00F66709" w:rsidRPr="00316BA1">
        <w:t xml:space="preserve">À titre d'exemple, </w:t>
      </w:r>
      <w:r w:rsidR="00284E18" w:rsidRPr="00316BA1">
        <w:t xml:space="preserve">lors de la conception de </w:t>
      </w:r>
      <w:r w:rsidR="00F66709" w:rsidRPr="00316BA1">
        <w:t xml:space="preserve">logiciels de mégadonnées à code source ouvert, </w:t>
      </w:r>
      <w:r w:rsidR="00284E18" w:rsidRPr="00316BA1">
        <w:t xml:space="preserve">la </w:t>
      </w:r>
      <w:r w:rsidR="00F96453" w:rsidRPr="00316BA1">
        <w:t xml:space="preserve">sécurité </w:t>
      </w:r>
      <w:r w:rsidR="00284E18" w:rsidRPr="00316BA1">
        <w:t xml:space="preserve">n'est pas toujours prise en considération </w:t>
      </w:r>
      <w:r w:rsidR="00F66709" w:rsidRPr="00316BA1">
        <w:t>dès le début</w:t>
      </w:r>
      <w:r w:rsidR="002D1AAE" w:rsidRPr="00316BA1">
        <w:t xml:space="preserve">. </w:t>
      </w:r>
      <w:r w:rsidR="00F66709" w:rsidRPr="00316BA1">
        <w:t xml:space="preserve">De plus, il </w:t>
      </w:r>
      <w:r w:rsidR="00CF32B7" w:rsidRPr="00316BA1">
        <w:t>se peut</w:t>
      </w:r>
      <w:r w:rsidR="00F66709" w:rsidRPr="00316BA1">
        <w:t xml:space="preserve"> que les nouvelles technologies mises au point pour l'analyse des mégadonnées </w:t>
      </w:r>
      <w:r w:rsidR="00AC785A" w:rsidRPr="00316BA1">
        <w:t xml:space="preserve">se traduisent par un non-respect </w:t>
      </w:r>
      <w:r w:rsidR="004878EE" w:rsidRPr="00316BA1">
        <w:t xml:space="preserve">des </w:t>
      </w:r>
      <w:r w:rsidR="00284E18" w:rsidRPr="00316BA1">
        <w:t xml:space="preserve">mesures </w:t>
      </w:r>
      <w:r w:rsidR="00F66709" w:rsidRPr="00316BA1">
        <w:t xml:space="preserve">classiques </w:t>
      </w:r>
      <w:r w:rsidR="00F96453" w:rsidRPr="00316BA1">
        <w:t xml:space="preserve">de </w:t>
      </w:r>
      <w:r w:rsidR="00284E18" w:rsidRPr="00316BA1">
        <w:t xml:space="preserve">protection </w:t>
      </w:r>
      <w:r w:rsidR="00F96453" w:rsidRPr="00316BA1">
        <w:t>de la sécurité</w:t>
      </w:r>
      <w:r w:rsidR="00F66709" w:rsidRPr="00316BA1">
        <w:t xml:space="preserve">. </w:t>
      </w:r>
      <w:r w:rsidR="00EA1429" w:rsidRPr="00316BA1">
        <w:t>La</w:t>
      </w:r>
      <w:r w:rsidR="00F66709" w:rsidRPr="00316BA1">
        <w:t xml:space="preserve"> Recommandation UIT-T</w:t>
      </w:r>
      <w:r w:rsidR="002D1AAE" w:rsidRPr="00316BA1">
        <w:t xml:space="preserve"> X.1750 </w:t>
      </w:r>
      <w:r w:rsidR="00EA1429" w:rsidRPr="00316BA1">
        <w:t xml:space="preserve">contient une </w:t>
      </w:r>
      <w:r w:rsidR="00F66709" w:rsidRPr="00316BA1">
        <w:t xml:space="preserve">analyse </w:t>
      </w:r>
      <w:r w:rsidR="00EA1429" w:rsidRPr="00316BA1">
        <w:t>d</w:t>
      </w:r>
      <w:r w:rsidR="00F66709" w:rsidRPr="00316BA1">
        <w:t xml:space="preserve">es </w:t>
      </w:r>
      <w:r w:rsidR="004B3BCA" w:rsidRPr="00316BA1">
        <w:t>problèmes de sécurité</w:t>
      </w:r>
      <w:r w:rsidR="00F66709" w:rsidRPr="00316BA1">
        <w:t xml:space="preserve"> </w:t>
      </w:r>
      <w:r w:rsidR="006B0F72" w:rsidRPr="00316BA1">
        <w:t>que rencontrent</w:t>
      </w:r>
      <w:r w:rsidR="00F96453" w:rsidRPr="00316BA1">
        <w:t xml:space="preserve"> les services B</w:t>
      </w:r>
      <w:r w:rsidR="00316BA1">
        <w:t>D</w:t>
      </w:r>
      <w:r w:rsidR="00F96453" w:rsidRPr="00316BA1">
        <w:t>aaS</w:t>
      </w:r>
      <w:r w:rsidR="006B0F72" w:rsidRPr="00316BA1">
        <w:t xml:space="preserve"> et</w:t>
      </w:r>
      <w:r w:rsidR="002D1AAE" w:rsidRPr="00316BA1">
        <w:t xml:space="preserve"> </w:t>
      </w:r>
      <w:r w:rsidR="00F96453" w:rsidRPr="00316BA1">
        <w:t xml:space="preserve">définit les </w:t>
      </w:r>
      <w:r w:rsidR="00284E18" w:rsidRPr="00316BA1">
        <w:t xml:space="preserve">rôles </w:t>
      </w:r>
      <w:r w:rsidR="00F96453" w:rsidRPr="00316BA1">
        <w:t xml:space="preserve">et les responsabilités </w:t>
      </w:r>
      <w:r w:rsidR="008F429A" w:rsidRPr="00316BA1">
        <w:t>liées</w:t>
      </w:r>
      <w:r w:rsidR="00F96453" w:rsidRPr="00316BA1">
        <w:t xml:space="preserve"> à la sécurité dans la fourniture des services</w:t>
      </w:r>
      <w:r w:rsidR="008F429A" w:rsidRPr="00316BA1">
        <w:t xml:space="preserve"> B</w:t>
      </w:r>
      <w:r w:rsidR="00316BA1">
        <w:t>D</w:t>
      </w:r>
      <w:r w:rsidR="008F429A" w:rsidRPr="00316BA1">
        <w:t>aaS</w:t>
      </w:r>
      <w:r w:rsidR="002D1AAE" w:rsidRPr="00316BA1">
        <w:t>,</w:t>
      </w:r>
      <w:r w:rsidR="00F96453" w:rsidRPr="00316BA1">
        <w:t xml:space="preserve"> ainsi qu'un cadre de sécurité applicable à une infrastructure de mégadonnées.</w:t>
      </w:r>
      <w:r w:rsidR="002D1AAE" w:rsidRPr="00316BA1">
        <w:t xml:space="preserve"> </w:t>
      </w:r>
      <w:r w:rsidR="00F96453" w:rsidRPr="00316BA1">
        <w:t xml:space="preserve">Cette Recommandation précise en outre les mesures de </w:t>
      </w:r>
      <w:r w:rsidR="00284E18" w:rsidRPr="00316BA1">
        <w:t xml:space="preserve">protection </w:t>
      </w:r>
      <w:r w:rsidR="00F9321A" w:rsidRPr="00316BA1">
        <w:t>de la sécurité</w:t>
      </w:r>
      <w:r w:rsidR="00F96453" w:rsidRPr="00316BA1">
        <w:t xml:space="preserve"> </w:t>
      </w:r>
      <w:r w:rsidR="001D7696" w:rsidRPr="00316BA1">
        <w:t xml:space="preserve">à </w:t>
      </w:r>
      <w:r w:rsidR="00284E18" w:rsidRPr="00316BA1">
        <w:t xml:space="preserve">respecter </w:t>
      </w:r>
      <w:r w:rsidR="001726D5" w:rsidRPr="00316BA1">
        <w:t>pour</w:t>
      </w:r>
      <w:r w:rsidR="00F96453" w:rsidRPr="00316BA1">
        <w:t xml:space="preserve"> les services et les composantes associés aux services </w:t>
      </w:r>
      <w:r w:rsidR="002D1AAE" w:rsidRPr="00316BA1">
        <w:t>BDaaS.</w:t>
      </w:r>
    </w:p>
    <w:p w14:paraId="292AA2ED" w14:textId="6E14E2AC" w:rsidR="002D1AAE" w:rsidRPr="00316BA1" w:rsidRDefault="002D1AAE" w:rsidP="00FC44C7">
      <w:pPr>
        <w:pStyle w:val="Heading1"/>
      </w:pPr>
      <w:r w:rsidRPr="00316BA1">
        <w:lastRenderedPageBreak/>
        <w:t>11</w:t>
      </w:r>
      <w:r w:rsidRPr="00316BA1">
        <w:tab/>
      </w:r>
      <w:r w:rsidR="000367D7" w:rsidRPr="00316BA1">
        <w:t>Projet de nouvelle Recommandation UIT</w:t>
      </w:r>
      <w:r w:rsidRPr="00316BA1">
        <w:t>-T X.1751 (</w:t>
      </w:r>
      <w:proofErr w:type="gramStart"/>
      <w:r w:rsidRPr="00316BA1">
        <w:t>X.sgtBD</w:t>
      </w:r>
      <w:proofErr w:type="gramEnd"/>
      <w:r w:rsidRPr="00316BA1">
        <w:t>) [</w:t>
      </w:r>
      <w:hyperlink r:id="rId25" w:history="1">
        <w:r w:rsidRPr="00316BA1">
          <w:rPr>
            <w:rStyle w:val="Hyperlink"/>
          </w:rPr>
          <w:t>R063</w:t>
        </w:r>
      </w:hyperlink>
      <w:r w:rsidRPr="00316BA1">
        <w:t>]</w:t>
      </w:r>
    </w:p>
    <w:p w14:paraId="63B9202F" w14:textId="16390352" w:rsidR="002D1AAE" w:rsidRPr="00316BA1" w:rsidRDefault="00CE1F3C" w:rsidP="00FC44C7">
      <w:pPr>
        <w:pStyle w:val="Headingb0"/>
        <w:rPr>
          <w:lang w:val="fr-FR"/>
        </w:rPr>
      </w:pPr>
      <w:r w:rsidRPr="00316BA1">
        <w:rPr>
          <w:color w:val="000000"/>
          <w:lang w:val="fr-FR"/>
        </w:rPr>
        <w:t xml:space="preserve">Lignes directrices relatives à la sécurité </w:t>
      </w:r>
      <w:r w:rsidRPr="00316BA1">
        <w:rPr>
          <w:lang w:val="fr-FR"/>
        </w:rPr>
        <w:t xml:space="preserve">de la </w:t>
      </w:r>
      <w:r w:rsidRPr="00316BA1">
        <w:rPr>
          <w:color w:val="000000"/>
          <w:lang w:val="fr-FR"/>
        </w:rPr>
        <w:t>gestion du cycle de vie des mégadonnées</w:t>
      </w:r>
      <w:r w:rsidRPr="00316BA1">
        <w:rPr>
          <w:lang w:val="fr-FR"/>
        </w:rPr>
        <w:t xml:space="preserve"> pour les opérateurs de télécommunication</w:t>
      </w:r>
    </w:p>
    <w:p w14:paraId="50148CDB" w14:textId="7C71E999" w:rsidR="002D1AAE" w:rsidRPr="00316BA1" w:rsidRDefault="00F96453" w:rsidP="00FC44C7">
      <w:pPr>
        <w:pStyle w:val="Headingb0"/>
        <w:rPr>
          <w:lang w:val="fr-FR"/>
        </w:rPr>
      </w:pPr>
      <w:r w:rsidRPr="00316BA1">
        <w:rPr>
          <w:lang w:val="fr-FR"/>
        </w:rPr>
        <w:t>Résumé</w:t>
      </w:r>
    </w:p>
    <w:p w14:paraId="468A6D94" w14:textId="62500CFA" w:rsidR="007E0080" w:rsidRPr="00316BA1" w:rsidRDefault="00F15957" w:rsidP="002F3C3D">
      <w:pPr>
        <w:rPr>
          <w:rFonts w:eastAsia="SimSun"/>
          <w:lang w:eastAsia="zh-CN"/>
        </w:rPr>
      </w:pPr>
      <w:r w:rsidRPr="00316BA1">
        <w:rPr>
          <w:rFonts w:eastAsia="SimSun"/>
          <w:lang w:eastAsia="zh-CN"/>
        </w:rPr>
        <w:t xml:space="preserve">Cette </w:t>
      </w:r>
      <w:r w:rsidR="007E0080" w:rsidRPr="00316BA1">
        <w:rPr>
          <w:rFonts w:eastAsia="SimSun"/>
          <w:lang w:eastAsia="zh-CN"/>
        </w:rPr>
        <w:t xml:space="preserve">Recommandation contient une analyse des failles de sécurité et expose des lignes directrices relatives </w:t>
      </w:r>
      <w:r w:rsidR="007E0080" w:rsidRPr="00316BA1">
        <w:t>à la sécurité de la gestion du cycle de vie des mégadonnées pour les opérateurs de télécommunication</w:t>
      </w:r>
      <w:r w:rsidRPr="00316BA1">
        <w:t>.</w:t>
      </w:r>
    </w:p>
    <w:p w14:paraId="479AA134" w14:textId="0687DBD5" w:rsidR="007E0080" w:rsidRPr="00316BA1" w:rsidRDefault="007E0080" w:rsidP="002F3C3D">
      <w:pPr>
        <w:rPr>
          <w:rFonts w:eastAsia="SimSun"/>
          <w:lang w:eastAsia="zh-CN"/>
        </w:rPr>
      </w:pPr>
      <w:r w:rsidRPr="00316BA1">
        <w:rPr>
          <w:rFonts w:eastAsia="SimSun"/>
          <w:lang w:eastAsia="zh-CN"/>
        </w:rPr>
        <w:t>L</w:t>
      </w:r>
      <w:r w:rsidR="00057CBA" w:rsidRPr="00316BA1">
        <w:rPr>
          <w:rFonts w:eastAsia="SimSun"/>
          <w:lang w:eastAsia="zh-CN"/>
        </w:rPr>
        <w:t>'</w:t>
      </w:r>
      <w:r w:rsidRPr="00316BA1">
        <w:rPr>
          <w:rFonts w:eastAsia="SimSun"/>
          <w:lang w:eastAsia="zh-CN"/>
        </w:rPr>
        <w:t xml:space="preserve">évolution </w:t>
      </w:r>
      <w:r w:rsidR="005E1410" w:rsidRPr="00316BA1">
        <w:rPr>
          <w:rFonts w:eastAsia="SimSun"/>
          <w:lang w:eastAsia="zh-CN"/>
        </w:rPr>
        <w:t xml:space="preserve">rapide </w:t>
      </w:r>
      <w:r w:rsidRPr="00316BA1">
        <w:rPr>
          <w:rFonts w:eastAsia="SimSun"/>
          <w:lang w:eastAsia="zh-CN"/>
        </w:rPr>
        <w:t xml:space="preserve">de la </w:t>
      </w:r>
      <w:r w:rsidRPr="00316BA1">
        <w:t>technologie des mégadonnées est allée de pair avec une augmentation considérable de la valeur des données</w:t>
      </w:r>
      <w:r w:rsidRPr="00316BA1">
        <w:rPr>
          <w:rFonts w:eastAsia="SimSun"/>
          <w:lang w:eastAsia="zh-CN"/>
        </w:rPr>
        <w:t>. Les mégadonnées ouvrent de nouvelles perspectives pour ce qui est des services de télécommunication. Les données étaient autrefois cloisonnées et gérées de manière indépendante dans différents systèmes fournissant des services de télécommunication. Les tendances à l</w:t>
      </w:r>
      <w:r w:rsidR="00057CBA" w:rsidRPr="00316BA1">
        <w:rPr>
          <w:rFonts w:eastAsia="SimSun"/>
          <w:lang w:eastAsia="zh-CN"/>
        </w:rPr>
        <w:t>'</w:t>
      </w:r>
      <w:r w:rsidRPr="00316BA1">
        <w:rPr>
          <w:rFonts w:eastAsia="SimSun"/>
          <w:lang w:eastAsia="zh-CN"/>
        </w:rPr>
        <w:t xml:space="preserve">agrégation et à la fusion des données sont inévitables, en raison de la mise en place de services </w:t>
      </w:r>
      <w:r w:rsidRPr="00316BA1">
        <w:t>de mégadonnées</w:t>
      </w:r>
      <w:r w:rsidRPr="00316BA1">
        <w:rPr>
          <w:rFonts w:eastAsia="SimSun"/>
          <w:lang w:eastAsia="zh-CN"/>
        </w:rPr>
        <w:t xml:space="preserve">. Dans le cadre de la convergence vers la fusion des données, les données circulent sur des plates-formes et </w:t>
      </w:r>
      <w:r w:rsidR="005E1410" w:rsidRPr="00316BA1">
        <w:rPr>
          <w:rFonts w:eastAsia="SimSun"/>
          <w:lang w:eastAsia="zh-CN"/>
        </w:rPr>
        <w:t xml:space="preserve">dans </w:t>
      </w:r>
      <w:r w:rsidRPr="00316BA1">
        <w:rPr>
          <w:rFonts w:eastAsia="SimSun"/>
          <w:lang w:eastAsia="zh-CN"/>
        </w:rPr>
        <w:t>des processus de services et sont confrontées à plusieurs failles de sécurité à différents stades de leur cycle de vie.</w:t>
      </w:r>
    </w:p>
    <w:p w14:paraId="70A1A8EF" w14:textId="06F35AD7" w:rsidR="00F96453" w:rsidRPr="00316BA1" w:rsidRDefault="007E0080" w:rsidP="002F3C3D">
      <w:r w:rsidRPr="00316BA1">
        <w:rPr>
          <w:rFonts w:eastAsia="SimSun"/>
          <w:lang w:eastAsia="zh-CN"/>
        </w:rPr>
        <w:t xml:space="preserve">On trouvera dans </w:t>
      </w:r>
      <w:r w:rsidR="00F15957" w:rsidRPr="00316BA1">
        <w:rPr>
          <w:rFonts w:eastAsia="SimSun"/>
          <w:lang w:eastAsia="zh-CN"/>
        </w:rPr>
        <w:t xml:space="preserve">cette </w:t>
      </w:r>
      <w:r w:rsidRPr="00316BA1">
        <w:rPr>
          <w:rFonts w:eastAsia="SimSun"/>
          <w:lang w:eastAsia="zh-CN"/>
        </w:rPr>
        <w:t>Recommandation une description de certaines caractéristiques des services de mégadonnées et des catégories de données de télécommunication, une analyse des failles de sécurité de la gestion du cycle de vie des mégadonnées ainsi que des lignes directrices relatives à la sécurité à l</w:t>
      </w:r>
      <w:r w:rsidR="00057CBA" w:rsidRPr="00316BA1">
        <w:rPr>
          <w:rFonts w:eastAsia="SimSun"/>
          <w:lang w:eastAsia="zh-CN"/>
        </w:rPr>
        <w:t>'</w:t>
      </w:r>
      <w:r w:rsidRPr="00316BA1">
        <w:rPr>
          <w:rFonts w:eastAsia="SimSun"/>
          <w:lang w:eastAsia="zh-CN"/>
        </w:rPr>
        <w:t>intention des opérateurs de télécommunication.</w:t>
      </w:r>
    </w:p>
    <w:p w14:paraId="1A4FED15" w14:textId="4BA55ABC" w:rsidR="002D1AAE" w:rsidRPr="00316BA1" w:rsidRDefault="002D1AAE" w:rsidP="00FC44C7">
      <w:r w:rsidRPr="00316BA1">
        <w:br w:type="page"/>
      </w:r>
    </w:p>
    <w:p w14:paraId="761DA5C7" w14:textId="30043C02" w:rsidR="00652C88" w:rsidRPr="00316BA1" w:rsidRDefault="00652C88" w:rsidP="00FC44C7">
      <w:pPr>
        <w:pStyle w:val="AnnexTitle"/>
      </w:pPr>
      <w:r w:rsidRPr="00316BA1">
        <w:lastRenderedPageBreak/>
        <w:t>ANNEXE 2</w:t>
      </w:r>
      <w:r w:rsidRPr="00316BA1">
        <w:br/>
      </w:r>
      <w:r w:rsidRPr="00316BA1">
        <w:br/>
        <w:t>Objet: Réponse des États Membres à la Circulaire TSB 246: Consultation au sujet des textes déterminés des projets de Recommandations UIT</w:t>
      </w:r>
      <w:r w:rsidRPr="00316BA1">
        <w:noBreakHyphen/>
        <w:t xml:space="preserve">T X.1054, X.1148 (X.fdip), X.1216 </w:t>
      </w:r>
      <w:r w:rsidR="002F3C3D" w:rsidRPr="00316BA1">
        <w:br/>
      </w:r>
      <w:r w:rsidRPr="00316BA1">
        <w:t xml:space="preserve">(X.gcpie), X.1254, X.1279 (X.eaasd), X.1366 (X.amas-iot), X.1367 (X.elf-iot), X.1403 </w:t>
      </w:r>
      <w:r w:rsidR="002F3C3D" w:rsidRPr="00316BA1">
        <w:br/>
      </w:r>
      <w:r w:rsidRPr="00316BA1">
        <w:t>(X.dlt-sec), X.1606 (X.SRCaaS), X.1750 (X.GSBDaaS) et X.1751 (X.sgtBD)</w:t>
      </w:r>
    </w:p>
    <w:tbl>
      <w:tblPr>
        <w:tblW w:w="9639" w:type="dxa"/>
        <w:tblLayout w:type="fixed"/>
        <w:tblLook w:val="04A0" w:firstRow="1" w:lastRow="0" w:firstColumn="1" w:lastColumn="0" w:noHBand="0" w:noVBand="1"/>
      </w:tblPr>
      <w:tblGrid>
        <w:gridCol w:w="1276"/>
        <w:gridCol w:w="4111"/>
        <w:gridCol w:w="1276"/>
        <w:gridCol w:w="2976"/>
      </w:tblGrid>
      <w:tr w:rsidR="00652C88" w:rsidRPr="00316BA1" w14:paraId="144535D4" w14:textId="77777777" w:rsidTr="0081518A">
        <w:tc>
          <w:tcPr>
            <w:tcW w:w="1276" w:type="dxa"/>
            <w:shd w:val="clear" w:color="auto" w:fill="auto"/>
          </w:tcPr>
          <w:p w14:paraId="6A6DAAEB" w14:textId="77777777" w:rsidR="00652C88" w:rsidRPr="00316BA1" w:rsidRDefault="00652C88" w:rsidP="00FC44C7">
            <w:pPr>
              <w:jc w:val="right"/>
            </w:pPr>
            <w:proofErr w:type="gramStart"/>
            <w:r w:rsidRPr="00316BA1">
              <w:rPr>
                <w:b/>
                <w:bCs/>
              </w:rPr>
              <w:t>À</w:t>
            </w:r>
            <w:r w:rsidRPr="00316BA1">
              <w:t>:</w:t>
            </w:r>
            <w:proofErr w:type="gramEnd"/>
          </w:p>
        </w:tc>
        <w:tc>
          <w:tcPr>
            <w:tcW w:w="4111" w:type="dxa"/>
            <w:tcBorders>
              <w:right w:val="single" w:sz="8" w:space="0" w:color="auto"/>
            </w:tcBorders>
            <w:shd w:val="clear" w:color="auto" w:fill="auto"/>
          </w:tcPr>
          <w:p w14:paraId="0C42DB4E" w14:textId="77777777" w:rsidR="00652C88" w:rsidRPr="00316BA1" w:rsidRDefault="00652C88" w:rsidP="00FC44C7">
            <w:pPr>
              <w:rPr>
                <w:bCs/>
              </w:rPr>
            </w:pPr>
            <w:r w:rsidRPr="00316BA1">
              <w:rPr>
                <w:bCs/>
              </w:rPr>
              <w:t>Directeur du Bureau de la normalisation des télécommunications</w:t>
            </w:r>
          </w:p>
          <w:p w14:paraId="7BE40252" w14:textId="77777777" w:rsidR="00652C88" w:rsidRPr="00316BA1" w:rsidRDefault="00652C88" w:rsidP="00FC44C7">
            <w:pPr>
              <w:spacing w:before="0"/>
              <w:rPr>
                <w:bCs/>
              </w:rPr>
            </w:pPr>
            <w:r w:rsidRPr="00316BA1">
              <w:rPr>
                <w:bCs/>
              </w:rPr>
              <w:t xml:space="preserve">Union internationale des </w:t>
            </w:r>
            <w:r w:rsidRPr="00316BA1">
              <w:rPr>
                <w:bCs/>
              </w:rPr>
              <w:br/>
              <w:t>télécommunications</w:t>
            </w:r>
          </w:p>
          <w:p w14:paraId="7539EC76" w14:textId="77777777" w:rsidR="00652C88" w:rsidRPr="00316BA1" w:rsidRDefault="00652C88" w:rsidP="00FC44C7">
            <w:pPr>
              <w:spacing w:before="0"/>
              <w:rPr>
                <w:bCs/>
              </w:rPr>
            </w:pPr>
            <w:r w:rsidRPr="00316BA1">
              <w:rPr>
                <w:bCs/>
              </w:rPr>
              <w:t>Place des Nations</w:t>
            </w:r>
          </w:p>
          <w:p w14:paraId="4A3161A1" w14:textId="77777777" w:rsidR="00652C88" w:rsidRPr="00316BA1" w:rsidRDefault="00652C88" w:rsidP="00FC44C7">
            <w:pPr>
              <w:spacing w:before="0" w:after="120"/>
            </w:pPr>
            <w:r w:rsidRPr="00316BA1">
              <w:rPr>
                <w:bCs/>
              </w:rPr>
              <w:t>CH-1211 Genève 20, Suisse</w:t>
            </w:r>
          </w:p>
        </w:tc>
        <w:tc>
          <w:tcPr>
            <w:tcW w:w="1276" w:type="dxa"/>
            <w:tcBorders>
              <w:left w:val="single" w:sz="8" w:space="0" w:color="auto"/>
            </w:tcBorders>
            <w:shd w:val="clear" w:color="auto" w:fill="auto"/>
          </w:tcPr>
          <w:p w14:paraId="637B3394" w14:textId="77777777" w:rsidR="00652C88" w:rsidRPr="00316BA1" w:rsidRDefault="00652C88" w:rsidP="00FC44C7">
            <w:pPr>
              <w:jc w:val="right"/>
            </w:pPr>
            <w:proofErr w:type="gramStart"/>
            <w:r w:rsidRPr="00316BA1">
              <w:rPr>
                <w:b/>
                <w:bCs/>
              </w:rPr>
              <w:t>De</w:t>
            </w:r>
            <w:r w:rsidRPr="00316BA1">
              <w:rPr>
                <w:bCs/>
              </w:rPr>
              <w:t>:</w:t>
            </w:r>
            <w:proofErr w:type="gramEnd"/>
          </w:p>
        </w:tc>
        <w:tc>
          <w:tcPr>
            <w:tcW w:w="2976" w:type="dxa"/>
            <w:shd w:val="clear" w:color="auto" w:fill="auto"/>
          </w:tcPr>
          <w:p w14:paraId="0876A9A8" w14:textId="77777777" w:rsidR="00652C88" w:rsidRPr="00316BA1" w:rsidRDefault="00652C88" w:rsidP="00FC44C7">
            <w:pPr>
              <w:rPr>
                <w:bCs/>
                <w:highlight w:val="green"/>
              </w:rPr>
            </w:pPr>
            <w:r w:rsidRPr="00316BA1">
              <w:rPr>
                <w:bCs/>
                <w:highlight w:val="green"/>
              </w:rPr>
              <w:t>[Nom]</w:t>
            </w:r>
          </w:p>
          <w:p w14:paraId="4B57534B" w14:textId="77777777" w:rsidR="00652C88" w:rsidRPr="00316BA1" w:rsidRDefault="00652C88" w:rsidP="00FC44C7">
            <w:pPr>
              <w:spacing w:before="0"/>
              <w:rPr>
                <w:bCs/>
                <w:highlight w:val="green"/>
              </w:rPr>
            </w:pPr>
            <w:r w:rsidRPr="00316BA1">
              <w:rPr>
                <w:bCs/>
                <w:highlight w:val="green"/>
              </w:rPr>
              <w:t>[Rôle/titre officiel]</w:t>
            </w:r>
          </w:p>
          <w:p w14:paraId="7023461A" w14:textId="77777777" w:rsidR="00652C88" w:rsidRPr="00316BA1" w:rsidRDefault="00652C88" w:rsidP="00FC44C7">
            <w:pPr>
              <w:spacing w:before="0"/>
            </w:pPr>
            <w:r w:rsidRPr="00316BA1">
              <w:rPr>
                <w:bCs/>
                <w:highlight w:val="green"/>
              </w:rPr>
              <w:t>[Adresse]</w:t>
            </w:r>
          </w:p>
        </w:tc>
      </w:tr>
      <w:tr w:rsidR="00652C88" w:rsidRPr="00316BA1" w14:paraId="03712072" w14:textId="77777777" w:rsidTr="0081518A">
        <w:trPr>
          <w:trHeight w:val="923"/>
        </w:trPr>
        <w:tc>
          <w:tcPr>
            <w:tcW w:w="1276" w:type="dxa"/>
            <w:shd w:val="clear" w:color="auto" w:fill="auto"/>
          </w:tcPr>
          <w:p w14:paraId="3E2ECC86" w14:textId="77777777" w:rsidR="00652C88" w:rsidRPr="00316BA1" w:rsidRDefault="00652C88" w:rsidP="00FC44C7">
            <w:pPr>
              <w:jc w:val="right"/>
            </w:pPr>
            <w:proofErr w:type="gramStart"/>
            <w:r w:rsidRPr="00316BA1">
              <w:rPr>
                <w:b/>
                <w:bCs/>
              </w:rPr>
              <w:t>Télécopie</w:t>
            </w:r>
            <w:r w:rsidRPr="00316BA1">
              <w:rPr>
                <w:bCs/>
              </w:rPr>
              <w:t>:</w:t>
            </w:r>
            <w:r w:rsidRPr="00316BA1">
              <w:rPr>
                <w:b/>
                <w:bCs/>
              </w:rPr>
              <w:t>Courriel</w:t>
            </w:r>
            <w:proofErr w:type="gramEnd"/>
            <w:r w:rsidRPr="00316BA1">
              <w:rPr>
                <w:bCs/>
              </w:rPr>
              <w:t>:</w:t>
            </w:r>
          </w:p>
        </w:tc>
        <w:tc>
          <w:tcPr>
            <w:tcW w:w="4111" w:type="dxa"/>
            <w:tcBorders>
              <w:right w:val="single" w:sz="8" w:space="0" w:color="auto"/>
            </w:tcBorders>
            <w:shd w:val="clear" w:color="auto" w:fill="auto"/>
          </w:tcPr>
          <w:p w14:paraId="24690799" w14:textId="77777777" w:rsidR="00652C88" w:rsidRPr="00316BA1" w:rsidRDefault="00652C88" w:rsidP="00FC44C7">
            <w:r w:rsidRPr="00316BA1">
              <w:rPr>
                <w:bCs/>
              </w:rPr>
              <w:t>+41 22 730 5853</w:t>
            </w:r>
            <w:r w:rsidRPr="00316BA1">
              <w:rPr>
                <w:bCs/>
              </w:rPr>
              <w:br/>
            </w:r>
            <w:hyperlink r:id="rId26" w:history="1">
              <w:r w:rsidRPr="00316BA1">
                <w:rPr>
                  <w:rStyle w:val="Hyperlink"/>
                  <w:bCs/>
                </w:rPr>
                <w:t>tsbdir@itu.int</w:t>
              </w:r>
            </w:hyperlink>
            <w:r w:rsidRPr="00316BA1">
              <w:rPr>
                <w:bCs/>
              </w:rPr>
              <w:t xml:space="preserve"> </w:t>
            </w:r>
          </w:p>
        </w:tc>
        <w:tc>
          <w:tcPr>
            <w:tcW w:w="1276" w:type="dxa"/>
            <w:tcBorders>
              <w:left w:val="single" w:sz="8" w:space="0" w:color="auto"/>
            </w:tcBorders>
            <w:shd w:val="clear" w:color="auto" w:fill="auto"/>
          </w:tcPr>
          <w:p w14:paraId="6C554708" w14:textId="77777777" w:rsidR="00652C88" w:rsidRPr="00316BA1" w:rsidRDefault="00652C88" w:rsidP="00FC44C7">
            <w:pPr>
              <w:jc w:val="right"/>
            </w:pPr>
            <w:proofErr w:type="gramStart"/>
            <w:r w:rsidRPr="00316BA1">
              <w:rPr>
                <w:b/>
                <w:bCs/>
              </w:rPr>
              <w:t>Télécopie</w:t>
            </w:r>
            <w:r w:rsidRPr="00316BA1">
              <w:t>:</w:t>
            </w:r>
            <w:proofErr w:type="gramEnd"/>
            <w:r w:rsidRPr="00316BA1">
              <w:rPr>
                <w:b/>
                <w:bCs/>
              </w:rPr>
              <w:br/>
              <w:t>Courriel</w:t>
            </w:r>
            <w:r w:rsidRPr="00316BA1">
              <w:rPr>
                <w:bCs/>
              </w:rPr>
              <w:t>:</w:t>
            </w:r>
          </w:p>
        </w:tc>
        <w:tc>
          <w:tcPr>
            <w:tcW w:w="2976" w:type="dxa"/>
            <w:shd w:val="clear" w:color="auto" w:fill="auto"/>
          </w:tcPr>
          <w:p w14:paraId="1E92DE91" w14:textId="77777777" w:rsidR="00652C88" w:rsidRPr="00316BA1" w:rsidRDefault="00652C88" w:rsidP="00FC44C7"/>
        </w:tc>
      </w:tr>
    </w:tbl>
    <w:p w14:paraId="25F658A2" w14:textId="77777777" w:rsidR="00652C88" w:rsidRPr="00316BA1" w:rsidRDefault="00652C88" w:rsidP="00FC44C7">
      <w:r w:rsidRPr="00316BA1">
        <w:t>Madame, Monsieur,</w:t>
      </w:r>
    </w:p>
    <w:p w14:paraId="76B30090" w14:textId="2CF37FBC" w:rsidR="00652C88" w:rsidRPr="00316BA1" w:rsidRDefault="00652C88" w:rsidP="00FC44C7">
      <w:pPr>
        <w:spacing w:after="240"/>
      </w:pPr>
      <w:r w:rsidRPr="00316BA1">
        <w:t xml:space="preserve">Dans le cadre de la consultation des États Membres au sujet des projets de textes déterminés dont il est question dans la Circulaire TSB </w:t>
      </w:r>
      <w:r w:rsidR="0044502C" w:rsidRPr="00316BA1">
        <w:t>246</w:t>
      </w:r>
      <w:r w:rsidRPr="00316BA1">
        <w:t>, je vous indique par la présente l'opinion de mon Administration, qui figure dans le tableau ci-après.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7503"/>
      </w:tblGrid>
      <w:tr w:rsidR="00652C88" w:rsidRPr="00316BA1" w14:paraId="12DD1DC5" w14:textId="77777777" w:rsidTr="00AD167F">
        <w:trPr>
          <w:tblHeader/>
        </w:trPr>
        <w:tc>
          <w:tcPr>
            <w:tcW w:w="2137" w:type="dxa"/>
            <w:shd w:val="clear" w:color="auto" w:fill="auto"/>
            <w:vAlign w:val="center"/>
          </w:tcPr>
          <w:p w14:paraId="4C29799D" w14:textId="77777777" w:rsidR="00652C88" w:rsidRPr="00316BA1" w:rsidRDefault="00652C88" w:rsidP="00FC44C7">
            <w:pPr>
              <w:rPr>
                <w:b/>
                <w:bCs/>
              </w:rPr>
            </w:pPr>
          </w:p>
        </w:tc>
        <w:tc>
          <w:tcPr>
            <w:tcW w:w="7503" w:type="dxa"/>
            <w:shd w:val="clear" w:color="auto" w:fill="auto"/>
            <w:vAlign w:val="center"/>
          </w:tcPr>
          <w:p w14:paraId="6E2B6C0D" w14:textId="77777777" w:rsidR="00652C88" w:rsidRPr="00316BA1" w:rsidRDefault="00652C88" w:rsidP="00FC44C7">
            <w:pPr>
              <w:pStyle w:val="TableHead"/>
            </w:pPr>
            <w:r w:rsidRPr="00316BA1">
              <w:t>Cochez l'une des deux cases pour chaque texte</w:t>
            </w:r>
          </w:p>
        </w:tc>
      </w:tr>
      <w:tr w:rsidR="00AD167F" w:rsidRPr="00316BA1" w14:paraId="1650044D" w14:textId="77777777" w:rsidTr="00AD167F">
        <w:trPr>
          <w:trHeight w:val="530"/>
        </w:trPr>
        <w:tc>
          <w:tcPr>
            <w:tcW w:w="2137" w:type="dxa"/>
            <w:vMerge w:val="restart"/>
            <w:shd w:val="clear" w:color="auto" w:fill="auto"/>
            <w:vAlign w:val="center"/>
          </w:tcPr>
          <w:p w14:paraId="574DC90D" w14:textId="2F793380" w:rsidR="00AD167F" w:rsidRPr="00316BA1" w:rsidRDefault="00FC6548" w:rsidP="00FC44C7">
            <w:pPr>
              <w:pStyle w:val="TableHead"/>
            </w:pPr>
            <w:r w:rsidRPr="00316BA1">
              <w:t>Projet de révision de la Recommandation</w:t>
            </w:r>
            <w:r w:rsidR="00AD167F" w:rsidRPr="00316BA1">
              <w:t xml:space="preserve"> UIT-T X.1054</w:t>
            </w:r>
          </w:p>
        </w:tc>
        <w:tc>
          <w:tcPr>
            <w:tcW w:w="7503" w:type="dxa"/>
            <w:shd w:val="clear" w:color="auto" w:fill="auto"/>
            <w:vAlign w:val="center"/>
          </w:tcPr>
          <w:p w14:paraId="790059A4" w14:textId="62286023" w:rsidR="00AD167F" w:rsidRPr="00316BA1" w:rsidRDefault="00AD167F" w:rsidP="00FC44C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hanging="720"/>
            </w:pPr>
            <w:r w:rsidRPr="00316BA1">
              <w:fldChar w:fldCharType="begin">
                <w:ffData>
                  <w:name w:val="Check1"/>
                  <w:enabled/>
                  <w:calcOnExit w:val="0"/>
                  <w:checkBox>
                    <w:sizeAuto/>
                    <w:default w:val="0"/>
                  </w:checkBox>
                </w:ffData>
              </w:fldChar>
            </w:r>
            <w:r w:rsidRPr="00316BA1">
              <w:instrText xml:space="preserve"> FORMCHECKBOX </w:instrText>
            </w:r>
            <w:r w:rsidR="00A7709B">
              <w:fldChar w:fldCharType="separate"/>
            </w:r>
            <w:r w:rsidRPr="00316BA1">
              <w:fldChar w:fldCharType="end"/>
            </w:r>
            <w:r w:rsidRPr="00316BA1">
              <w:tab/>
            </w:r>
            <w:proofErr w:type="gramStart"/>
            <w:r w:rsidRPr="00316BA1">
              <w:rPr>
                <w:b/>
                <w:bCs/>
              </w:rPr>
              <w:t>autorise</w:t>
            </w:r>
            <w:proofErr w:type="gramEnd"/>
            <w:r w:rsidRPr="00316BA1">
              <w:t xml:space="preserve"> la Commission d'études 17 à procéder à l'examen de ce document en vue de son approbation (dans ce cas, sélectionnez l'une des deux options ⃝):</w:t>
            </w:r>
          </w:p>
          <w:p w14:paraId="1D7BE629" w14:textId="78917FBB" w:rsidR="00AD167F" w:rsidRPr="00316BA1" w:rsidRDefault="00AD167F" w:rsidP="00FC44C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316BA1">
              <w:tab/>
              <w:t>⃝</w:t>
            </w:r>
            <w:r w:rsidRPr="00316BA1">
              <w:tab/>
              <w:t>Pas de commentaire ou de proposition de modification</w:t>
            </w:r>
          </w:p>
          <w:p w14:paraId="5E26EC9C" w14:textId="3E81BEFD" w:rsidR="00AD167F" w:rsidRPr="00316BA1" w:rsidRDefault="00AD167F" w:rsidP="00FC44C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7" w:hanging="727"/>
              <w:rPr>
                <w:b/>
              </w:rPr>
            </w:pPr>
            <w:r w:rsidRPr="00316BA1">
              <w:tab/>
              <w:t>⃝</w:t>
            </w:r>
            <w:r w:rsidRPr="00316BA1">
              <w:tab/>
              <w:t xml:space="preserve">Des commentaires ou propositions de modification sont joints à </w:t>
            </w:r>
            <w:r w:rsidR="008C3E50" w:rsidRPr="00316BA1">
              <w:tab/>
            </w:r>
            <w:r w:rsidRPr="00316BA1">
              <w:t>la présente</w:t>
            </w:r>
          </w:p>
        </w:tc>
      </w:tr>
      <w:tr w:rsidR="00AD167F" w:rsidRPr="00316BA1" w14:paraId="3C8A8E72" w14:textId="77777777" w:rsidTr="00AD167F">
        <w:trPr>
          <w:trHeight w:val="530"/>
        </w:trPr>
        <w:tc>
          <w:tcPr>
            <w:tcW w:w="2137" w:type="dxa"/>
            <w:vMerge/>
            <w:shd w:val="clear" w:color="auto" w:fill="auto"/>
            <w:vAlign w:val="center"/>
          </w:tcPr>
          <w:p w14:paraId="74060305" w14:textId="77777777" w:rsidR="00AD167F" w:rsidRPr="00316BA1" w:rsidRDefault="00AD167F" w:rsidP="00FC44C7">
            <w:pPr>
              <w:pStyle w:val="TableHead"/>
            </w:pPr>
          </w:p>
        </w:tc>
        <w:tc>
          <w:tcPr>
            <w:tcW w:w="7503" w:type="dxa"/>
            <w:shd w:val="clear" w:color="auto" w:fill="auto"/>
            <w:vAlign w:val="center"/>
          </w:tcPr>
          <w:p w14:paraId="25AEC364" w14:textId="44EB9FEC" w:rsidR="00AD167F" w:rsidRPr="00316BA1" w:rsidRDefault="00AD167F" w:rsidP="00FC44C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hanging="720"/>
              <w:rPr>
                <w:b/>
              </w:rPr>
            </w:pPr>
            <w:r w:rsidRPr="00316BA1">
              <w:fldChar w:fldCharType="begin">
                <w:ffData>
                  <w:name w:val="Check1"/>
                  <w:enabled/>
                  <w:calcOnExit w:val="0"/>
                  <w:checkBox>
                    <w:sizeAuto/>
                    <w:default w:val="0"/>
                  </w:checkBox>
                </w:ffData>
              </w:fldChar>
            </w:r>
            <w:r w:rsidRPr="00316BA1">
              <w:instrText xml:space="preserve"> FORMCHECKBOX </w:instrText>
            </w:r>
            <w:r w:rsidR="00A7709B">
              <w:fldChar w:fldCharType="separate"/>
            </w:r>
            <w:r w:rsidRPr="00316BA1">
              <w:fldChar w:fldCharType="end"/>
            </w:r>
            <w:r w:rsidRPr="00316BA1">
              <w:tab/>
            </w:r>
            <w:proofErr w:type="gramStart"/>
            <w:r w:rsidRPr="00316BA1">
              <w:rPr>
                <w:b/>
                <w:bCs/>
              </w:rPr>
              <w:t>n'autorise</w:t>
            </w:r>
            <w:proofErr w:type="gramEnd"/>
            <w:r w:rsidRPr="00316BA1">
              <w:rPr>
                <w:b/>
                <w:bCs/>
              </w:rPr>
              <w:t xml:space="preserve"> pas</w:t>
            </w:r>
            <w:r w:rsidRPr="00316BA1">
              <w:t xml:space="preserve"> la Commission d'études 17 à procéder à l'examen de ce document en vue de son approbation (les motifs de cette décision et une description des éventuelles modifications qui permettraient la poursuite des travaux sont joints à la présente)</w:t>
            </w:r>
          </w:p>
        </w:tc>
      </w:tr>
      <w:tr w:rsidR="00652C88" w:rsidRPr="00316BA1" w14:paraId="1E772773" w14:textId="77777777" w:rsidTr="00AD167F">
        <w:trPr>
          <w:trHeight w:val="748"/>
        </w:trPr>
        <w:tc>
          <w:tcPr>
            <w:tcW w:w="2137" w:type="dxa"/>
            <w:vMerge w:val="restart"/>
            <w:shd w:val="clear" w:color="auto" w:fill="auto"/>
            <w:vAlign w:val="center"/>
          </w:tcPr>
          <w:p w14:paraId="47CBC989" w14:textId="46BE2F2C" w:rsidR="00652C88" w:rsidRPr="00316BA1" w:rsidRDefault="00652C88" w:rsidP="00FC44C7">
            <w:pPr>
              <w:pStyle w:val="TableHead"/>
            </w:pPr>
            <w:r w:rsidRPr="00316BA1">
              <w:t xml:space="preserve">Projet de </w:t>
            </w:r>
            <w:r w:rsidR="00FC6548" w:rsidRPr="00316BA1">
              <w:t xml:space="preserve">nouvelle </w:t>
            </w:r>
            <w:r w:rsidRPr="00316BA1">
              <w:t>Recommandation UIT-T X.1</w:t>
            </w:r>
            <w:r w:rsidR="00AD167F" w:rsidRPr="00316BA1">
              <w:t>148</w:t>
            </w:r>
            <w:r w:rsidRPr="00316BA1">
              <w:t xml:space="preserve"> (</w:t>
            </w:r>
            <w:proofErr w:type="gramStart"/>
            <w:r w:rsidR="00AD167F" w:rsidRPr="00316BA1">
              <w:t>X.fdip</w:t>
            </w:r>
            <w:proofErr w:type="gramEnd"/>
            <w:r w:rsidRPr="00316BA1">
              <w:t>)</w:t>
            </w:r>
          </w:p>
        </w:tc>
        <w:tc>
          <w:tcPr>
            <w:tcW w:w="7503" w:type="dxa"/>
            <w:shd w:val="clear" w:color="auto" w:fill="auto"/>
            <w:vAlign w:val="center"/>
          </w:tcPr>
          <w:p w14:paraId="6FFF64BC" w14:textId="6A57417B" w:rsidR="00652C88" w:rsidRPr="00316BA1" w:rsidRDefault="00652C88" w:rsidP="00FC44C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hanging="720"/>
            </w:pPr>
            <w:r w:rsidRPr="00316BA1">
              <w:fldChar w:fldCharType="begin">
                <w:ffData>
                  <w:name w:val="Check1"/>
                  <w:enabled/>
                  <w:calcOnExit w:val="0"/>
                  <w:checkBox>
                    <w:sizeAuto/>
                    <w:default w:val="0"/>
                  </w:checkBox>
                </w:ffData>
              </w:fldChar>
            </w:r>
            <w:r w:rsidRPr="00316BA1">
              <w:instrText xml:space="preserve"> FORMCHECKBOX </w:instrText>
            </w:r>
            <w:r w:rsidR="00A7709B">
              <w:fldChar w:fldCharType="separate"/>
            </w:r>
            <w:r w:rsidRPr="00316BA1">
              <w:fldChar w:fldCharType="end"/>
            </w:r>
            <w:r w:rsidRPr="00316BA1">
              <w:tab/>
            </w:r>
            <w:proofErr w:type="gramStart"/>
            <w:r w:rsidRPr="00316BA1">
              <w:rPr>
                <w:b/>
                <w:bCs/>
              </w:rPr>
              <w:t>autorise</w:t>
            </w:r>
            <w:proofErr w:type="gramEnd"/>
            <w:r w:rsidRPr="00316BA1">
              <w:t xml:space="preserve"> la Commission d'études 17 à procéder à l'examen de ce document en vue de son approbation (dans ce cas, sélectionnez l'une des deux options ⃝):</w:t>
            </w:r>
          </w:p>
          <w:p w14:paraId="33C86394" w14:textId="3077EA52" w:rsidR="00652C88" w:rsidRPr="00316BA1" w:rsidRDefault="00652C88" w:rsidP="00FC44C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316BA1">
              <w:tab/>
              <w:t>⃝</w:t>
            </w:r>
            <w:r w:rsidRPr="00316BA1">
              <w:tab/>
              <w:t>Pas de commentaire ou de proposition de modification</w:t>
            </w:r>
          </w:p>
          <w:p w14:paraId="29A0F22B" w14:textId="18CFC456" w:rsidR="00652C88" w:rsidRPr="00316BA1" w:rsidRDefault="00652C88" w:rsidP="00FC44C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hanging="720"/>
            </w:pPr>
            <w:r w:rsidRPr="00316BA1">
              <w:tab/>
              <w:t>⃝</w:t>
            </w:r>
            <w:r w:rsidRPr="00316BA1">
              <w:tab/>
              <w:t xml:space="preserve">Des commentaires ou propositions de modification sont joints à </w:t>
            </w:r>
            <w:r w:rsidR="008C3E50" w:rsidRPr="00316BA1">
              <w:tab/>
            </w:r>
            <w:r w:rsidRPr="00316BA1">
              <w:t>la présente</w:t>
            </w:r>
          </w:p>
        </w:tc>
      </w:tr>
      <w:tr w:rsidR="00652C88" w:rsidRPr="00316BA1" w14:paraId="3FC8E0FD" w14:textId="77777777" w:rsidTr="00AD167F">
        <w:trPr>
          <w:trHeight w:val="748"/>
        </w:trPr>
        <w:tc>
          <w:tcPr>
            <w:tcW w:w="2137" w:type="dxa"/>
            <w:vMerge/>
            <w:shd w:val="clear" w:color="auto" w:fill="auto"/>
            <w:vAlign w:val="center"/>
          </w:tcPr>
          <w:p w14:paraId="5C3139B9" w14:textId="77777777" w:rsidR="00652C88" w:rsidRPr="00316BA1" w:rsidRDefault="00652C88" w:rsidP="00FC44C7">
            <w:pPr>
              <w:rPr>
                <w:b/>
              </w:rPr>
            </w:pPr>
          </w:p>
        </w:tc>
        <w:tc>
          <w:tcPr>
            <w:tcW w:w="7503" w:type="dxa"/>
            <w:shd w:val="clear" w:color="auto" w:fill="auto"/>
            <w:vAlign w:val="center"/>
          </w:tcPr>
          <w:p w14:paraId="67804AF7" w14:textId="6D941DEA" w:rsidR="00652C88" w:rsidRPr="00316BA1" w:rsidRDefault="00652C88" w:rsidP="00FC44C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hanging="720"/>
            </w:pPr>
            <w:r w:rsidRPr="00316BA1">
              <w:fldChar w:fldCharType="begin">
                <w:ffData>
                  <w:name w:val="Check1"/>
                  <w:enabled/>
                  <w:calcOnExit w:val="0"/>
                  <w:checkBox>
                    <w:sizeAuto/>
                    <w:default w:val="0"/>
                  </w:checkBox>
                </w:ffData>
              </w:fldChar>
            </w:r>
            <w:r w:rsidRPr="00316BA1">
              <w:instrText xml:space="preserve"> FORMCHECKBOX </w:instrText>
            </w:r>
            <w:r w:rsidR="00A7709B">
              <w:fldChar w:fldCharType="separate"/>
            </w:r>
            <w:r w:rsidRPr="00316BA1">
              <w:fldChar w:fldCharType="end"/>
            </w:r>
            <w:r w:rsidRPr="00316BA1">
              <w:tab/>
            </w:r>
            <w:proofErr w:type="gramStart"/>
            <w:r w:rsidRPr="00316BA1">
              <w:rPr>
                <w:b/>
                <w:bCs/>
              </w:rPr>
              <w:t>n'autorise</w:t>
            </w:r>
            <w:proofErr w:type="gramEnd"/>
            <w:r w:rsidRPr="00316BA1">
              <w:rPr>
                <w:b/>
                <w:bCs/>
              </w:rPr>
              <w:t xml:space="preserve"> pas</w:t>
            </w:r>
            <w:r w:rsidRPr="00316BA1">
              <w:t xml:space="preserve"> la Commission d'études 17 à procéder à l'examen de ce document en vue de son approbation (les motifs de cette décision et une description des éventuelles modifications qui permettraient la poursuite des travaux sont joints à la présente)</w:t>
            </w:r>
          </w:p>
        </w:tc>
      </w:tr>
      <w:tr w:rsidR="00AD167F" w:rsidRPr="00316BA1" w14:paraId="5085967A" w14:textId="77777777" w:rsidTr="00AD167F">
        <w:trPr>
          <w:trHeight w:val="735"/>
        </w:trPr>
        <w:tc>
          <w:tcPr>
            <w:tcW w:w="2137" w:type="dxa"/>
            <w:vMerge w:val="restart"/>
            <w:shd w:val="clear" w:color="auto" w:fill="auto"/>
            <w:vAlign w:val="center"/>
          </w:tcPr>
          <w:p w14:paraId="698E9412" w14:textId="2B2B5DA3" w:rsidR="00AD167F" w:rsidRPr="00316BA1" w:rsidRDefault="00FC6548" w:rsidP="00FC44C7">
            <w:pPr>
              <w:pStyle w:val="TableHead"/>
            </w:pPr>
            <w:r w:rsidRPr="00316BA1">
              <w:lastRenderedPageBreak/>
              <w:t xml:space="preserve">Projet de nouvelle Recommandation </w:t>
            </w:r>
            <w:r w:rsidR="00AD167F" w:rsidRPr="00316BA1">
              <w:t>UIT</w:t>
            </w:r>
            <w:r w:rsidR="00AD167F" w:rsidRPr="00316BA1">
              <w:rPr>
                <w:szCs w:val="22"/>
              </w:rPr>
              <w:t xml:space="preserve">-T </w:t>
            </w:r>
            <w:r w:rsidR="00AD167F" w:rsidRPr="00316BA1">
              <w:t>X.1216 (</w:t>
            </w:r>
            <w:proofErr w:type="gramStart"/>
            <w:r w:rsidR="00AD167F" w:rsidRPr="00316BA1">
              <w:t>X.gcpie</w:t>
            </w:r>
            <w:proofErr w:type="gramEnd"/>
            <w:r w:rsidR="00AD167F" w:rsidRPr="00316BA1">
              <w:t>)</w:t>
            </w:r>
          </w:p>
        </w:tc>
        <w:tc>
          <w:tcPr>
            <w:tcW w:w="7503" w:type="dxa"/>
            <w:shd w:val="clear" w:color="auto" w:fill="auto"/>
            <w:vAlign w:val="center"/>
          </w:tcPr>
          <w:p w14:paraId="18B615FB" w14:textId="77777777" w:rsidR="00AD167F" w:rsidRPr="00316BA1" w:rsidRDefault="00AD167F" w:rsidP="00FC44C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hanging="720"/>
            </w:pPr>
            <w:r w:rsidRPr="00316BA1">
              <w:fldChar w:fldCharType="begin">
                <w:ffData>
                  <w:name w:val="Check1"/>
                  <w:enabled/>
                  <w:calcOnExit w:val="0"/>
                  <w:checkBox>
                    <w:sizeAuto/>
                    <w:default w:val="0"/>
                  </w:checkBox>
                </w:ffData>
              </w:fldChar>
            </w:r>
            <w:r w:rsidRPr="00316BA1">
              <w:instrText xml:space="preserve"> FORMCHECKBOX </w:instrText>
            </w:r>
            <w:r w:rsidR="00A7709B">
              <w:fldChar w:fldCharType="separate"/>
            </w:r>
            <w:r w:rsidRPr="00316BA1">
              <w:fldChar w:fldCharType="end"/>
            </w:r>
            <w:r w:rsidRPr="00316BA1">
              <w:tab/>
            </w:r>
            <w:proofErr w:type="gramStart"/>
            <w:r w:rsidRPr="00316BA1">
              <w:rPr>
                <w:b/>
                <w:bCs/>
              </w:rPr>
              <w:t>autorise</w:t>
            </w:r>
            <w:proofErr w:type="gramEnd"/>
            <w:r w:rsidRPr="00316BA1">
              <w:t xml:space="preserve"> la Commission d'études 17 à procéder à l'examen de ce document en vue de son approbation (dans ce cas, sélectionnez l'une des deux options ⃝):</w:t>
            </w:r>
          </w:p>
          <w:p w14:paraId="1C75EED1" w14:textId="77777777" w:rsidR="00AD167F" w:rsidRPr="00316BA1" w:rsidRDefault="00AD167F" w:rsidP="00FC44C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316BA1">
              <w:tab/>
              <w:t>⃝</w:t>
            </w:r>
            <w:r w:rsidRPr="00316BA1">
              <w:tab/>
              <w:t>Pas de commentaire ou de proposition de modification</w:t>
            </w:r>
          </w:p>
          <w:p w14:paraId="1DD35C38" w14:textId="664C8DD8" w:rsidR="00AD167F" w:rsidRPr="00316BA1" w:rsidRDefault="00AD167F" w:rsidP="00FC44C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hanging="720"/>
            </w:pPr>
            <w:r w:rsidRPr="00316BA1">
              <w:tab/>
              <w:t>⃝</w:t>
            </w:r>
            <w:r w:rsidRPr="00316BA1">
              <w:tab/>
              <w:t xml:space="preserve">Des commentaires ou propositions de modification sont joints à </w:t>
            </w:r>
            <w:r w:rsidR="009E277B" w:rsidRPr="00316BA1">
              <w:tab/>
            </w:r>
            <w:r w:rsidRPr="00316BA1">
              <w:t>la présente</w:t>
            </w:r>
          </w:p>
        </w:tc>
      </w:tr>
      <w:tr w:rsidR="00AD167F" w:rsidRPr="00316BA1" w14:paraId="46473880" w14:textId="77777777" w:rsidTr="00AD167F">
        <w:trPr>
          <w:trHeight w:val="735"/>
        </w:trPr>
        <w:tc>
          <w:tcPr>
            <w:tcW w:w="2137" w:type="dxa"/>
            <w:vMerge/>
            <w:shd w:val="clear" w:color="auto" w:fill="auto"/>
            <w:vAlign w:val="center"/>
          </w:tcPr>
          <w:p w14:paraId="141BB6DB" w14:textId="77777777" w:rsidR="00AD167F" w:rsidRPr="00316BA1" w:rsidRDefault="00AD167F" w:rsidP="00FC44C7">
            <w:pPr>
              <w:pStyle w:val="TableHead"/>
            </w:pPr>
          </w:p>
        </w:tc>
        <w:tc>
          <w:tcPr>
            <w:tcW w:w="7503" w:type="dxa"/>
            <w:shd w:val="clear" w:color="auto" w:fill="auto"/>
            <w:vAlign w:val="center"/>
          </w:tcPr>
          <w:p w14:paraId="0642A882" w14:textId="7D7C57B7" w:rsidR="00AD167F" w:rsidRPr="00316BA1" w:rsidRDefault="00AD167F" w:rsidP="00FC44C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hanging="720"/>
            </w:pPr>
            <w:r w:rsidRPr="00316BA1">
              <w:fldChar w:fldCharType="begin">
                <w:ffData>
                  <w:name w:val="Check1"/>
                  <w:enabled/>
                  <w:calcOnExit w:val="0"/>
                  <w:checkBox>
                    <w:sizeAuto/>
                    <w:default w:val="0"/>
                  </w:checkBox>
                </w:ffData>
              </w:fldChar>
            </w:r>
            <w:r w:rsidRPr="00316BA1">
              <w:instrText xml:space="preserve"> FORMCHECKBOX </w:instrText>
            </w:r>
            <w:r w:rsidR="00A7709B">
              <w:fldChar w:fldCharType="separate"/>
            </w:r>
            <w:r w:rsidRPr="00316BA1">
              <w:fldChar w:fldCharType="end"/>
            </w:r>
            <w:r w:rsidRPr="00316BA1">
              <w:tab/>
            </w:r>
            <w:proofErr w:type="gramStart"/>
            <w:r w:rsidRPr="00316BA1">
              <w:rPr>
                <w:b/>
                <w:bCs/>
              </w:rPr>
              <w:t>n'autorise</w:t>
            </w:r>
            <w:proofErr w:type="gramEnd"/>
            <w:r w:rsidRPr="00316BA1">
              <w:rPr>
                <w:b/>
                <w:bCs/>
              </w:rPr>
              <w:t xml:space="preserve"> pas</w:t>
            </w:r>
            <w:r w:rsidRPr="00316BA1">
              <w:t xml:space="preserve"> la Commission d'études 17 à procéder à l'examen de ce document en vue de son approbation (les motifs de cette décision et une description des éventuelles modifications qui permettraient la poursuite des travaux sont joints à la présente)</w:t>
            </w:r>
          </w:p>
        </w:tc>
      </w:tr>
      <w:tr w:rsidR="00AD167F" w:rsidRPr="00316BA1" w14:paraId="41D804F4" w14:textId="77777777" w:rsidTr="00AD167F">
        <w:trPr>
          <w:trHeight w:val="590"/>
        </w:trPr>
        <w:tc>
          <w:tcPr>
            <w:tcW w:w="2137" w:type="dxa"/>
            <w:vMerge w:val="restart"/>
            <w:shd w:val="clear" w:color="auto" w:fill="auto"/>
            <w:vAlign w:val="center"/>
          </w:tcPr>
          <w:p w14:paraId="71974D46" w14:textId="19CBF88B" w:rsidR="00AD167F" w:rsidRPr="00316BA1" w:rsidRDefault="00FC6548" w:rsidP="00FC44C7">
            <w:pPr>
              <w:pStyle w:val="TableHead"/>
            </w:pPr>
            <w:r w:rsidRPr="00316BA1">
              <w:t>Projet de révision de la Recommandation</w:t>
            </w:r>
            <w:r w:rsidR="00AD167F" w:rsidRPr="00316BA1">
              <w:t xml:space="preserve"> UIT-T X.1254</w:t>
            </w:r>
          </w:p>
        </w:tc>
        <w:tc>
          <w:tcPr>
            <w:tcW w:w="7503" w:type="dxa"/>
            <w:shd w:val="clear" w:color="auto" w:fill="auto"/>
            <w:vAlign w:val="center"/>
          </w:tcPr>
          <w:p w14:paraId="4EDF9A86" w14:textId="77777777" w:rsidR="00AD167F" w:rsidRPr="00316BA1" w:rsidRDefault="00AD167F" w:rsidP="00FC44C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hanging="720"/>
            </w:pPr>
            <w:r w:rsidRPr="00316BA1">
              <w:fldChar w:fldCharType="begin">
                <w:ffData>
                  <w:name w:val="Check1"/>
                  <w:enabled/>
                  <w:calcOnExit w:val="0"/>
                  <w:checkBox>
                    <w:sizeAuto/>
                    <w:default w:val="0"/>
                  </w:checkBox>
                </w:ffData>
              </w:fldChar>
            </w:r>
            <w:r w:rsidRPr="00316BA1">
              <w:instrText xml:space="preserve"> FORMCHECKBOX </w:instrText>
            </w:r>
            <w:r w:rsidR="00A7709B">
              <w:fldChar w:fldCharType="separate"/>
            </w:r>
            <w:r w:rsidRPr="00316BA1">
              <w:fldChar w:fldCharType="end"/>
            </w:r>
            <w:r w:rsidRPr="00316BA1">
              <w:tab/>
            </w:r>
            <w:proofErr w:type="gramStart"/>
            <w:r w:rsidRPr="00316BA1">
              <w:rPr>
                <w:b/>
                <w:bCs/>
              </w:rPr>
              <w:t>autorise</w:t>
            </w:r>
            <w:proofErr w:type="gramEnd"/>
            <w:r w:rsidRPr="00316BA1">
              <w:t xml:space="preserve"> la Commission d'études 17 à procéder à l'examen de ce document en vue de son approbation (dans ce cas, sélectionnez l'une des deux options ⃝):</w:t>
            </w:r>
          </w:p>
          <w:p w14:paraId="7337F5CC" w14:textId="77777777" w:rsidR="00AD167F" w:rsidRPr="00316BA1" w:rsidRDefault="00AD167F" w:rsidP="00FC44C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316BA1">
              <w:tab/>
              <w:t>⃝</w:t>
            </w:r>
            <w:r w:rsidRPr="00316BA1">
              <w:tab/>
              <w:t>Pas de commentaire ou de proposition de modification</w:t>
            </w:r>
          </w:p>
          <w:p w14:paraId="547C5BBB" w14:textId="21EA90C8" w:rsidR="00AD167F" w:rsidRPr="00316BA1" w:rsidRDefault="00AD167F" w:rsidP="00FC44C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hanging="720"/>
            </w:pPr>
            <w:r w:rsidRPr="00316BA1">
              <w:tab/>
              <w:t>⃝</w:t>
            </w:r>
            <w:r w:rsidRPr="00316BA1">
              <w:tab/>
              <w:t xml:space="preserve">Des commentaires ou propositions de modification sont joints à </w:t>
            </w:r>
            <w:r w:rsidR="009E277B" w:rsidRPr="00316BA1">
              <w:tab/>
            </w:r>
            <w:r w:rsidRPr="00316BA1">
              <w:t>la présente</w:t>
            </w:r>
          </w:p>
        </w:tc>
      </w:tr>
      <w:tr w:rsidR="00AD167F" w:rsidRPr="00316BA1" w14:paraId="6049A3C3" w14:textId="77777777" w:rsidTr="00AD167F">
        <w:trPr>
          <w:trHeight w:val="590"/>
        </w:trPr>
        <w:tc>
          <w:tcPr>
            <w:tcW w:w="2137" w:type="dxa"/>
            <w:vMerge/>
            <w:shd w:val="clear" w:color="auto" w:fill="auto"/>
            <w:vAlign w:val="center"/>
          </w:tcPr>
          <w:p w14:paraId="2CFE25C8" w14:textId="77777777" w:rsidR="00AD167F" w:rsidRPr="00316BA1" w:rsidRDefault="00AD167F" w:rsidP="00FC44C7">
            <w:pPr>
              <w:spacing w:before="60" w:after="60"/>
              <w:jc w:val="center"/>
              <w:rPr>
                <w:b/>
                <w:bCs/>
                <w:szCs w:val="24"/>
              </w:rPr>
            </w:pPr>
          </w:p>
        </w:tc>
        <w:tc>
          <w:tcPr>
            <w:tcW w:w="7503" w:type="dxa"/>
            <w:shd w:val="clear" w:color="auto" w:fill="auto"/>
            <w:vAlign w:val="center"/>
          </w:tcPr>
          <w:p w14:paraId="2CFC25FA" w14:textId="7FCE7F65" w:rsidR="00AD167F" w:rsidRPr="00316BA1" w:rsidRDefault="00AD167F" w:rsidP="00FC44C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hanging="720"/>
            </w:pPr>
            <w:r w:rsidRPr="00316BA1">
              <w:fldChar w:fldCharType="begin">
                <w:ffData>
                  <w:name w:val="Check1"/>
                  <w:enabled/>
                  <w:calcOnExit w:val="0"/>
                  <w:checkBox>
                    <w:sizeAuto/>
                    <w:default w:val="0"/>
                  </w:checkBox>
                </w:ffData>
              </w:fldChar>
            </w:r>
            <w:r w:rsidRPr="00316BA1">
              <w:instrText xml:space="preserve"> FORMCHECKBOX </w:instrText>
            </w:r>
            <w:r w:rsidR="00A7709B">
              <w:fldChar w:fldCharType="separate"/>
            </w:r>
            <w:r w:rsidRPr="00316BA1">
              <w:fldChar w:fldCharType="end"/>
            </w:r>
            <w:r w:rsidRPr="00316BA1">
              <w:tab/>
            </w:r>
            <w:proofErr w:type="gramStart"/>
            <w:r w:rsidRPr="00316BA1">
              <w:rPr>
                <w:b/>
                <w:bCs/>
              </w:rPr>
              <w:t>n'autorise</w:t>
            </w:r>
            <w:proofErr w:type="gramEnd"/>
            <w:r w:rsidRPr="00316BA1">
              <w:rPr>
                <w:b/>
                <w:bCs/>
              </w:rPr>
              <w:t xml:space="preserve"> pas</w:t>
            </w:r>
            <w:r w:rsidRPr="00316BA1">
              <w:t xml:space="preserve"> la Commission d'études 17 à procéder à l'examen de ce document en vue de son approbation (les motifs de cette décision et une description des éventuelles modifications qui permettraient la poursuite des travaux sont joints à la présente)</w:t>
            </w:r>
          </w:p>
        </w:tc>
      </w:tr>
      <w:tr w:rsidR="00AD167F" w:rsidRPr="00316BA1" w14:paraId="40491771" w14:textId="77777777" w:rsidTr="00AD167F">
        <w:trPr>
          <w:trHeight w:val="748"/>
        </w:trPr>
        <w:tc>
          <w:tcPr>
            <w:tcW w:w="2137" w:type="dxa"/>
            <w:vMerge w:val="restart"/>
            <w:shd w:val="clear" w:color="auto" w:fill="auto"/>
            <w:vAlign w:val="center"/>
          </w:tcPr>
          <w:p w14:paraId="186C1C09" w14:textId="5D71090B" w:rsidR="00AD167F" w:rsidRPr="00316BA1" w:rsidRDefault="00FC6548" w:rsidP="00FC44C7">
            <w:pPr>
              <w:pStyle w:val="TableHead"/>
            </w:pPr>
            <w:r w:rsidRPr="00316BA1">
              <w:t>Projet de nouvelle Recommandation</w:t>
            </w:r>
            <w:r w:rsidR="00AD167F" w:rsidRPr="00316BA1">
              <w:t xml:space="preserve"> UIT-T X.1279 (</w:t>
            </w:r>
            <w:proofErr w:type="gramStart"/>
            <w:r w:rsidR="00AD167F" w:rsidRPr="00316BA1">
              <w:t>X.eaasd</w:t>
            </w:r>
            <w:proofErr w:type="gramEnd"/>
            <w:r w:rsidR="00AD167F" w:rsidRPr="00316BA1">
              <w:t>)</w:t>
            </w:r>
          </w:p>
        </w:tc>
        <w:tc>
          <w:tcPr>
            <w:tcW w:w="7503" w:type="dxa"/>
            <w:shd w:val="clear" w:color="auto" w:fill="auto"/>
            <w:vAlign w:val="center"/>
          </w:tcPr>
          <w:p w14:paraId="067C3BBF" w14:textId="000D465F" w:rsidR="00AD167F" w:rsidRPr="00316BA1" w:rsidRDefault="00AD167F" w:rsidP="00FC44C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hanging="720"/>
            </w:pPr>
            <w:r w:rsidRPr="00316BA1">
              <w:fldChar w:fldCharType="begin">
                <w:ffData>
                  <w:name w:val="Check1"/>
                  <w:enabled/>
                  <w:calcOnExit w:val="0"/>
                  <w:checkBox>
                    <w:sizeAuto/>
                    <w:default w:val="0"/>
                  </w:checkBox>
                </w:ffData>
              </w:fldChar>
            </w:r>
            <w:r w:rsidRPr="00316BA1">
              <w:instrText xml:space="preserve"> FORMCHECKBOX </w:instrText>
            </w:r>
            <w:r w:rsidR="00A7709B">
              <w:fldChar w:fldCharType="separate"/>
            </w:r>
            <w:r w:rsidRPr="00316BA1">
              <w:fldChar w:fldCharType="end"/>
            </w:r>
            <w:r w:rsidRPr="00316BA1">
              <w:tab/>
            </w:r>
            <w:proofErr w:type="gramStart"/>
            <w:r w:rsidRPr="00316BA1">
              <w:rPr>
                <w:b/>
                <w:bCs/>
              </w:rPr>
              <w:t>autorise</w:t>
            </w:r>
            <w:proofErr w:type="gramEnd"/>
            <w:r w:rsidRPr="00316BA1">
              <w:t xml:space="preserve"> la Commission d'études 17 à procéder à l'examen de ce document en vue de son approbation (dans ce cas, sélectionnez l'une des deux options ⃝):</w:t>
            </w:r>
          </w:p>
          <w:p w14:paraId="670CC3E2" w14:textId="18516DA6" w:rsidR="00AD167F" w:rsidRPr="00316BA1" w:rsidRDefault="00AD167F" w:rsidP="00FC44C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316BA1">
              <w:tab/>
              <w:t>⃝</w:t>
            </w:r>
            <w:r w:rsidRPr="00316BA1">
              <w:tab/>
              <w:t>Pas de commentaire ou de proposition de modification</w:t>
            </w:r>
          </w:p>
          <w:p w14:paraId="6FC3A976" w14:textId="5662D94C" w:rsidR="00AD167F" w:rsidRPr="00316BA1" w:rsidRDefault="00AD167F" w:rsidP="00FC44C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hanging="720"/>
            </w:pPr>
            <w:r w:rsidRPr="00316BA1">
              <w:tab/>
              <w:t>⃝</w:t>
            </w:r>
            <w:r w:rsidRPr="00316BA1">
              <w:tab/>
              <w:t xml:space="preserve">Des commentaires ou propositions de modification sont joints à </w:t>
            </w:r>
            <w:r w:rsidR="009E277B" w:rsidRPr="00316BA1">
              <w:tab/>
            </w:r>
            <w:r w:rsidRPr="00316BA1">
              <w:t>la présente</w:t>
            </w:r>
          </w:p>
        </w:tc>
      </w:tr>
      <w:tr w:rsidR="00AD167F" w:rsidRPr="00316BA1" w14:paraId="2688C914" w14:textId="77777777" w:rsidTr="00AD167F">
        <w:trPr>
          <w:trHeight w:val="747"/>
        </w:trPr>
        <w:tc>
          <w:tcPr>
            <w:tcW w:w="2137" w:type="dxa"/>
            <w:vMerge/>
            <w:shd w:val="clear" w:color="auto" w:fill="auto"/>
            <w:vAlign w:val="center"/>
          </w:tcPr>
          <w:p w14:paraId="4F152264" w14:textId="77777777" w:rsidR="00AD167F" w:rsidRPr="00316BA1" w:rsidRDefault="00AD167F" w:rsidP="00FC44C7">
            <w:pPr>
              <w:pStyle w:val="TableHead"/>
            </w:pPr>
          </w:p>
        </w:tc>
        <w:tc>
          <w:tcPr>
            <w:tcW w:w="7503" w:type="dxa"/>
            <w:shd w:val="clear" w:color="auto" w:fill="auto"/>
            <w:vAlign w:val="center"/>
          </w:tcPr>
          <w:p w14:paraId="78D53615" w14:textId="440F94CE" w:rsidR="00AD167F" w:rsidRPr="00316BA1" w:rsidRDefault="00AD167F" w:rsidP="00FC44C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hanging="720"/>
            </w:pPr>
            <w:r w:rsidRPr="00316BA1">
              <w:fldChar w:fldCharType="begin">
                <w:ffData>
                  <w:name w:val="Check1"/>
                  <w:enabled/>
                  <w:calcOnExit w:val="0"/>
                  <w:checkBox>
                    <w:sizeAuto/>
                    <w:default w:val="0"/>
                  </w:checkBox>
                </w:ffData>
              </w:fldChar>
            </w:r>
            <w:r w:rsidRPr="00316BA1">
              <w:instrText xml:space="preserve"> FORMCHECKBOX </w:instrText>
            </w:r>
            <w:r w:rsidR="00A7709B">
              <w:fldChar w:fldCharType="separate"/>
            </w:r>
            <w:r w:rsidRPr="00316BA1">
              <w:fldChar w:fldCharType="end"/>
            </w:r>
            <w:r w:rsidRPr="00316BA1">
              <w:tab/>
            </w:r>
            <w:proofErr w:type="gramStart"/>
            <w:r w:rsidRPr="00316BA1">
              <w:rPr>
                <w:b/>
                <w:bCs/>
              </w:rPr>
              <w:t>n'autorise</w:t>
            </w:r>
            <w:proofErr w:type="gramEnd"/>
            <w:r w:rsidRPr="00316BA1">
              <w:rPr>
                <w:b/>
                <w:bCs/>
              </w:rPr>
              <w:t xml:space="preserve"> pas</w:t>
            </w:r>
            <w:r w:rsidRPr="00316BA1">
              <w:t xml:space="preserve"> la Commission d'études 17 à procéder à l'examen de ce document en vue de son approbation (les motifs de cette décision et une description des éventuelles modifications qui permettraient la poursuite des travaux sont joints à la présente)</w:t>
            </w:r>
          </w:p>
        </w:tc>
      </w:tr>
      <w:tr w:rsidR="00AD167F" w:rsidRPr="00316BA1" w14:paraId="7C29AFE2" w14:textId="77777777" w:rsidTr="00AD167F">
        <w:trPr>
          <w:trHeight w:val="747"/>
        </w:trPr>
        <w:tc>
          <w:tcPr>
            <w:tcW w:w="2137" w:type="dxa"/>
            <w:vMerge w:val="restart"/>
            <w:shd w:val="clear" w:color="auto" w:fill="auto"/>
            <w:vAlign w:val="center"/>
          </w:tcPr>
          <w:p w14:paraId="6896CB12" w14:textId="28ADD5E8" w:rsidR="00AD167F" w:rsidRPr="00316BA1" w:rsidRDefault="00AD167F" w:rsidP="00FC44C7">
            <w:pPr>
              <w:pStyle w:val="TableHead"/>
            </w:pPr>
            <w:r w:rsidRPr="00316BA1">
              <w:t xml:space="preserve">Projet de </w:t>
            </w:r>
            <w:r w:rsidR="00FC6548" w:rsidRPr="00316BA1">
              <w:t xml:space="preserve">nouvelle </w:t>
            </w:r>
            <w:r w:rsidRPr="00316BA1">
              <w:t>Recommandation UIT-T X.13</w:t>
            </w:r>
            <w:bookmarkStart w:id="3" w:name="lt_pId154"/>
            <w:r w:rsidR="008C3E50" w:rsidRPr="00316BA1">
              <w:t>66</w:t>
            </w:r>
            <w:r w:rsidR="00057CBA" w:rsidRPr="00316BA1">
              <w:t xml:space="preserve"> </w:t>
            </w:r>
            <w:r w:rsidR="008C3E50" w:rsidRPr="00316BA1">
              <w:t>(</w:t>
            </w:r>
            <w:proofErr w:type="gramStart"/>
            <w:r w:rsidR="008C3E50" w:rsidRPr="00316BA1">
              <w:t>X.amas</w:t>
            </w:r>
            <w:proofErr w:type="gramEnd"/>
            <w:r w:rsidR="008C3E50" w:rsidRPr="00316BA1">
              <w:t>-iot)</w:t>
            </w:r>
            <w:bookmarkEnd w:id="3"/>
          </w:p>
        </w:tc>
        <w:tc>
          <w:tcPr>
            <w:tcW w:w="7503" w:type="dxa"/>
            <w:shd w:val="clear" w:color="auto" w:fill="auto"/>
            <w:vAlign w:val="center"/>
          </w:tcPr>
          <w:p w14:paraId="7BF96453" w14:textId="3442E149" w:rsidR="00AD167F" w:rsidRPr="00316BA1" w:rsidRDefault="00AD167F" w:rsidP="00FC44C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hanging="720"/>
            </w:pPr>
            <w:r w:rsidRPr="00316BA1">
              <w:fldChar w:fldCharType="begin">
                <w:ffData>
                  <w:name w:val="Check1"/>
                  <w:enabled/>
                  <w:calcOnExit w:val="0"/>
                  <w:checkBox>
                    <w:sizeAuto/>
                    <w:default w:val="0"/>
                  </w:checkBox>
                </w:ffData>
              </w:fldChar>
            </w:r>
            <w:r w:rsidRPr="00316BA1">
              <w:instrText xml:space="preserve"> FORMCHECKBOX </w:instrText>
            </w:r>
            <w:r w:rsidR="00A7709B">
              <w:fldChar w:fldCharType="separate"/>
            </w:r>
            <w:r w:rsidRPr="00316BA1">
              <w:fldChar w:fldCharType="end"/>
            </w:r>
            <w:r w:rsidRPr="00316BA1">
              <w:tab/>
            </w:r>
            <w:proofErr w:type="gramStart"/>
            <w:r w:rsidRPr="00316BA1">
              <w:rPr>
                <w:b/>
                <w:bCs/>
              </w:rPr>
              <w:t>autorise</w:t>
            </w:r>
            <w:proofErr w:type="gramEnd"/>
            <w:r w:rsidRPr="00316BA1">
              <w:t xml:space="preserve"> la Commission d'études 17 à procéder à l'examen de ce document en vue de son approbation (dans ce cas, sélectionnez l'une des deux options ⃝):</w:t>
            </w:r>
          </w:p>
          <w:p w14:paraId="298ACED9" w14:textId="04C9803F" w:rsidR="00AD167F" w:rsidRPr="00316BA1" w:rsidRDefault="00AD167F" w:rsidP="00FC44C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316BA1">
              <w:tab/>
              <w:t>⃝</w:t>
            </w:r>
            <w:r w:rsidRPr="00316BA1">
              <w:tab/>
              <w:t>Pas de commentaire ou de proposition de modification</w:t>
            </w:r>
          </w:p>
          <w:p w14:paraId="4D2E16B3" w14:textId="29372A6D" w:rsidR="00AD167F" w:rsidRPr="00316BA1" w:rsidRDefault="00AD167F" w:rsidP="00FC44C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36"/>
              </w:tabs>
              <w:ind w:left="720" w:hanging="720"/>
            </w:pPr>
            <w:r w:rsidRPr="00316BA1">
              <w:tab/>
              <w:t>⃝</w:t>
            </w:r>
            <w:r w:rsidRPr="00316BA1">
              <w:tab/>
              <w:t xml:space="preserve">Des commentaires ou propositions de modification sont joints à </w:t>
            </w:r>
            <w:r w:rsidR="009E277B" w:rsidRPr="00316BA1">
              <w:tab/>
            </w:r>
            <w:r w:rsidRPr="00316BA1">
              <w:t>la présente</w:t>
            </w:r>
          </w:p>
        </w:tc>
      </w:tr>
      <w:tr w:rsidR="00AD167F" w:rsidRPr="00316BA1" w14:paraId="6A70DF64" w14:textId="77777777" w:rsidTr="00AD167F">
        <w:trPr>
          <w:trHeight w:val="747"/>
        </w:trPr>
        <w:tc>
          <w:tcPr>
            <w:tcW w:w="2137" w:type="dxa"/>
            <w:vMerge/>
            <w:shd w:val="clear" w:color="auto" w:fill="auto"/>
            <w:vAlign w:val="center"/>
          </w:tcPr>
          <w:p w14:paraId="664D6FA7" w14:textId="77777777" w:rsidR="00AD167F" w:rsidRPr="00316BA1" w:rsidRDefault="00AD167F" w:rsidP="00FC44C7"/>
        </w:tc>
        <w:tc>
          <w:tcPr>
            <w:tcW w:w="7503" w:type="dxa"/>
            <w:shd w:val="clear" w:color="auto" w:fill="auto"/>
            <w:vAlign w:val="center"/>
          </w:tcPr>
          <w:p w14:paraId="43C151EE" w14:textId="3E81747F" w:rsidR="00AD167F" w:rsidRPr="00316BA1" w:rsidRDefault="00AD167F" w:rsidP="00FC44C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hanging="720"/>
            </w:pPr>
            <w:r w:rsidRPr="00316BA1">
              <w:fldChar w:fldCharType="begin">
                <w:ffData>
                  <w:name w:val="Check1"/>
                  <w:enabled/>
                  <w:calcOnExit w:val="0"/>
                  <w:checkBox>
                    <w:sizeAuto/>
                    <w:default w:val="0"/>
                  </w:checkBox>
                </w:ffData>
              </w:fldChar>
            </w:r>
            <w:r w:rsidRPr="00316BA1">
              <w:instrText xml:space="preserve"> FORMCHECKBOX </w:instrText>
            </w:r>
            <w:r w:rsidR="00A7709B">
              <w:fldChar w:fldCharType="separate"/>
            </w:r>
            <w:r w:rsidRPr="00316BA1">
              <w:fldChar w:fldCharType="end"/>
            </w:r>
            <w:r w:rsidRPr="00316BA1">
              <w:tab/>
            </w:r>
            <w:proofErr w:type="gramStart"/>
            <w:r w:rsidRPr="00316BA1">
              <w:rPr>
                <w:b/>
                <w:bCs/>
              </w:rPr>
              <w:t>n'autorise</w:t>
            </w:r>
            <w:proofErr w:type="gramEnd"/>
            <w:r w:rsidRPr="00316BA1">
              <w:rPr>
                <w:b/>
                <w:bCs/>
              </w:rPr>
              <w:t xml:space="preserve"> pas</w:t>
            </w:r>
            <w:r w:rsidRPr="00316BA1">
              <w:t xml:space="preserve"> la Commission d'études 17 à procéder à l'examen de ce document en vue de son approbation (les motifs de cette décision et une description des éventuelles modifications qui permettraient la poursuite des travaux sont joints à la présente)</w:t>
            </w:r>
          </w:p>
        </w:tc>
      </w:tr>
      <w:tr w:rsidR="008C3E50" w:rsidRPr="00316BA1" w14:paraId="0ACC8A06" w14:textId="77777777" w:rsidTr="008C3E50">
        <w:trPr>
          <w:trHeight w:val="675"/>
        </w:trPr>
        <w:tc>
          <w:tcPr>
            <w:tcW w:w="2137" w:type="dxa"/>
            <w:vMerge w:val="restart"/>
            <w:shd w:val="clear" w:color="auto" w:fill="auto"/>
            <w:vAlign w:val="center"/>
          </w:tcPr>
          <w:p w14:paraId="163929B1" w14:textId="6E4960DB" w:rsidR="008C3E50" w:rsidRPr="00316BA1" w:rsidRDefault="00FC6548" w:rsidP="00FC44C7">
            <w:pPr>
              <w:pStyle w:val="TableHead"/>
            </w:pPr>
            <w:r w:rsidRPr="00316BA1">
              <w:lastRenderedPageBreak/>
              <w:t>Projet de nouvelle Recommandation</w:t>
            </w:r>
            <w:r w:rsidR="008C3E50" w:rsidRPr="00316BA1">
              <w:t xml:space="preserve"> UIT-T X.1367 (X.elf</w:t>
            </w:r>
            <w:r w:rsidR="00057CBA" w:rsidRPr="00316BA1">
              <w:noBreakHyphen/>
            </w:r>
            <w:r w:rsidR="008C3E50" w:rsidRPr="00316BA1">
              <w:t>iot)</w:t>
            </w:r>
          </w:p>
        </w:tc>
        <w:tc>
          <w:tcPr>
            <w:tcW w:w="7503" w:type="dxa"/>
            <w:shd w:val="clear" w:color="auto" w:fill="auto"/>
            <w:vAlign w:val="center"/>
          </w:tcPr>
          <w:p w14:paraId="760211D7" w14:textId="77777777" w:rsidR="008C3E50" w:rsidRPr="00316BA1" w:rsidRDefault="008C3E50" w:rsidP="00FC44C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hanging="720"/>
            </w:pPr>
            <w:r w:rsidRPr="00316BA1">
              <w:fldChar w:fldCharType="begin">
                <w:ffData>
                  <w:name w:val="Check1"/>
                  <w:enabled/>
                  <w:calcOnExit w:val="0"/>
                  <w:checkBox>
                    <w:sizeAuto/>
                    <w:default w:val="0"/>
                  </w:checkBox>
                </w:ffData>
              </w:fldChar>
            </w:r>
            <w:r w:rsidRPr="00316BA1">
              <w:instrText xml:space="preserve"> FORMCHECKBOX </w:instrText>
            </w:r>
            <w:r w:rsidR="00A7709B">
              <w:fldChar w:fldCharType="separate"/>
            </w:r>
            <w:r w:rsidRPr="00316BA1">
              <w:fldChar w:fldCharType="end"/>
            </w:r>
            <w:r w:rsidRPr="00316BA1">
              <w:tab/>
            </w:r>
            <w:proofErr w:type="gramStart"/>
            <w:r w:rsidRPr="00316BA1">
              <w:rPr>
                <w:b/>
                <w:bCs/>
              </w:rPr>
              <w:t>autorise</w:t>
            </w:r>
            <w:proofErr w:type="gramEnd"/>
            <w:r w:rsidRPr="00316BA1">
              <w:t xml:space="preserve"> la Commission d'études 17 à procéder à l'examen de ce document en vue de son approbation (dans ce cas, sélectionnez l'une des deux options ⃝):</w:t>
            </w:r>
          </w:p>
          <w:p w14:paraId="48736C80" w14:textId="77777777" w:rsidR="008C3E50" w:rsidRPr="00316BA1" w:rsidRDefault="008C3E50" w:rsidP="00FC44C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316BA1">
              <w:tab/>
              <w:t>⃝</w:t>
            </w:r>
            <w:r w:rsidRPr="00316BA1">
              <w:tab/>
              <w:t>Pas de commentaire ou de proposition de modification</w:t>
            </w:r>
          </w:p>
          <w:p w14:paraId="2A013149" w14:textId="7F41EBB4" w:rsidR="008C3E50" w:rsidRPr="00316BA1" w:rsidRDefault="008C3E50" w:rsidP="00FC44C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36"/>
              </w:tabs>
              <w:ind w:left="720" w:hanging="702"/>
            </w:pPr>
            <w:r w:rsidRPr="00316BA1">
              <w:tab/>
              <w:t>⃝</w:t>
            </w:r>
            <w:r w:rsidRPr="00316BA1">
              <w:tab/>
              <w:t xml:space="preserve">Des commentaires ou propositions de modification sont joints à </w:t>
            </w:r>
            <w:r w:rsidR="009E277B" w:rsidRPr="00316BA1">
              <w:tab/>
            </w:r>
            <w:r w:rsidRPr="00316BA1">
              <w:t>la présente</w:t>
            </w:r>
          </w:p>
        </w:tc>
      </w:tr>
      <w:tr w:rsidR="008C3E50" w:rsidRPr="00316BA1" w14:paraId="158BD483" w14:textId="77777777" w:rsidTr="00AD167F">
        <w:trPr>
          <w:trHeight w:val="675"/>
        </w:trPr>
        <w:tc>
          <w:tcPr>
            <w:tcW w:w="2137" w:type="dxa"/>
            <w:vMerge/>
            <w:shd w:val="clear" w:color="auto" w:fill="auto"/>
            <w:vAlign w:val="center"/>
          </w:tcPr>
          <w:p w14:paraId="1B2AFEBA" w14:textId="77777777" w:rsidR="008C3E50" w:rsidRPr="00316BA1" w:rsidRDefault="008C3E50" w:rsidP="00FC44C7">
            <w:pPr>
              <w:pStyle w:val="TableHead"/>
            </w:pPr>
          </w:p>
        </w:tc>
        <w:tc>
          <w:tcPr>
            <w:tcW w:w="7503" w:type="dxa"/>
            <w:shd w:val="clear" w:color="auto" w:fill="auto"/>
            <w:vAlign w:val="center"/>
          </w:tcPr>
          <w:p w14:paraId="5B7AEABA" w14:textId="65960046" w:rsidR="008C3E50" w:rsidRPr="00316BA1" w:rsidRDefault="008C3E50" w:rsidP="00FC44C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hanging="720"/>
            </w:pPr>
            <w:r w:rsidRPr="00316BA1">
              <w:fldChar w:fldCharType="begin">
                <w:ffData>
                  <w:name w:val="Check1"/>
                  <w:enabled/>
                  <w:calcOnExit w:val="0"/>
                  <w:checkBox>
                    <w:sizeAuto/>
                    <w:default w:val="0"/>
                  </w:checkBox>
                </w:ffData>
              </w:fldChar>
            </w:r>
            <w:r w:rsidRPr="00316BA1">
              <w:instrText xml:space="preserve"> FORMCHECKBOX </w:instrText>
            </w:r>
            <w:r w:rsidR="00A7709B">
              <w:fldChar w:fldCharType="separate"/>
            </w:r>
            <w:r w:rsidRPr="00316BA1">
              <w:fldChar w:fldCharType="end"/>
            </w:r>
            <w:r w:rsidRPr="00316BA1">
              <w:tab/>
            </w:r>
            <w:proofErr w:type="gramStart"/>
            <w:r w:rsidRPr="00316BA1">
              <w:rPr>
                <w:b/>
                <w:bCs/>
              </w:rPr>
              <w:t>n'autorise</w:t>
            </w:r>
            <w:proofErr w:type="gramEnd"/>
            <w:r w:rsidRPr="00316BA1">
              <w:rPr>
                <w:b/>
                <w:bCs/>
              </w:rPr>
              <w:t xml:space="preserve"> pas</w:t>
            </w:r>
            <w:r w:rsidRPr="00316BA1">
              <w:t xml:space="preserve"> la Commission d'études 17 à procéder à l'examen de ce document en vue de son approbation (les motifs de cette décision et une description des éventuelles modifications qui permettraient la poursuite des travaux sont joints à la présente)</w:t>
            </w:r>
          </w:p>
        </w:tc>
      </w:tr>
      <w:tr w:rsidR="008C3E50" w:rsidRPr="00316BA1" w14:paraId="571D73E5" w14:textId="77777777" w:rsidTr="008C3E50">
        <w:trPr>
          <w:trHeight w:val="675"/>
        </w:trPr>
        <w:tc>
          <w:tcPr>
            <w:tcW w:w="2137" w:type="dxa"/>
            <w:vMerge w:val="restart"/>
            <w:shd w:val="clear" w:color="auto" w:fill="auto"/>
            <w:vAlign w:val="center"/>
          </w:tcPr>
          <w:p w14:paraId="5851F6F9" w14:textId="0F204D2A" w:rsidR="008C3E50" w:rsidRPr="00316BA1" w:rsidRDefault="00FC6548" w:rsidP="00FC44C7">
            <w:pPr>
              <w:pStyle w:val="TableHead"/>
            </w:pPr>
            <w:r w:rsidRPr="00316BA1">
              <w:t>Projet de nouvelle Recommandation</w:t>
            </w:r>
            <w:r w:rsidR="008C3E50" w:rsidRPr="00316BA1">
              <w:t xml:space="preserve"> UIT-T X.1403 (X.dlt</w:t>
            </w:r>
            <w:r w:rsidR="00057CBA" w:rsidRPr="00316BA1">
              <w:noBreakHyphen/>
            </w:r>
            <w:r w:rsidR="008C3E50" w:rsidRPr="00316BA1">
              <w:t>sec)</w:t>
            </w:r>
          </w:p>
        </w:tc>
        <w:tc>
          <w:tcPr>
            <w:tcW w:w="7503" w:type="dxa"/>
            <w:shd w:val="clear" w:color="auto" w:fill="auto"/>
            <w:vAlign w:val="center"/>
          </w:tcPr>
          <w:p w14:paraId="57235687" w14:textId="77777777" w:rsidR="008C3E50" w:rsidRPr="00316BA1" w:rsidRDefault="008C3E50" w:rsidP="00FC44C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hanging="720"/>
            </w:pPr>
            <w:r w:rsidRPr="00316BA1">
              <w:fldChar w:fldCharType="begin">
                <w:ffData>
                  <w:name w:val="Check1"/>
                  <w:enabled/>
                  <w:calcOnExit w:val="0"/>
                  <w:checkBox>
                    <w:sizeAuto/>
                    <w:default w:val="0"/>
                  </w:checkBox>
                </w:ffData>
              </w:fldChar>
            </w:r>
            <w:r w:rsidRPr="00316BA1">
              <w:instrText xml:space="preserve"> FORMCHECKBOX </w:instrText>
            </w:r>
            <w:r w:rsidR="00A7709B">
              <w:fldChar w:fldCharType="separate"/>
            </w:r>
            <w:r w:rsidRPr="00316BA1">
              <w:fldChar w:fldCharType="end"/>
            </w:r>
            <w:r w:rsidRPr="00316BA1">
              <w:tab/>
            </w:r>
            <w:proofErr w:type="gramStart"/>
            <w:r w:rsidRPr="00316BA1">
              <w:rPr>
                <w:b/>
                <w:bCs/>
              </w:rPr>
              <w:t>autorise</w:t>
            </w:r>
            <w:proofErr w:type="gramEnd"/>
            <w:r w:rsidRPr="00316BA1">
              <w:t xml:space="preserve"> la Commission d'études 17 à procéder à l'examen de ce document en vue de son approbation (dans ce cas, sélectionnez l'une des deux options ⃝):</w:t>
            </w:r>
          </w:p>
          <w:p w14:paraId="01BB6684" w14:textId="77777777" w:rsidR="008C3E50" w:rsidRPr="00316BA1" w:rsidRDefault="008C3E50" w:rsidP="00FC44C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316BA1">
              <w:tab/>
              <w:t>⃝</w:t>
            </w:r>
            <w:r w:rsidRPr="00316BA1">
              <w:tab/>
              <w:t>Pas de commentaire ou de proposition de modification</w:t>
            </w:r>
          </w:p>
          <w:p w14:paraId="5B7CA046" w14:textId="2A3F8D86" w:rsidR="008C3E50" w:rsidRPr="00316BA1" w:rsidRDefault="008C3E50" w:rsidP="00FC44C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hanging="720"/>
            </w:pPr>
            <w:r w:rsidRPr="00316BA1">
              <w:tab/>
              <w:t>⃝</w:t>
            </w:r>
            <w:r w:rsidRPr="00316BA1">
              <w:tab/>
              <w:t xml:space="preserve">Des commentaires ou propositions de modification sont joints à </w:t>
            </w:r>
            <w:r w:rsidR="009E277B" w:rsidRPr="00316BA1">
              <w:tab/>
            </w:r>
            <w:r w:rsidRPr="00316BA1">
              <w:t>la présente</w:t>
            </w:r>
          </w:p>
        </w:tc>
      </w:tr>
      <w:tr w:rsidR="008C3E50" w:rsidRPr="00316BA1" w14:paraId="1482C25C" w14:textId="77777777" w:rsidTr="00AD167F">
        <w:trPr>
          <w:trHeight w:val="675"/>
        </w:trPr>
        <w:tc>
          <w:tcPr>
            <w:tcW w:w="2137" w:type="dxa"/>
            <w:vMerge/>
            <w:shd w:val="clear" w:color="auto" w:fill="auto"/>
            <w:vAlign w:val="center"/>
          </w:tcPr>
          <w:p w14:paraId="7C3F3D41" w14:textId="77777777" w:rsidR="008C3E50" w:rsidRPr="00316BA1" w:rsidRDefault="008C3E50" w:rsidP="00FC44C7">
            <w:pPr>
              <w:pStyle w:val="TableHead"/>
            </w:pPr>
          </w:p>
        </w:tc>
        <w:tc>
          <w:tcPr>
            <w:tcW w:w="7503" w:type="dxa"/>
            <w:shd w:val="clear" w:color="auto" w:fill="auto"/>
            <w:vAlign w:val="center"/>
          </w:tcPr>
          <w:p w14:paraId="211DEFBC" w14:textId="1AC7D9AE" w:rsidR="008C3E50" w:rsidRPr="00316BA1" w:rsidRDefault="008C3E50" w:rsidP="00FC44C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hanging="720"/>
            </w:pPr>
            <w:r w:rsidRPr="00316BA1">
              <w:fldChar w:fldCharType="begin">
                <w:ffData>
                  <w:name w:val="Check1"/>
                  <w:enabled/>
                  <w:calcOnExit w:val="0"/>
                  <w:checkBox>
                    <w:sizeAuto/>
                    <w:default w:val="0"/>
                  </w:checkBox>
                </w:ffData>
              </w:fldChar>
            </w:r>
            <w:r w:rsidRPr="00316BA1">
              <w:instrText xml:space="preserve"> FORMCHECKBOX </w:instrText>
            </w:r>
            <w:r w:rsidR="00A7709B">
              <w:fldChar w:fldCharType="separate"/>
            </w:r>
            <w:r w:rsidRPr="00316BA1">
              <w:fldChar w:fldCharType="end"/>
            </w:r>
            <w:r w:rsidRPr="00316BA1">
              <w:tab/>
            </w:r>
            <w:proofErr w:type="gramStart"/>
            <w:r w:rsidRPr="00316BA1">
              <w:rPr>
                <w:b/>
                <w:bCs/>
              </w:rPr>
              <w:t>n'autorise</w:t>
            </w:r>
            <w:proofErr w:type="gramEnd"/>
            <w:r w:rsidRPr="00316BA1">
              <w:rPr>
                <w:b/>
                <w:bCs/>
              </w:rPr>
              <w:t xml:space="preserve"> pas</w:t>
            </w:r>
            <w:r w:rsidRPr="00316BA1">
              <w:t xml:space="preserve"> la Commission d'études 17 à procéder à l'examen de ce document en vue de son approbation (les motifs de cette décision et une description des éventuelles modifications qui permettraient la poursuite des travaux sont joints à la présente)</w:t>
            </w:r>
          </w:p>
        </w:tc>
      </w:tr>
      <w:tr w:rsidR="008C3E50" w:rsidRPr="00316BA1" w14:paraId="473B19C0" w14:textId="77777777" w:rsidTr="008C3E50">
        <w:trPr>
          <w:trHeight w:val="675"/>
        </w:trPr>
        <w:tc>
          <w:tcPr>
            <w:tcW w:w="2137" w:type="dxa"/>
            <w:vMerge w:val="restart"/>
            <w:shd w:val="clear" w:color="auto" w:fill="auto"/>
            <w:vAlign w:val="center"/>
          </w:tcPr>
          <w:p w14:paraId="2ACFD8BC" w14:textId="6A73CCC8" w:rsidR="008C3E50" w:rsidRPr="00316BA1" w:rsidRDefault="00FC6548" w:rsidP="00FC44C7">
            <w:pPr>
              <w:pStyle w:val="TableHead"/>
            </w:pPr>
            <w:r w:rsidRPr="00316BA1">
              <w:t>Projet de nouvelle Recommandation</w:t>
            </w:r>
            <w:r w:rsidR="008C3E50" w:rsidRPr="00316BA1">
              <w:t xml:space="preserve"> UIT-T X.1606 (</w:t>
            </w:r>
            <w:proofErr w:type="gramStart"/>
            <w:r w:rsidR="008C3E50" w:rsidRPr="00316BA1">
              <w:t>X.SRCaaS</w:t>
            </w:r>
            <w:proofErr w:type="gramEnd"/>
            <w:r w:rsidR="008C3E50" w:rsidRPr="00316BA1">
              <w:t>)</w:t>
            </w:r>
          </w:p>
        </w:tc>
        <w:tc>
          <w:tcPr>
            <w:tcW w:w="7503" w:type="dxa"/>
            <w:shd w:val="clear" w:color="auto" w:fill="auto"/>
            <w:vAlign w:val="center"/>
          </w:tcPr>
          <w:p w14:paraId="57CB300F" w14:textId="77777777" w:rsidR="008C3E50" w:rsidRPr="00316BA1" w:rsidRDefault="008C3E50" w:rsidP="00FC44C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hanging="720"/>
            </w:pPr>
            <w:r w:rsidRPr="00316BA1">
              <w:fldChar w:fldCharType="begin">
                <w:ffData>
                  <w:name w:val="Check1"/>
                  <w:enabled/>
                  <w:calcOnExit w:val="0"/>
                  <w:checkBox>
                    <w:sizeAuto/>
                    <w:default w:val="0"/>
                  </w:checkBox>
                </w:ffData>
              </w:fldChar>
            </w:r>
            <w:r w:rsidRPr="00316BA1">
              <w:instrText xml:space="preserve"> FORMCHECKBOX </w:instrText>
            </w:r>
            <w:r w:rsidR="00A7709B">
              <w:fldChar w:fldCharType="separate"/>
            </w:r>
            <w:r w:rsidRPr="00316BA1">
              <w:fldChar w:fldCharType="end"/>
            </w:r>
            <w:r w:rsidRPr="00316BA1">
              <w:tab/>
            </w:r>
            <w:proofErr w:type="gramStart"/>
            <w:r w:rsidRPr="00316BA1">
              <w:rPr>
                <w:b/>
                <w:bCs/>
              </w:rPr>
              <w:t>autorise</w:t>
            </w:r>
            <w:proofErr w:type="gramEnd"/>
            <w:r w:rsidRPr="00316BA1">
              <w:t xml:space="preserve"> la Commission d'études 17 à procéder à l'examen de ce document en vue de son approbation (dans ce cas, sélectionnez l'une des deux options ⃝):</w:t>
            </w:r>
          </w:p>
          <w:p w14:paraId="28FF9654" w14:textId="77777777" w:rsidR="008C3E50" w:rsidRPr="00316BA1" w:rsidRDefault="008C3E50" w:rsidP="00FC44C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316BA1">
              <w:tab/>
              <w:t>⃝</w:t>
            </w:r>
            <w:r w:rsidRPr="00316BA1">
              <w:tab/>
              <w:t>Pas de commentaire ou de proposition de modification</w:t>
            </w:r>
          </w:p>
          <w:p w14:paraId="02BA7C31" w14:textId="6325263E" w:rsidR="008C3E50" w:rsidRPr="00316BA1" w:rsidRDefault="008C3E50" w:rsidP="00FC44C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hanging="720"/>
            </w:pPr>
            <w:r w:rsidRPr="00316BA1">
              <w:tab/>
              <w:t>⃝</w:t>
            </w:r>
            <w:r w:rsidRPr="00316BA1">
              <w:tab/>
              <w:t xml:space="preserve">Des commentaires ou propositions de modification sont joints à </w:t>
            </w:r>
            <w:r w:rsidR="009E277B" w:rsidRPr="00316BA1">
              <w:tab/>
            </w:r>
            <w:r w:rsidRPr="00316BA1">
              <w:t>la présente</w:t>
            </w:r>
          </w:p>
        </w:tc>
      </w:tr>
      <w:tr w:rsidR="008C3E50" w:rsidRPr="00316BA1" w14:paraId="5495B7A2" w14:textId="77777777" w:rsidTr="00AD167F">
        <w:trPr>
          <w:trHeight w:val="675"/>
        </w:trPr>
        <w:tc>
          <w:tcPr>
            <w:tcW w:w="2137" w:type="dxa"/>
            <w:vMerge/>
            <w:shd w:val="clear" w:color="auto" w:fill="auto"/>
            <w:vAlign w:val="center"/>
          </w:tcPr>
          <w:p w14:paraId="424A07E2" w14:textId="77777777" w:rsidR="008C3E50" w:rsidRPr="00316BA1" w:rsidRDefault="008C3E50" w:rsidP="00FC44C7">
            <w:pPr>
              <w:pStyle w:val="TableHead"/>
            </w:pPr>
          </w:p>
        </w:tc>
        <w:tc>
          <w:tcPr>
            <w:tcW w:w="7503" w:type="dxa"/>
            <w:shd w:val="clear" w:color="auto" w:fill="auto"/>
            <w:vAlign w:val="center"/>
          </w:tcPr>
          <w:p w14:paraId="2D1D3562" w14:textId="02E4F2F4" w:rsidR="008C3E50" w:rsidRPr="00316BA1" w:rsidRDefault="008C3E50" w:rsidP="00FC44C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hanging="720"/>
            </w:pPr>
            <w:r w:rsidRPr="00316BA1">
              <w:fldChar w:fldCharType="begin">
                <w:ffData>
                  <w:name w:val="Check1"/>
                  <w:enabled/>
                  <w:calcOnExit w:val="0"/>
                  <w:checkBox>
                    <w:sizeAuto/>
                    <w:default w:val="0"/>
                  </w:checkBox>
                </w:ffData>
              </w:fldChar>
            </w:r>
            <w:r w:rsidRPr="00316BA1">
              <w:instrText xml:space="preserve"> FORMCHECKBOX </w:instrText>
            </w:r>
            <w:r w:rsidR="00A7709B">
              <w:fldChar w:fldCharType="separate"/>
            </w:r>
            <w:r w:rsidRPr="00316BA1">
              <w:fldChar w:fldCharType="end"/>
            </w:r>
            <w:r w:rsidRPr="00316BA1">
              <w:tab/>
            </w:r>
            <w:proofErr w:type="gramStart"/>
            <w:r w:rsidRPr="00316BA1">
              <w:rPr>
                <w:b/>
                <w:bCs/>
              </w:rPr>
              <w:t>n'autorise</w:t>
            </w:r>
            <w:proofErr w:type="gramEnd"/>
            <w:r w:rsidRPr="00316BA1">
              <w:rPr>
                <w:b/>
                <w:bCs/>
              </w:rPr>
              <w:t xml:space="preserve"> pas</w:t>
            </w:r>
            <w:r w:rsidRPr="00316BA1">
              <w:t xml:space="preserve"> la Commission d'études 17 à procéder à l'examen de ce document en vue de son approbation (les motifs de cette décision et une description des éventuelles modifications qui permettraient la poursuite des travaux sont joints à la présente)</w:t>
            </w:r>
          </w:p>
        </w:tc>
      </w:tr>
      <w:tr w:rsidR="008C3E50" w:rsidRPr="00316BA1" w14:paraId="43BB10AF" w14:textId="77777777" w:rsidTr="008C3E50">
        <w:trPr>
          <w:trHeight w:val="675"/>
        </w:trPr>
        <w:tc>
          <w:tcPr>
            <w:tcW w:w="2137" w:type="dxa"/>
            <w:vMerge w:val="restart"/>
            <w:shd w:val="clear" w:color="auto" w:fill="auto"/>
            <w:vAlign w:val="center"/>
          </w:tcPr>
          <w:p w14:paraId="348AE25A" w14:textId="52D1B5DE" w:rsidR="008C3E50" w:rsidRPr="00316BA1" w:rsidRDefault="00FC6548" w:rsidP="00FC44C7">
            <w:pPr>
              <w:pStyle w:val="TableHead"/>
            </w:pPr>
            <w:r w:rsidRPr="00316BA1">
              <w:t>Projet de nouvelle Recommandation</w:t>
            </w:r>
            <w:r w:rsidR="008C3E50" w:rsidRPr="00316BA1">
              <w:t xml:space="preserve"> UIT-T X.1750 (</w:t>
            </w:r>
            <w:proofErr w:type="gramStart"/>
            <w:r w:rsidR="008C3E50" w:rsidRPr="00316BA1">
              <w:t>X.GSBDaaS</w:t>
            </w:r>
            <w:proofErr w:type="gramEnd"/>
            <w:r w:rsidR="008C3E50" w:rsidRPr="00316BA1">
              <w:t>)</w:t>
            </w:r>
          </w:p>
        </w:tc>
        <w:tc>
          <w:tcPr>
            <w:tcW w:w="7503" w:type="dxa"/>
            <w:shd w:val="clear" w:color="auto" w:fill="auto"/>
            <w:vAlign w:val="center"/>
          </w:tcPr>
          <w:p w14:paraId="5AFDA2E6" w14:textId="77777777" w:rsidR="008C3E50" w:rsidRPr="00316BA1" w:rsidRDefault="008C3E50" w:rsidP="00FC44C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hanging="720"/>
            </w:pPr>
            <w:r w:rsidRPr="00316BA1">
              <w:fldChar w:fldCharType="begin">
                <w:ffData>
                  <w:name w:val="Check1"/>
                  <w:enabled/>
                  <w:calcOnExit w:val="0"/>
                  <w:checkBox>
                    <w:sizeAuto/>
                    <w:default w:val="0"/>
                  </w:checkBox>
                </w:ffData>
              </w:fldChar>
            </w:r>
            <w:r w:rsidRPr="00316BA1">
              <w:instrText xml:space="preserve"> FORMCHECKBOX </w:instrText>
            </w:r>
            <w:r w:rsidR="00A7709B">
              <w:fldChar w:fldCharType="separate"/>
            </w:r>
            <w:r w:rsidRPr="00316BA1">
              <w:fldChar w:fldCharType="end"/>
            </w:r>
            <w:r w:rsidRPr="00316BA1">
              <w:tab/>
            </w:r>
            <w:proofErr w:type="gramStart"/>
            <w:r w:rsidRPr="00316BA1">
              <w:rPr>
                <w:b/>
                <w:bCs/>
              </w:rPr>
              <w:t>autorise</w:t>
            </w:r>
            <w:proofErr w:type="gramEnd"/>
            <w:r w:rsidRPr="00316BA1">
              <w:t xml:space="preserve"> la Commission d'études 17 à procéder à l'examen de ce document en vue de son approbation (dans ce cas, sélectionnez l'une des deux options ⃝):</w:t>
            </w:r>
          </w:p>
          <w:p w14:paraId="4F5F2DF1" w14:textId="77777777" w:rsidR="008C3E50" w:rsidRPr="00316BA1" w:rsidRDefault="008C3E50" w:rsidP="00FC44C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316BA1">
              <w:tab/>
              <w:t>⃝</w:t>
            </w:r>
            <w:r w:rsidRPr="00316BA1">
              <w:tab/>
              <w:t>Pas de commentaire ou de proposition de modification</w:t>
            </w:r>
          </w:p>
          <w:p w14:paraId="4F1A6C56" w14:textId="23390D30" w:rsidR="008C3E50" w:rsidRPr="00316BA1" w:rsidRDefault="008C3E50" w:rsidP="00FC44C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hanging="720"/>
            </w:pPr>
            <w:r w:rsidRPr="00316BA1">
              <w:tab/>
              <w:t>⃝</w:t>
            </w:r>
            <w:r w:rsidRPr="00316BA1">
              <w:tab/>
              <w:t xml:space="preserve">Des commentaires ou propositions de modification sont joints à </w:t>
            </w:r>
            <w:r w:rsidR="009E277B" w:rsidRPr="00316BA1">
              <w:tab/>
            </w:r>
            <w:r w:rsidRPr="00316BA1">
              <w:t>la présente</w:t>
            </w:r>
          </w:p>
        </w:tc>
      </w:tr>
      <w:tr w:rsidR="008C3E50" w:rsidRPr="00316BA1" w14:paraId="4295E4CD" w14:textId="77777777" w:rsidTr="00AD167F">
        <w:trPr>
          <w:trHeight w:val="675"/>
        </w:trPr>
        <w:tc>
          <w:tcPr>
            <w:tcW w:w="2137" w:type="dxa"/>
            <w:vMerge/>
            <w:shd w:val="clear" w:color="auto" w:fill="auto"/>
            <w:vAlign w:val="center"/>
          </w:tcPr>
          <w:p w14:paraId="2E66D612" w14:textId="77777777" w:rsidR="008C3E50" w:rsidRPr="00316BA1" w:rsidRDefault="008C3E50" w:rsidP="00FC44C7">
            <w:pPr>
              <w:spacing w:before="60" w:after="60"/>
              <w:jc w:val="center"/>
              <w:rPr>
                <w:b/>
                <w:bCs/>
                <w:szCs w:val="24"/>
              </w:rPr>
            </w:pPr>
          </w:p>
        </w:tc>
        <w:tc>
          <w:tcPr>
            <w:tcW w:w="7503" w:type="dxa"/>
            <w:shd w:val="clear" w:color="auto" w:fill="auto"/>
            <w:vAlign w:val="center"/>
          </w:tcPr>
          <w:p w14:paraId="3A2F45CF" w14:textId="694C4074" w:rsidR="008C3E50" w:rsidRPr="00316BA1" w:rsidRDefault="008C3E50" w:rsidP="00FC44C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hanging="720"/>
            </w:pPr>
            <w:r w:rsidRPr="00316BA1">
              <w:fldChar w:fldCharType="begin">
                <w:ffData>
                  <w:name w:val="Check1"/>
                  <w:enabled/>
                  <w:calcOnExit w:val="0"/>
                  <w:checkBox>
                    <w:sizeAuto/>
                    <w:default w:val="0"/>
                  </w:checkBox>
                </w:ffData>
              </w:fldChar>
            </w:r>
            <w:r w:rsidRPr="00316BA1">
              <w:instrText xml:space="preserve"> FORMCHECKBOX </w:instrText>
            </w:r>
            <w:r w:rsidR="00A7709B">
              <w:fldChar w:fldCharType="separate"/>
            </w:r>
            <w:r w:rsidRPr="00316BA1">
              <w:fldChar w:fldCharType="end"/>
            </w:r>
            <w:r w:rsidRPr="00316BA1">
              <w:tab/>
            </w:r>
            <w:proofErr w:type="gramStart"/>
            <w:r w:rsidRPr="00316BA1">
              <w:rPr>
                <w:b/>
                <w:bCs/>
              </w:rPr>
              <w:t>n'autorise</w:t>
            </w:r>
            <w:proofErr w:type="gramEnd"/>
            <w:r w:rsidRPr="00316BA1">
              <w:rPr>
                <w:b/>
                <w:bCs/>
              </w:rPr>
              <w:t xml:space="preserve"> pas</w:t>
            </w:r>
            <w:r w:rsidRPr="00316BA1">
              <w:t xml:space="preserve"> la Commission d'études 17 à procéder à l'examen de ce document en vue de son approbation (les motifs de cette décision et une description des éventuelles modifications qui permettraient la poursuite des travaux sont joints à la présente)</w:t>
            </w:r>
          </w:p>
        </w:tc>
      </w:tr>
      <w:tr w:rsidR="008C3E50" w:rsidRPr="00316BA1" w14:paraId="623FEDD9" w14:textId="77777777" w:rsidTr="008C3E50">
        <w:trPr>
          <w:trHeight w:val="675"/>
        </w:trPr>
        <w:tc>
          <w:tcPr>
            <w:tcW w:w="2137" w:type="dxa"/>
            <w:vMerge w:val="restart"/>
            <w:shd w:val="clear" w:color="auto" w:fill="auto"/>
            <w:vAlign w:val="center"/>
          </w:tcPr>
          <w:p w14:paraId="177D2CD9" w14:textId="7A6E1B4B" w:rsidR="008C3E50" w:rsidRPr="00316BA1" w:rsidRDefault="00FC6548" w:rsidP="00FC44C7">
            <w:pPr>
              <w:pStyle w:val="TableHead"/>
            </w:pPr>
            <w:r w:rsidRPr="00316BA1">
              <w:lastRenderedPageBreak/>
              <w:t>Projet de nouvelle Recommandation</w:t>
            </w:r>
            <w:r w:rsidR="008C3E50" w:rsidRPr="00316BA1">
              <w:t xml:space="preserve"> UIT-T X.1751 (</w:t>
            </w:r>
            <w:proofErr w:type="gramStart"/>
            <w:r w:rsidR="008C3E50" w:rsidRPr="00316BA1">
              <w:t>X.sgtBD</w:t>
            </w:r>
            <w:proofErr w:type="gramEnd"/>
            <w:r w:rsidR="008C3E50" w:rsidRPr="00316BA1">
              <w:t>)</w:t>
            </w:r>
          </w:p>
        </w:tc>
        <w:tc>
          <w:tcPr>
            <w:tcW w:w="7503" w:type="dxa"/>
            <w:shd w:val="clear" w:color="auto" w:fill="auto"/>
            <w:vAlign w:val="center"/>
          </w:tcPr>
          <w:p w14:paraId="3AAA52C2" w14:textId="77777777" w:rsidR="008C3E50" w:rsidRPr="00316BA1" w:rsidRDefault="008C3E50" w:rsidP="00FC44C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hanging="720"/>
            </w:pPr>
            <w:r w:rsidRPr="00316BA1">
              <w:fldChar w:fldCharType="begin">
                <w:ffData>
                  <w:name w:val="Check1"/>
                  <w:enabled/>
                  <w:calcOnExit w:val="0"/>
                  <w:checkBox>
                    <w:sizeAuto/>
                    <w:default w:val="0"/>
                  </w:checkBox>
                </w:ffData>
              </w:fldChar>
            </w:r>
            <w:r w:rsidRPr="00316BA1">
              <w:instrText xml:space="preserve"> FORMCHECKBOX </w:instrText>
            </w:r>
            <w:r w:rsidR="00A7709B">
              <w:fldChar w:fldCharType="separate"/>
            </w:r>
            <w:r w:rsidRPr="00316BA1">
              <w:fldChar w:fldCharType="end"/>
            </w:r>
            <w:r w:rsidRPr="00316BA1">
              <w:tab/>
            </w:r>
            <w:proofErr w:type="gramStart"/>
            <w:r w:rsidRPr="00316BA1">
              <w:rPr>
                <w:b/>
                <w:bCs/>
              </w:rPr>
              <w:t>autorise</w:t>
            </w:r>
            <w:proofErr w:type="gramEnd"/>
            <w:r w:rsidRPr="00316BA1">
              <w:t xml:space="preserve"> la Commission d'études 17 à procéder à l'examen de ce document en vue de son approbation (dans ce cas, sélectionnez l'une des deux options ⃝):</w:t>
            </w:r>
          </w:p>
          <w:p w14:paraId="3335AC34" w14:textId="77777777" w:rsidR="008C3E50" w:rsidRPr="00316BA1" w:rsidRDefault="008C3E50" w:rsidP="00FC44C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316BA1">
              <w:tab/>
              <w:t>⃝</w:t>
            </w:r>
            <w:r w:rsidRPr="00316BA1">
              <w:tab/>
              <w:t>Pas de commentaire ou de proposition de modification</w:t>
            </w:r>
          </w:p>
          <w:p w14:paraId="382E45FE" w14:textId="461782E1" w:rsidR="008C3E50" w:rsidRPr="00316BA1" w:rsidRDefault="008C3E50" w:rsidP="00FC44C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hanging="720"/>
            </w:pPr>
            <w:r w:rsidRPr="00316BA1">
              <w:tab/>
              <w:t>⃝</w:t>
            </w:r>
            <w:r w:rsidRPr="00316BA1">
              <w:tab/>
              <w:t xml:space="preserve">Des commentaires ou propositions de modification sont joints à </w:t>
            </w:r>
            <w:r w:rsidR="009E277B" w:rsidRPr="00316BA1">
              <w:tab/>
            </w:r>
            <w:r w:rsidRPr="00316BA1">
              <w:t>la présente</w:t>
            </w:r>
          </w:p>
        </w:tc>
      </w:tr>
      <w:tr w:rsidR="008C3E50" w:rsidRPr="00316BA1" w14:paraId="0E4B3DD3" w14:textId="77777777" w:rsidTr="00AD167F">
        <w:trPr>
          <w:trHeight w:val="675"/>
        </w:trPr>
        <w:tc>
          <w:tcPr>
            <w:tcW w:w="2137" w:type="dxa"/>
            <w:vMerge/>
            <w:shd w:val="clear" w:color="auto" w:fill="auto"/>
            <w:vAlign w:val="center"/>
          </w:tcPr>
          <w:p w14:paraId="661285FC" w14:textId="77777777" w:rsidR="008C3E50" w:rsidRPr="00316BA1" w:rsidRDefault="008C3E50" w:rsidP="00FC44C7">
            <w:pPr>
              <w:spacing w:before="60" w:after="60"/>
              <w:jc w:val="center"/>
              <w:rPr>
                <w:b/>
                <w:bCs/>
                <w:szCs w:val="24"/>
              </w:rPr>
            </w:pPr>
          </w:p>
        </w:tc>
        <w:tc>
          <w:tcPr>
            <w:tcW w:w="7503" w:type="dxa"/>
            <w:shd w:val="clear" w:color="auto" w:fill="auto"/>
            <w:vAlign w:val="center"/>
          </w:tcPr>
          <w:p w14:paraId="6FAB00D1" w14:textId="26E7A83C" w:rsidR="008C3E50" w:rsidRPr="00316BA1" w:rsidRDefault="008C3E50" w:rsidP="00FC44C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hanging="720"/>
            </w:pPr>
            <w:r w:rsidRPr="00316BA1">
              <w:fldChar w:fldCharType="begin">
                <w:ffData>
                  <w:name w:val="Check1"/>
                  <w:enabled/>
                  <w:calcOnExit w:val="0"/>
                  <w:checkBox>
                    <w:sizeAuto/>
                    <w:default w:val="0"/>
                  </w:checkBox>
                </w:ffData>
              </w:fldChar>
            </w:r>
            <w:r w:rsidRPr="00316BA1">
              <w:instrText xml:space="preserve"> FORMCHECKBOX </w:instrText>
            </w:r>
            <w:r w:rsidR="00A7709B">
              <w:fldChar w:fldCharType="separate"/>
            </w:r>
            <w:r w:rsidRPr="00316BA1">
              <w:fldChar w:fldCharType="end"/>
            </w:r>
            <w:r w:rsidRPr="00316BA1">
              <w:tab/>
            </w:r>
            <w:proofErr w:type="gramStart"/>
            <w:r w:rsidRPr="00316BA1">
              <w:rPr>
                <w:b/>
                <w:bCs/>
              </w:rPr>
              <w:t>n'autorise</w:t>
            </w:r>
            <w:proofErr w:type="gramEnd"/>
            <w:r w:rsidRPr="00316BA1">
              <w:rPr>
                <w:b/>
                <w:bCs/>
              </w:rPr>
              <w:t xml:space="preserve"> pas</w:t>
            </w:r>
            <w:r w:rsidRPr="00316BA1">
              <w:t xml:space="preserve"> la Commission d'études 17 à procéder à l'examen de ce document en vue de son approbation (les motifs de cette décision et une description des éventuelles modifications qui permettraient la poursuite des travaux sont joints à la présente)</w:t>
            </w:r>
          </w:p>
        </w:tc>
      </w:tr>
    </w:tbl>
    <w:p w14:paraId="0736E78F" w14:textId="77777777" w:rsidR="00652C88" w:rsidRPr="00316BA1" w:rsidRDefault="00652C88" w:rsidP="00FC44C7">
      <w:pPr>
        <w:spacing w:before="240" w:after="120"/>
      </w:pPr>
      <w:r w:rsidRPr="00316BA1">
        <w:t>Veuillez agréer, Madame, Monsieur, l'assurance de ma considération distinguée.</w:t>
      </w:r>
    </w:p>
    <w:p w14:paraId="605DFF76" w14:textId="77777777" w:rsidR="00652C88" w:rsidRPr="00316BA1" w:rsidRDefault="00652C88" w:rsidP="00FC44C7">
      <w:pPr>
        <w:spacing w:before="480"/>
      </w:pPr>
      <w:r w:rsidRPr="00316BA1">
        <w:rPr>
          <w:highlight w:val="green"/>
        </w:rPr>
        <w:t>[Nom]</w:t>
      </w:r>
      <w:r w:rsidRPr="00316BA1">
        <w:rPr>
          <w:highlight w:val="green"/>
        </w:rPr>
        <w:br/>
        <w:t>[Rôle/titre officiel]</w:t>
      </w:r>
      <w:r w:rsidRPr="00316BA1">
        <w:br/>
        <w:t xml:space="preserve">Administration de </w:t>
      </w:r>
      <w:r w:rsidRPr="00316BA1">
        <w:rPr>
          <w:highlight w:val="green"/>
        </w:rPr>
        <w:t>[État Membre]</w:t>
      </w:r>
    </w:p>
    <w:p w14:paraId="31D687B8" w14:textId="77777777" w:rsidR="004A02CA" w:rsidRPr="00316BA1" w:rsidRDefault="004A02CA" w:rsidP="00FC44C7">
      <w:pPr>
        <w:spacing w:before="360"/>
        <w:jc w:val="center"/>
      </w:pPr>
      <w:r w:rsidRPr="00316BA1">
        <w:t>______________</w:t>
      </w:r>
    </w:p>
    <w:sectPr w:rsidR="004A02CA" w:rsidRPr="00316BA1" w:rsidSect="00A15179">
      <w:headerReference w:type="default" r:id="rId27"/>
      <w:footerReference w:type="first" r:id="rId28"/>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A76CA4" w14:textId="77777777" w:rsidR="0081518A" w:rsidRDefault="0081518A">
      <w:r>
        <w:separator/>
      </w:r>
    </w:p>
  </w:endnote>
  <w:endnote w:type="continuationSeparator" w:id="0">
    <w:p w14:paraId="6844CB62" w14:textId="77777777" w:rsidR="0081518A" w:rsidRDefault="00815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Vladimir Script">
    <w:panose1 w:val="030504020404070703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4389" w14:textId="77777777" w:rsidR="005120A2" w:rsidRPr="00F632E9"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sz w:val="18"/>
        <w:szCs w:val="18"/>
        <w:lang w:val="fr-CH"/>
      </w:rPr>
    </w:pPr>
    <w:r w:rsidRPr="00BE61D0">
      <w:rPr>
        <w:color w:val="0070C0"/>
        <w:sz w:val="18"/>
        <w:szCs w:val="18"/>
        <w:lang w:val="fr-CH"/>
      </w:rPr>
      <w:t>Union internationale des télécommunications • Place des Nations</w:t>
    </w:r>
    <w:r w:rsidR="00085F5A" w:rsidRPr="00BE61D0">
      <w:rPr>
        <w:color w:val="0070C0"/>
        <w:sz w:val="18"/>
        <w:szCs w:val="18"/>
        <w:lang w:val="fr-CH"/>
      </w:rPr>
      <w:t xml:space="preserve"> •</w:t>
    </w:r>
    <w:r w:rsidRPr="00BE61D0">
      <w:rPr>
        <w:color w:val="0070C0"/>
        <w:sz w:val="18"/>
        <w:szCs w:val="18"/>
        <w:lang w:val="fr-CH"/>
      </w:rPr>
      <w:t xml:space="preserve"> CH</w:t>
    </w:r>
    <w:r w:rsidRPr="00BE61D0">
      <w:rPr>
        <w:color w:val="0070C0"/>
        <w:sz w:val="18"/>
        <w:szCs w:val="18"/>
        <w:lang w:val="fr-CH"/>
      </w:rPr>
      <w:noBreakHyphen/>
      <w:t>1211 Genève 20</w:t>
    </w:r>
    <w:r w:rsidR="00085F5A" w:rsidRPr="00BE61D0">
      <w:rPr>
        <w:color w:val="0070C0"/>
        <w:sz w:val="18"/>
        <w:szCs w:val="18"/>
        <w:lang w:val="fr-CH"/>
      </w:rPr>
      <w:t xml:space="preserve"> •</w:t>
    </w:r>
    <w:r w:rsidRPr="00BE61D0">
      <w:rPr>
        <w:color w:val="0070C0"/>
        <w:sz w:val="18"/>
        <w:szCs w:val="18"/>
        <w:lang w:val="fr-CH"/>
      </w:rPr>
      <w:t xml:space="preserve"> Suisse </w:t>
    </w:r>
    <w:r w:rsidRPr="00BE61D0">
      <w:rPr>
        <w:color w:val="0070C0"/>
        <w:sz w:val="18"/>
        <w:szCs w:val="18"/>
        <w:lang w:val="fr-CH"/>
      </w:rPr>
      <w:br/>
    </w:r>
    <w:proofErr w:type="gramStart"/>
    <w:r w:rsidRPr="00BE61D0">
      <w:rPr>
        <w:color w:val="0070C0"/>
        <w:sz w:val="18"/>
        <w:szCs w:val="18"/>
        <w:lang w:val="fr-CH"/>
      </w:rPr>
      <w:t>Tél</w:t>
    </w:r>
    <w:r w:rsidR="00085F5A" w:rsidRPr="00BE61D0">
      <w:rPr>
        <w:color w:val="0070C0"/>
        <w:sz w:val="18"/>
        <w:szCs w:val="18"/>
        <w:lang w:val="fr-CH"/>
      </w:rPr>
      <w:t>.</w:t>
    </w:r>
    <w:r w:rsidRPr="00BE61D0">
      <w:rPr>
        <w:color w:val="0070C0"/>
        <w:sz w:val="18"/>
        <w:szCs w:val="18"/>
        <w:lang w:val="fr-CH"/>
      </w:rPr>
      <w:t>:</w:t>
    </w:r>
    <w:proofErr w:type="gramEnd"/>
    <w:r w:rsidRPr="00BE61D0">
      <w:rPr>
        <w:color w:val="0070C0"/>
        <w:sz w:val="18"/>
        <w:szCs w:val="18"/>
        <w:lang w:val="fr-CH"/>
      </w:rPr>
      <w:t xml:space="preserve"> +41 22 730 5111 • Fax: +41 22 733 7256 • </w:t>
    </w:r>
    <w:r w:rsidR="00085F5A" w:rsidRPr="00BE61D0">
      <w:rPr>
        <w:color w:val="0070C0"/>
        <w:sz w:val="18"/>
        <w:szCs w:val="18"/>
        <w:lang w:val="fr-CH"/>
      </w:rPr>
      <w:t>Courriel</w:t>
    </w:r>
    <w:r w:rsidRPr="00BE61D0">
      <w:rPr>
        <w:color w:val="0070C0"/>
        <w:sz w:val="18"/>
        <w:szCs w:val="18"/>
        <w:lang w:val="fr-CH"/>
      </w:rPr>
      <w:t xml:space="preserve">: </w:t>
    </w:r>
    <w:hyperlink r:id="rId1" w:history="1">
      <w:r w:rsidRPr="00BE61D0">
        <w:rPr>
          <w:rStyle w:val="Hyperlink"/>
          <w:color w:val="0070C0"/>
          <w:sz w:val="18"/>
          <w:szCs w:val="18"/>
        </w:rPr>
        <w:t>itumail@itu.int</w:t>
      </w:r>
    </w:hyperlink>
    <w:r w:rsidRPr="00BE61D0">
      <w:rPr>
        <w:color w:val="0070C0"/>
        <w:sz w:val="18"/>
        <w:szCs w:val="18"/>
        <w:lang w:val="fr-CH"/>
      </w:rPr>
      <w:t xml:space="preserve"> • </w:t>
    </w:r>
    <w:hyperlink r:id="rId2" w:history="1">
      <w:r w:rsidRPr="00BE61D0">
        <w:rPr>
          <w:rStyle w:val="Hyperlink"/>
          <w:color w:val="0070C0"/>
          <w:sz w:val="18"/>
          <w:szCs w:val="18"/>
        </w:rPr>
        <w:t>www.itu.int</w:t>
      </w:r>
    </w:hyperlink>
    <w:r w:rsidRPr="00BE61D0">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BD0BC5" w14:textId="77777777" w:rsidR="0081518A" w:rsidRDefault="0081518A">
      <w:r>
        <w:t>____________________</w:t>
      </w:r>
    </w:p>
  </w:footnote>
  <w:footnote w:type="continuationSeparator" w:id="0">
    <w:p w14:paraId="264EC6A9" w14:textId="77777777" w:rsidR="0081518A" w:rsidRDefault="00815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9CAC0" w14:textId="096FC9CC" w:rsidR="004A02CA" w:rsidRPr="00697BC1" w:rsidRDefault="00A7709B"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BE61D0">
          <w:rPr>
            <w:noProof/>
            <w:sz w:val="18"/>
            <w:szCs w:val="16"/>
          </w:rPr>
          <w:t>9</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r w:rsidR="004A02CA">
      <w:rPr>
        <w:noProof/>
        <w:sz w:val="18"/>
        <w:szCs w:val="16"/>
      </w:rPr>
      <w:br/>
      <w:t>Circulaire TSB 246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066F25"/>
    <w:multiLevelType w:val="hybridMultilevel"/>
    <w:tmpl w:val="57CEDCC2"/>
    <w:lvl w:ilvl="0" w:tplc="820EEF94">
      <w:numFmt w:val="bullet"/>
      <w:lvlText w:val="•"/>
      <w:lvlJc w:val="left"/>
      <w:pPr>
        <w:ind w:left="1399" w:hanging="403"/>
      </w:pPr>
      <w:rPr>
        <w:rFonts w:ascii="Cambria" w:eastAsia="Cambria" w:hAnsi="Cambria" w:cs="Cambria" w:hint="default"/>
        <w:color w:val="231F20"/>
        <w:spacing w:val="-3"/>
        <w:w w:val="100"/>
        <w:sz w:val="22"/>
        <w:szCs w:val="22"/>
        <w:lang w:val="en-US" w:eastAsia="en-US" w:bidi="en-US"/>
      </w:rPr>
    </w:lvl>
    <w:lvl w:ilvl="1" w:tplc="BC4EB61C">
      <w:numFmt w:val="bullet"/>
      <w:lvlText w:val="•"/>
      <w:lvlJc w:val="left"/>
      <w:pPr>
        <w:ind w:left="2348" w:hanging="403"/>
      </w:pPr>
      <w:rPr>
        <w:rFonts w:hint="default"/>
        <w:lang w:val="en-US" w:eastAsia="en-US" w:bidi="en-US"/>
      </w:rPr>
    </w:lvl>
    <w:lvl w:ilvl="2" w:tplc="E830FB1C">
      <w:numFmt w:val="bullet"/>
      <w:lvlText w:val="•"/>
      <w:lvlJc w:val="left"/>
      <w:pPr>
        <w:ind w:left="3297" w:hanging="403"/>
      </w:pPr>
      <w:rPr>
        <w:rFonts w:hint="default"/>
        <w:lang w:val="en-US" w:eastAsia="en-US" w:bidi="en-US"/>
      </w:rPr>
    </w:lvl>
    <w:lvl w:ilvl="3" w:tplc="EE9C7402">
      <w:numFmt w:val="bullet"/>
      <w:lvlText w:val="•"/>
      <w:lvlJc w:val="left"/>
      <w:pPr>
        <w:ind w:left="4245" w:hanging="403"/>
      </w:pPr>
      <w:rPr>
        <w:rFonts w:hint="default"/>
        <w:lang w:val="en-US" w:eastAsia="en-US" w:bidi="en-US"/>
      </w:rPr>
    </w:lvl>
    <w:lvl w:ilvl="4" w:tplc="FE360E1A">
      <w:numFmt w:val="bullet"/>
      <w:lvlText w:val="•"/>
      <w:lvlJc w:val="left"/>
      <w:pPr>
        <w:ind w:left="5194" w:hanging="403"/>
      </w:pPr>
      <w:rPr>
        <w:rFonts w:hint="default"/>
        <w:lang w:val="en-US" w:eastAsia="en-US" w:bidi="en-US"/>
      </w:rPr>
    </w:lvl>
    <w:lvl w:ilvl="5" w:tplc="4C90994E">
      <w:numFmt w:val="bullet"/>
      <w:lvlText w:val="•"/>
      <w:lvlJc w:val="left"/>
      <w:pPr>
        <w:ind w:left="6143" w:hanging="403"/>
      </w:pPr>
      <w:rPr>
        <w:rFonts w:hint="default"/>
        <w:lang w:val="en-US" w:eastAsia="en-US" w:bidi="en-US"/>
      </w:rPr>
    </w:lvl>
    <w:lvl w:ilvl="6" w:tplc="ECAE5664">
      <w:numFmt w:val="bullet"/>
      <w:lvlText w:val="•"/>
      <w:lvlJc w:val="left"/>
      <w:pPr>
        <w:ind w:left="7091" w:hanging="403"/>
      </w:pPr>
      <w:rPr>
        <w:rFonts w:hint="default"/>
        <w:lang w:val="en-US" w:eastAsia="en-US" w:bidi="en-US"/>
      </w:rPr>
    </w:lvl>
    <w:lvl w:ilvl="7" w:tplc="A8F40EF2">
      <w:numFmt w:val="bullet"/>
      <w:lvlText w:val="•"/>
      <w:lvlJc w:val="left"/>
      <w:pPr>
        <w:ind w:left="8040" w:hanging="403"/>
      </w:pPr>
      <w:rPr>
        <w:rFonts w:hint="default"/>
        <w:lang w:val="en-US" w:eastAsia="en-US" w:bidi="en-US"/>
      </w:rPr>
    </w:lvl>
    <w:lvl w:ilvl="8" w:tplc="BD76D99A">
      <w:numFmt w:val="bullet"/>
      <w:lvlText w:val="•"/>
      <w:lvlJc w:val="left"/>
      <w:pPr>
        <w:ind w:left="8989" w:hanging="403"/>
      </w:pPr>
      <w:rPr>
        <w:rFonts w:hint="default"/>
        <w:lang w:val="en-US" w:eastAsia="en-US" w:bidi="en-US"/>
      </w:rPr>
    </w:lvl>
  </w:abstractNum>
  <w:abstractNum w:abstractNumId="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B184E2D"/>
    <w:multiLevelType w:val="hybridMultilevel"/>
    <w:tmpl w:val="DA4AED4C"/>
    <w:lvl w:ilvl="0" w:tplc="FB9AC8C0">
      <w:start w:val="1"/>
      <w:numFmt w:val="decimal"/>
      <w:lvlText w:val="%1"/>
      <w:lvlJc w:val="left"/>
      <w:pPr>
        <w:ind w:left="789" w:hanging="789"/>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4"/>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369"/>
    <w:rsid w:val="000039EE"/>
    <w:rsid w:val="00005622"/>
    <w:rsid w:val="0002519E"/>
    <w:rsid w:val="00035B43"/>
    <w:rsid w:val="000367D7"/>
    <w:rsid w:val="00036F4F"/>
    <w:rsid w:val="00040F59"/>
    <w:rsid w:val="00057CBA"/>
    <w:rsid w:val="00072B02"/>
    <w:rsid w:val="00074791"/>
    <w:rsid w:val="000758B3"/>
    <w:rsid w:val="00085F5A"/>
    <w:rsid w:val="00095213"/>
    <w:rsid w:val="000A1449"/>
    <w:rsid w:val="000A71F0"/>
    <w:rsid w:val="000B0D96"/>
    <w:rsid w:val="000B59D8"/>
    <w:rsid w:val="000C1F6B"/>
    <w:rsid w:val="000C25CC"/>
    <w:rsid w:val="000C56BE"/>
    <w:rsid w:val="001026FD"/>
    <w:rsid w:val="001077FD"/>
    <w:rsid w:val="00115DD7"/>
    <w:rsid w:val="001353AC"/>
    <w:rsid w:val="001548E9"/>
    <w:rsid w:val="00167472"/>
    <w:rsid w:val="00167F92"/>
    <w:rsid w:val="00171486"/>
    <w:rsid w:val="001726D5"/>
    <w:rsid w:val="00173738"/>
    <w:rsid w:val="00181D43"/>
    <w:rsid w:val="001B79A3"/>
    <w:rsid w:val="001C366F"/>
    <w:rsid w:val="001D7696"/>
    <w:rsid w:val="001F4B1C"/>
    <w:rsid w:val="00203902"/>
    <w:rsid w:val="002152A3"/>
    <w:rsid w:val="0025620E"/>
    <w:rsid w:val="002751B0"/>
    <w:rsid w:val="00284E18"/>
    <w:rsid w:val="002A41C8"/>
    <w:rsid w:val="002C4D39"/>
    <w:rsid w:val="002D1AAE"/>
    <w:rsid w:val="002E395D"/>
    <w:rsid w:val="002F3C3D"/>
    <w:rsid w:val="003131F0"/>
    <w:rsid w:val="00316BA1"/>
    <w:rsid w:val="00333A80"/>
    <w:rsid w:val="00334729"/>
    <w:rsid w:val="00340CFC"/>
    <w:rsid w:val="00341117"/>
    <w:rsid w:val="00352E05"/>
    <w:rsid w:val="00355BC3"/>
    <w:rsid w:val="00364E95"/>
    <w:rsid w:val="00372875"/>
    <w:rsid w:val="00372F35"/>
    <w:rsid w:val="00373E59"/>
    <w:rsid w:val="003A3111"/>
    <w:rsid w:val="003B1E80"/>
    <w:rsid w:val="003B66E8"/>
    <w:rsid w:val="004033F1"/>
    <w:rsid w:val="00414B0C"/>
    <w:rsid w:val="00423C21"/>
    <w:rsid w:val="004257AC"/>
    <w:rsid w:val="00432C04"/>
    <w:rsid w:val="0043711B"/>
    <w:rsid w:val="00441772"/>
    <w:rsid w:val="0044502C"/>
    <w:rsid w:val="004721FF"/>
    <w:rsid w:val="00483183"/>
    <w:rsid w:val="004878EE"/>
    <w:rsid w:val="004977C9"/>
    <w:rsid w:val="004A02CA"/>
    <w:rsid w:val="004B3BCA"/>
    <w:rsid w:val="004B732E"/>
    <w:rsid w:val="004D51F4"/>
    <w:rsid w:val="004D64E0"/>
    <w:rsid w:val="00510B39"/>
    <w:rsid w:val="005120A2"/>
    <w:rsid w:val="0051210D"/>
    <w:rsid w:val="005136D2"/>
    <w:rsid w:val="00517A03"/>
    <w:rsid w:val="00566321"/>
    <w:rsid w:val="005A3DD9"/>
    <w:rsid w:val="005B1DFC"/>
    <w:rsid w:val="005E1410"/>
    <w:rsid w:val="005F26C0"/>
    <w:rsid w:val="00601682"/>
    <w:rsid w:val="00603470"/>
    <w:rsid w:val="00625E79"/>
    <w:rsid w:val="006333F7"/>
    <w:rsid w:val="00637E7B"/>
    <w:rsid w:val="006427A1"/>
    <w:rsid w:val="00644741"/>
    <w:rsid w:val="00652C88"/>
    <w:rsid w:val="006857CA"/>
    <w:rsid w:val="00697BC1"/>
    <w:rsid w:val="006A6FFE"/>
    <w:rsid w:val="006B0F72"/>
    <w:rsid w:val="006C5A91"/>
    <w:rsid w:val="006D5404"/>
    <w:rsid w:val="006F4D72"/>
    <w:rsid w:val="00716BBC"/>
    <w:rsid w:val="00726865"/>
    <w:rsid w:val="0073117D"/>
    <w:rsid w:val="007321BC"/>
    <w:rsid w:val="00753800"/>
    <w:rsid w:val="00760063"/>
    <w:rsid w:val="00775E4B"/>
    <w:rsid w:val="0079553B"/>
    <w:rsid w:val="00795679"/>
    <w:rsid w:val="007A40FE"/>
    <w:rsid w:val="007E0080"/>
    <w:rsid w:val="00804725"/>
    <w:rsid w:val="00810105"/>
    <w:rsid w:val="008146D4"/>
    <w:rsid w:val="0081518A"/>
    <w:rsid w:val="008157E0"/>
    <w:rsid w:val="00850477"/>
    <w:rsid w:val="0085391D"/>
    <w:rsid w:val="00854E1D"/>
    <w:rsid w:val="00861CC2"/>
    <w:rsid w:val="00876369"/>
    <w:rsid w:val="00887FA6"/>
    <w:rsid w:val="008C3E50"/>
    <w:rsid w:val="008C4397"/>
    <w:rsid w:val="008C465A"/>
    <w:rsid w:val="008D01DF"/>
    <w:rsid w:val="008E68DE"/>
    <w:rsid w:val="008F2C9B"/>
    <w:rsid w:val="008F429A"/>
    <w:rsid w:val="00923CD6"/>
    <w:rsid w:val="00935AA8"/>
    <w:rsid w:val="0094237A"/>
    <w:rsid w:val="00954E5C"/>
    <w:rsid w:val="009632BA"/>
    <w:rsid w:val="00971C9A"/>
    <w:rsid w:val="0099451B"/>
    <w:rsid w:val="009B06F7"/>
    <w:rsid w:val="009C21F7"/>
    <w:rsid w:val="009D108F"/>
    <w:rsid w:val="009D51DB"/>
    <w:rsid w:val="009D51FA"/>
    <w:rsid w:val="009E196D"/>
    <w:rsid w:val="009E277B"/>
    <w:rsid w:val="009F1E23"/>
    <w:rsid w:val="00A043F7"/>
    <w:rsid w:val="00A15179"/>
    <w:rsid w:val="00A40285"/>
    <w:rsid w:val="00A47316"/>
    <w:rsid w:val="00A51537"/>
    <w:rsid w:val="00A5280F"/>
    <w:rsid w:val="00A5645A"/>
    <w:rsid w:val="00A60FC1"/>
    <w:rsid w:val="00A7709B"/>
    <w:rsid w:val="00A872F1"/>
    <w:rsid w:val="00A927BF"/>
    <w:rsid w:val="00A92A7D"/>
    <w:rsid w:val="00A97C37"/>
    <w:rsid w:val="00AA131B"/>
    <w:rsid w:val="00AA1A79"/>
    <w:rsid w:val="00AC37B5"/>
    <w:rsid w:val="00AC6A9C"/>
    <w:rsid w:val="00AC785A"/>
    <w:rsid w:val="00AD167F"/>
    <w:rsid w:val="00AD752F"/>
    <w:rsid w:val="00AF08A4"/>
    <w:rsid w:val="00B20682"/>
    <w:rsid w:val="00B27B41"/>
    <w:rsid w:val="00B42659"/>
    <w:rsid w:val="00B8573E"/>
    <w:rsid w:val="00BB24C0"/>
    <w:rsid w:val="00BD6A3D"/>
    <w:rsid w:val="00BD6ECF"/>
    <w:rsid w:val="00BE61D0"/>
    <w:rsid w:val="00C25325"/>
    <w:rsid w:val="00C26F2E"/>
    <w:rsid w:val="00C302E3"/>
    <w:rsid w:val="00C45376"/>
    <w:rsid w:val="00C45540"/>
    <w:rsid w:val="00C50F0F"/>
    <w:rsid w:val="00C55067"/>
    <w:rsid w:val="00C630EC"/>
    <w:rsid w:val="00C9028F"/>
    <w:rsid w:val="00C95CD6"/>
    <w:rsid w:val="00CA0416"/>
    <w:rsid w:val="00CB1125"/>
    <w:rsid w:val="00CD042E"/>
    <w:rsid w:val="00CE1F3C"/>
    <w:rsid w:val="00CF2560"/>
    <w:rsid w:val="00CF32B7"/>
    <w:rsid w:val="00CF5B46"/>
    <w:rsid w:val="00D46B68"/>
    <w:rsid w:val="00D52CBE"/>
    <w:rsid w:val="00D542A5"/>
    <w:rsid w:val="00D86A3F"/>
    <w:rsid w:val="00DA55CA"/>
    <w:rsid w:val="00DC3D47"/>
    <w:rsid w:val="00DC7E68"/>
    <w:rsid w:val="00DD77DA"/>
    <w:rsid w:val="00DE1A28"/>
    <w:rsid w:val="00DE6207"/>
    <w:rsid w:val="00DE70FF"/>
    <w:rsid w:val="00E06C61"/>
    <w:rsid w:val="00E13DB3"/>
    <w:rsid w:val="00E2408B"/>
    <w:rsid w:val="00E62CEA"/>
    <w:rsid w:val="00E72AE1"/>
    <w:rsid w:val="00EA1429"/>
    <w:rsid w:val="00ED6A7A"/>
    <w:rsid w:val="00EE4C36"/>
    <w:rsid w:val="00F144A2"/>
    <w:rsid w:val="00F15957"/>
    <w:rsid w:val="00F346CE"/>
    <w:rsid w:val="00F34F98"/>
    <w:rsid w:val="00F40540"/>
    <w:rsid w:val="00F66709"/>
    <w:rsid w:val="00F67402"/>
    <w:rsid w:val="00F766A2"/>
    <w:rsid w:val="00F9321A"/>
    <w:rsid w:val="00F9451D"/>
    <w:rsid w:val="00F9528E"/>
    <w:rsid w:val="00F96453"/>
    <w:rsid w:val="00FC44C7"/>
    <w:rsid w:val="00FC6548"/>
    <w:rsid w:val="00FD4776"/>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2C8C52DD"/>
  <w15:docId w15:val="{9D9C7F24-762A-4176-8343-1B04384DF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customStyle="1" w:styleId="UnresolvedMention1">
    <w:name w:val="Unresolved Mention1"/>
    <w:basedOn w:val="DefaultParagraphFont"/>
    <w:uiPriority w:val="99"/>
    <w:semiHidden/>
    <w:unhideWhenUsed/>
    <w:rsid w:val="00876369"/>
    <w:rPr>
      <w:color w:val="605E5C"/>
      <w:shd w:val="clear" w:color="auto" w:fill="E1DFDD"/>
    </w:rPr>
  </w:style>
  <w:style w:type="character" w:customStyle="1" w:styleId="Heading1Char">
    <w:name w:val="Heading 1 Char"/>
    <w:basedOn w:val="DefaultParagraphFont"/>
    <w:link w:val="Heading1"/>
    <w:rsid w:val="00C45540"/>
    <w:rPr>
      <w:rFonts w:asciiTheme="minorHAnsi" w:hAnsiTheme="minorHAnsi"/>
      <w:b/>
      <w:sz w:val="24"/>
      <w:lang w:val="fr-FR" w:eastAsia="en-US"/>
    </w:rPr>
  </w:style>
  <w:style w:type="paragraph" w:customStyle="1" w:styleId="Headingb0">
    <w:name w:val="Heading_b"/>
    <w:basedOn w:val="Normal"/>
    <w:next w:val="Normal"/>
    <w:qFormat/>
    <w:rsid w:val="00C45540"/>
    <w:pPr>
      <w:keepNext/>
      <w:spacing w:before="160"/>
    </w:pPr>
    <w:rPr>
      <w:rFonts w:ascii="Calibri" w:hAnsi="Calibri"/>
      <w:b/>
      <w:lang w:val="en-GB"/>
    </w:rPr>
  </w:style>
  <w:style w:type="paragraph" w:customStyle="1" w:styleId="PartNo">
    <w:name w:val="Part_No"/>
    <w:basedOn w:val="Normal"/>
    <w:next w:val="Normal"/>
    <w:rsid w:val="009B06F7"/>
    <w:pPr>
      <w:keepNext/>
      <w:keepLines/>
      <w:spacing w:before="480" w:after="80"/>
      <w:jc w:val="center"/>
    </w:pPr>
    <w:rPr>
      <w:rFonts w:ascii="Calibri" w:hAnsi="Calibri"/>
      <w:caps/>
      <w:sz w:val="28"/>
      <w:lang w:val="en-GB"/>
    </w:rPr>
  </w:style>
  <w:style w:type="paragraph" w:customStyle="1" w:styleId="Reasons">
    <w:name w:val="Reasons"/>
    <w:basedOn w:val="Normal"/>
    <w:qFormat/>
    <w:rsid w:val="004A02C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styleId="BalloonText">
    <w:name w:val="Balloon Text"/>
    <w:basedOn w:val="Normal"/>
    <w:link w:val="BalloonTextChar"/>
    <w:semiHidden/>
    <w:unhideWhenUsed/>
    <w:rsid w:val="0033472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34729"/>
    <w:rPr>
      <w:rFonts w:ascii="Segoe UI" w:hAnsi="Segoe UI" w:cs="Segoe UI"/>
      <w:sz w:val="18"/>
      <w:szCs w:val="18"/>
      <w:lang w:val="fr-FR" w:eastAsia="en-US"/>
    </w:rPr>
  </w:style>
  <w:style w:type="character" w:styleId="FollowedHyperlink">
    <w:name w:val="FollowedHyperlink"/>
    <w:basedOn w:val="DefaultParagraphFont"/>
    <w:semiHidden/>
    <w:unhideWhenUsed/>
    <w:rsid w:val="009423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564682640">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ipr/" TargetMode="External"/><Relationship Id="rId18" Type="http://schemas.openxmlformats.org/officeDocument/2006/relationships/hyperlink" Target="https://www.itu.int/md/T17-SG17-R-0064" TargetMode="External"/><Relationship Id="rId26" Type="http://schemas.openxmlformats.org/officeDocument/2006/relationships/hyperlink" Target="mailto:tsbdir@itu.int" TargetMode="External"/><Relationship Id="rId3" Type="http://schemas.openxmlformats.org/officeDocument/2006/relationships/customXml" Target="../customXml/item3.xml"/><Relationship Id="rId21" Type="http://schemas.openxmlformats.org/officeDocument/2006/relationships/hyperlink" Target="https://www.itu.int/md/T17-SG17-R-0059" TargetMode="External"/><Relationship Id="rId7" Type="http://schemas.openxmlformats.org/officeDocument/2006/relationships/settings" Target="settings.xml"/><Relationship Id="rId12" Type="http://schemas.openxmlformats.org/officeDocument/2006/relationships/hyperlink" Target="mailto:tsbsg17@itu.int" TargetMode="External"/><Relationship Id="rId17" Type="http://schemas.openxmlformats.org/officeDocument/2006/relationships/hyperlink" Target="https://www.itu.int/md/T17-SG17-R-0057" TargetMode="External"/><Relationship Id="rId25" Type="http://schemas.openxmlformats.org/officeDocument/2006/relationships/hyperlink" Target="https://www.itu.int/md/T17-SG17-R-0063" TargetMode="External"/><Relationship Id="rId2" Type="http://schemas.openxmlformats.org/officeDocument/2006/relationships/customXml" Target="../customXml/item2.xml"/><Relationship Id="rId16" Type="http://schemas.openxmlformats.org/officeDocument/2006/relationships/hyperlink" Target="https://www.itu.int/md/T17-SG17-R-0060" TargetMode="External"/><Relationship Id="rId20" Type="http://schemas.openxmlformats.org/officeDocument/2006/relationships/hyperlink" Target="https://www.itu.int/md/T17-SG17-R-005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md/T17-SG17-R-0061" TargetMode="External"/><Relationship Id="rId5" Type="http://schemas.openxmlformats.org/officeDocument/2006/relationships/numbering" Target="numbering.xml"/><Relationship Id="rId15" Type="http://schemas.openxmlformats.org/officeDocument/2006/relationships/hyperlink" Target="https://www.itu.int/md/T17-SG17-R-0056" TargetMode="External"/><Relationship Id="rId23" Type="http://schemas.openxmlformats.org/officeDocument/2006/relationships/hyperlink" Target="https://www.itu.int/md/T17-SG17-R-0062"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tu.int/md/T17-SG17-R-006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itu.int/md/T17-SG17-R-0066"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1B88F8B5ADD64F997622A3285924A1" ma:contentTypeVersion="0" ma:contentTypeDescription="Create a new document." ma:contentTypeScope="" ma:versionID="9c2ed6e64060d7c25ac3a032234feb3c">
  <xsd:schema xmlns:xsd="http://www.w3.org/2001/XMLSchema" xmlns:xs="http://www.w3.org/2001/XMLSchema" xmlns:p="http://schemas.microsoft.com/office/2006/metadata/properties" targetNamespace="http://schemas.microsoft.com/office/2006/metadata/properties" ma:root="true" ma:fieldsID="59ab29b2c213d488eb41308cf57851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3D0DA-ECD0-465F-9C2F-C69044C718C1}">
  <ds:schemaRef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 ds:uri="http://purl.org/dc/terms/"/>
    <ds:schemaRef ds:uri="http://purl.org/dc/elements/1.1/"/>
  </ds:schemaRefs>
</ds:datastoreItem>
</file>

<file path=customXml/itemProps2.xml><?xml version="1.0" encoding="utf-8"?>
<ds:datastoreItem xmlns:ds="http://schemas.openxmlformats.org/officeDocument/2006/customXml" ds:itemID="{4388D928-DB30-429A-8746-B933231D1150}">
  <ds:schemaRefs>
    <ds:schemaRef ds:uri="http://schemas.microsoft.com/sharepoint/v3/contenttype/forms"/>
  </ds:schemaRefs>
</ds:datastoreItem>
</file>

<file path=customXml/itemProps3.xml><?xml version="1.0" encoding="utf-8"?>
<ds:datastoreItem xmlns:ds="http://schemas.openxmlformats.org/officeDocument/2006/customXml" ds:itemID="{1A578E88-A89B-4040-8CDD-F555E641F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E5AEF7C-DF79-4E97-B8D6-699F9B15C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PF_TSBCIRC.dotx</Template>
  <TotalTime>46</TotalTime>
  <Pages>11</Pages>
  <Words>3509</Words>
  <Characters>21523</Characters>
  <Application>Microsoft Office Word</Application>
  <DocSecurity>0</DocSecurity>
  <Lines>179</Lines>
  <Paragraphs>49</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24983</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Chanavat, Emilie</dc:creator>
  <cp:keywords/>
  <dc:description/>
  <cp:lastModifiedBy>Braud, Olivia</cp:lastModifiedBy>
  <cp:revision>10</cp:revision>
  <cp:lastPrinted>2020-04-30T12:53:00Z</cp:lastPrinted>
  <dcterms:created xsi:type="dcterms:W3CDTF">2020-04-27T13:45:00Z</dcterms:created>
  <dcterms:modified xsi:type="dcterms:W3CDTF">2020-04-30T12:54:00Z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0x010100A11B88F8B5ADD64F997622A3285924A1</vt:lpwstr>
  </property>
</Properties>
</file>