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04" w:type="dxa"/>
        <w:tblInd w:w="-90" w:type="dxa"/>
        <w:tblLayout w:type="fixed"/>
        <w:tblCellMar>
          <w:left w:w="0" w:type="dxa"/>
          <w:right w:w="0" w:type="dxa"/>
        </w:tblCellMar>
        <w:tblLook w:val="0000" w:firstRow="0" w:lastRow="0" w:firstColumn="0" w:lastColumn="0" w:noHBand="0" w:noVBand="0"/>
      </w:tblPr>
      <w:tblGrid>
        <w:gridCol w:w="1224"/>
        <w:gridCol w:w="284"/>
        <w:gridCol w:w="3467"/>
        <w:gridCol w:w="133"/>
        <w:gridCol w:w="5188"/>
        <w:gridCol w:w="8"/>
      </w:tblGrid>
      <w:tr w:rsidR="00690FBF" w:rsidRPr="00BB0B05" w14:paraId="3F45A946" w14:textId="77777777" w:rsidTr="003C4201">
        <w:trPr>
          <w:cantSplit/>
          <w:trHeight w:val="1521"/>
        </w:trPr>
        <w:tc>
          <w:tcPr>
            <w:tcW w:w="1508" w:type="dxa"/>
            <w:gridSpan w:val="2"/>
          </w:tcPr>
          <w:p w14:paraId="1C4C222D" w14:textId="77777777" w:rsidR="00690FBF" w:rsidRPr="00BB0B05" w:rsidRDefault="00690FBF" w:rsidP="00A90C00">
            <w:pPr>
              <w:tabs>
                <w:tab w:val="left" w:pos="4111"/>
              </w:tabs>
              <w:spacing w:before="10"/>
              <w:ind w:left="57"/>
              <w:rPr>
                <w:sz w:val="22"/>
              </w:rPr>
            </w:pPr>
            <w:r w:rsidRPr="00BB0B05">
              <w:rPr>
                <w:noProof/>
                <w:lang w:val="en-US"/>
              </w:rPr>
              <w:drawing>
                <wp:inline distT="0" distB="0" distL="0" distR="0" wp14:anchorId="393B7AF9" wp14:editId="39E97D59">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4"/>
            <w:vAlign w:val="center"/>
          </w:tcPr>
          <w:p w14:paraId="2FC7E141" w14:textId="77777777" w:rsidR="00690FBF" w:rsidRPr="00BB0B05" w:rsidRDefault="00690FBF" w:rsidP="00A90C00">
            <w:pPr>
              <w:spacing w:before="0"/>
              <w:rPr>
                <w:rFonts w:cs="Times New Roman Bold"/>
                <w:b/>
                <w:bCs/>
                <w:smallCaps/>
                <w:sz w:val="26"/>
                <w:szCs w:val="26"/>
              </w:rPr>
            </w:pPr>
            <w:r w:rsidRPr="00BB0B05">
              <w:rPr>
                <w:rFonts w:cs="Times New Roman Bold"/>
                <w:b/>
                <w:bCs/>
                <w:smallCaps/>
                <w:sz w:val="36"/>
                <w:szCs w:val="36"/>
              </w:rPr>
              <w:t>Unión Internacional de Telecomunicaciones</w:t>
            </w:r>
          </w:p>
          <w:p w14:paraId="22194A57" w14:textId="77777777" w:rsidR="00690FBF" w:rsidRPr="00BB0B05" w:rsidRDefault="00690FBF" w:rsidP="00A90C00">
            <w:pPr>
              <w:spacing w:before="0"/>
            </w:pPr>
            <w:r w:rsidRPr="00BB0B05">
              <w:rPr>
                <w:rFonts w:cs="Times New Roman Bold"/>
                <w:b/>
                <w:bCs/>
                <w:smallCaps/>
                <w:sz w:val="28"/>
                <w:szCs w:val="28"/>
              </w:rPr>
              <w:t>Oficina</w:t>
            </w:r>
            <w:r w:rsidRPr="00BB0B05">
              <w:rPr>
                <w:rFonts w:cs="Times New Roman Bold"/>
                <w:b/>
                <w:bCs/>
                <w:iCs/>
                <w:smallCaps/>
                <w:sz w:val="22"/>
                <w:szCs w:val="22"/>
              </w:rPr>
              <w:t xml:space="preserve"> </w:t>
            </w:r>
            <w:r w:rsidRPr="00BB0B05">
              <w:rPr>
                <w:rFonts w:cs="Times New Roman Bold"/>
                <w:b/>
                <w:bCs/>
                <w:iCs/>
                <w:smallCaps/>
                <w:sz w:val="28"/>
                <w:szCs w:val="28"/>
              </w:rPr>
              <w:t>de Normalización de las Telecomunicaciones</w:t>
            </w:r>
          </w:p>
        </w:tc>
      </w:tr>
      <w:tr w:rsidR="00690FBF" w:rsidRPr="00BB0B05" w14:paraId="35C1EBE6" w14:textId="77777777" w:rsidTr="003C4201">
        <w:trPr>
          <w:cantSplit/>
          <w:trHeight w:val="684"/>
        </w:trPr>
        <w:tc>
          <w:tcPr>
            <w:tcW w:w="1224" w:type="dxa"/>
          </w:tcPr>
          <w:p w14:paraId="6E7BA8B6" w14:textId="77777777" w:rsidR="00690FBF" w:rsidRPr="00BB0B05" w:rsidRDefault="00690FBF" w:rsidP="00A90C00">
            <w:pPr>
              <w:tabs>
                <w:tab w:val="left" w:pos="4111"/>
              </w:tabs>
              <w:spacing w:before="10"/>
              <w:ind w:left="57"/>
              <w:rPr>
                <w:b/>
                <w:bCs/>
                <w:sz w:val="22"/>
              </w:rPr>
            </w:pPr>
          </w:p>
        </w:tc>
        <w:tc>
          <w:tcPr>
            <w:tcW w:w="3751" w:type="dxa"/>
            <w:gridSpan w:val="2"/>
          </w:tcPr>
          <w:p w14:paraId="1904367F" w14:textId="77777777" w:rsidR="00690FBF" w:rsidRPr="00BB0B05" w:rsidRDefault="00690FBF" w:rsidP="00A90C00">
            <w:pPr>
              <w:tabs>
                <w:tab w:val="left" w:pos="4111"/>
              </w:tabs>
              <w:spacing w:before="0"/>
              <w:ind w:left="57"/>
              <w:rPr>
                <w:b/>
              </w:rPr>
            </w:pPr>
          </w:p>
        </w:tc>
        <w:tc>
          <w:tcPr>
            <w:tcW w:w="5329" w:type="dxa"/>
            <w:gridSpan w:val="3"/>
          </w:tcPr>
          <w:p w14:paraId="51AB5AA9" w14:textId="54A60D7F" w:rsidR="00690FBF" w:rsidRPr="00BB0B05" w:rsidRDefault="00690FBF" w:rsidP="00A90C00">
            <w:pPr>
              <w:tabs>
                <w:tab w:val="clear" w:pos="794"/>
                <w:tab w:val="clear" w:pos="1191"/>
                <w:tab w:val="clear" w:pos="1588"/>
                <w:tab w:val="clear" w:pos="1985"/>
                <w:tab w:val="left" w:pos="284"/>
              </w:tabs>
              <w:spacing w:after="120"/>
              <w:ind w:left="284" w:hanging="227"/>
            </w:pPr>
            <w:r w:rsidRPr="00BB0B05">
              <w:rPr>
                <w:szCs w:val="24"/>
              </w:rPr>
              <w:t xml:space="preserve">Ginebra, 22 </w:t>
            </w:r>
            <w:r w:rsidR="00627003" w:rsidRPr="00BB0B05">
              <w:rPr>
                <w:szCs w:val="24"/>
              </w:rPr>
              <w:t>de abril de</w:t>
            </w:r>
            <w:r w:rsidRPr="00BB0B05">
              <w:rPr>
                <w:szCs w:val="24"/>
              </w:rPr>
              <w:t xml:space="preserve"> 2020</w:t>
            </w:r>
          </w:p>
        </w:tc>
      </w:tr>
      <w:tr w:rsidR="00690FBF" w:rsidRPr="00BB0B05" w14:paraId="574F02CE" w14:textId="77777777" w:rsidTr="003C4201">
        <w:trPr>
          <w:gridAfter w:val="1"/>
          <w:wAfter w:w="8" w:type="dxa"/>
          <w:cantSplit/>
          <w:trHeight w:val="340"/>
        </w:trPr>
        <w:tc>
          <w:tcPr>
            <w:tcW w:w="1224" w:type="dxa"/>
          </w:tcPr>
          <w:p w14:paraId="6B839C9C" w14:textId="77777777" w:rsidR="00690FBF" w:rsidRPr="003C4201" w:rsidRDefault="00690FBF" w:rsidP="00A90C00">
            <w:pPr>
              <w:tabs>
                <w:tab w:val="left" w:pos="4111"/>
              </w:tabs>
              <w:spacing w:before="10"/>
              <w:ind w:left="57"/>
              <w:rPr>
                <w:b/>
                <w:bCs/>
                <w:sz w:val="22"/>
                <w:szCs w:val="22"/>
              </w:rPr>
            </w:pPr>
            <w:r w:rsidRPr="003C4201">
              <w:rPr>
                <w:b/>
                <w:bCs/>
                <w:sz w:val="22"/>
                <w:szCs w:val="22"/>
              </w:rPr>
              <w:t>Ref.:</w:t>
            </w:r>
          </w:p>
          <w:p w14:paraId="331C0682" w14:textId="77777777" w:rsidR="00690FBF" w:rsidRPr="003C4201" w:rsidRDefault="00690FBF" w:rsidP="00A90C00">
            <w:pPr>
              <w:tabs>
                <w:tab w:val="left" w:pos="4111"/>
              </w:tabs>
              <w:spacing w:before="10"/>
              <w:ind w:left="57"/>
              <w:rPr>
                <w:b/>
                <w:bCs/>
                <w:sz w:val="22"/>
                <w:szCs w:val="22"/>
              </w:rPr>
            </w:pPr>
          </w:p>
        </w:tc>
        <w:tc>
          <w:tcPr>
            <w:tcW w:w="3884" w:type="dxa"/>
            <w:gridSpan w:val="3"/>
          </w:tcPr>
          <w:p w14:paraId="55326A30" w14:textId="0160A8FE" w:rsidR="00690FBF" w:rsidRPr="003C4201" w:rsidRDefault="00690FBF" w:rsidP="00A90C00">
            <w:pPr>
              <w:pStyle w:val="Tabletext0"/>
              <w:ind w:left="130" w:hanging="130"/>
              <w:rPr>
                <w:b/>
                <w:bCs/>
                <w:szCs w:val="22"/>
              </w:rPr>
            </w:pPr>
            <w:r w:rsidRPr="003C4201">
              <w:rPr>
                <w:b/>
                <w:bCs/>
                <w:szCs w:val="22"/>
              </w:rPr>
              <w:t>TSB Circular 246</w:t>
            </w:r>
          </w:p>
          <w:p w14:paraId="0A209FCA" w14:textId="77777777" w:rsidR="00690FBF" w:rsidRPr="003C4201" w:rsidRDefault="00690FBF" w:rsidP="00A90C00">
            <w:pPr>
              <w:tabs>
                <w:tab w:val="left" w:pos="4111"/>
              </w:tabs>
              <w:spacing w:before="0"/>
              <w:ind w:left="130" w:hanging="130"/>
              <w:rPr>
                <w:b/>
                <w:sz w:val="22"/>
                <w:szCs w:val="22"/>
              </w:rPr>
            </w:pPr>
            <w:bookmarkStart w:id="0" w:name="lt_pId025"/>
            <w:r w:rsidRPr="003C4201">
              <w:rPr>
                <w:sz w:val="22"/>
                <w:szCs w:val="22"/>
              </w:rPr>
              <w:t>SG17/XY</w:t>
            </w:r>
            <w:bookmarkEnd w:id="0"/>
          </w:p>
          <w:p w14:paraId="209EAE86" w14:textId="77777777" w:rsidR="00690FBF" w:rsidRPr="003C4201" w:rsidRDefault="00690FBF" w:rsidP="00A90C00">
            <w:pPr>
              <w:tabs>
                <w:tab w:val="left" w:pos="4111"/>
              </w:tabs>
              <w:spacing w:before="0"/>
              <w:ind w:left="130" w:hanging="130"/>
              <w:rPr>
                <w:sz w:val="22"/>
                <w:szCs w:val="22"/>
              </w:rPr>
            </w:pPr>
          </w:p>
        </w:tc>
        <w:tc>
          <w:tcPr>
            <w:tcW w:w="5188" w:type="dxa"/>
            <w:vMerge w:val="restart"/>
          </w:tcPr>
          <w:p w14:paraId="029A0F9E" w14:textId="77777777" w:rsidR="00690FBF" w:rsidRPr="00BB0B05" w:rsidRDefault="00690FBF" w:rsidP="00A90C00">
            <w:pPr>
              <w:tabs>
                <w:tab w:val="clear" w:pos="794"/>
                <w:tab w:val="clear" w:pos="1191"/>
                <w:tab w:val="clear" w:pos="1588"/>
                <w:tab w:val="clear" w:pos="1985"/>
                <w:tab w:val="left" w:pos="284"/>
              </w:tabs>
              <w:spacing w:before="0"/>
              <w:ind w:left="284" w:hanging="227"/>
            </w:pPr>
            <w:r w:rsidRPr="00BB0B05">
              <w:rPr>
                <w:b/>
                <w:bCs/>
              </w:rPr>
              <w:t>A</w:t>
            </w:r>
            <w:r w:rsidRPr="00BB0B05">
              <w:t>:</w:t>
            </w:r>
          </w:p>
          <w:p w14:paraId="517D74CF" w14:textId="77777777" w:rsidR="00690FBF" w:rsidRDefault="00690FBF" w:rsidP="003F7FB7">
            <w:pPr>
              <w:tabs>
                <w:tab w:val="clear" w:pos="794"/>
                <w:tab w:val="clear" w:pos="1191"/>
                <w:tab w:val="clear" w:pos="1588"/>
                <w:tab w:val="clear" w:pos="1985"/>
                <w:tab w:val="left" w:pos="284"/>
              </w:tabs>
              <w:spacing w:before="0"/>
              <w:ind w:left="284" w:hanging="227"/>
            </w:pPr>
            <w:r w:rsidRPr="00BB0B05">
              <w:t>–</w:t>
            </w:r>
            <w:r w:rsidRPr="00BB0B05">
              <w:tab/>
              <w:t>las Administraciones de los Estados Miembros de la Unión</w:t>
            </w:r>
          </w:p>
          <w:p w14:paraId="54F70DAD" w14:textId="77777777" w:rsidR="003C4201" w:rsidRPr="00BB0B05" w:rsidRDefault="003C4201" w:rsidP="003C4201">
            <w:pPr>
              <w:tabs>
                <w:tab w:val="clear" w:pos="794"/>
                <w:tab w:val="clear" w:pos="1191"/>
                <w:tab w:val="clear" w:pos="1588"/>
                <w:tab w:val="clear" w:pos="1985"/>
                <w:tab w:val="left" w:pos="284"/>
              </w:tabs>
              <w:spacing w:before="40"/>
              <w:ind w:left="284" w:hanging="227"/>
            </w:pPr>
            <w:r w:rsidRPr="00BB0B05">
              <w:rPr>
                <w:b/>
                <w:bCs/>
              </w:rPr>
              <w:t>Copia:</w:t>
            </w:r>
          </w:p>
          <w:p w14:paraId="24D495F1" w14:textId="77777777" w:rsidR="003C4201" w:rsidRPr="00BB0B05" w:rsidRDefault="003C4201" w:rsidP="003C4201">
            <w:pPr>
              <w:tabs>
                <w:tab w:val="clear" w:pos="794"/>
                <w:tab w:val="clear" w:pos="1191"/>
                <w:tab w:val="clear" w:pos="1588"/>
                <w:tab w:val="clear" w:pos="1985"/>
                <w:tab w:val="left" w:pos="284"/>
                <w:tab w:val="left" w:pos="362"/>
              </w:tabs>
              <w:spacing w:before="0"/>
              <w:ind w:left="284" w:hanging="227"/>
            </w:pPr>
            <w:r w:rsidRPr="00BB0B05">
              <w:t>–</w:t>
            </w:r>
            <w:r w:rsidRPr="00BB0B05">
              <w:tab/>
            </w:r>
            <w:r>
              <w:t xml:space="preserve">a </w:t>
            </w:r>
            <w:r w:rsidRPr="00BB0B05">
              <w:t>los Miembros de Sector del UIT-T;</w:t>
            </w:r>
          </w:p>
          <w:p w14:paraId="0A890E34" w14:textId="77777777" w:rsidR="003C4201" w:rsidRPr="00BB0B05" w:rsidRDefault="003C4201" w:rsidP="003C4201">
            <w:pPr>
              <w:tabs>
                <w:tab w:val="clear" w:pos="794"/>
                <w:tab w:val="clear" w:pos="1191"/>
                <w:tab w:val="clear" w:pos="1588"/>
                <w:tab w:val="clear" w:pos="1985"/>
                <w:tab w:val="left" w:pos="284"/>
                <w:tab w:val="left" w:pos="362"/>
              </w:tabs>
              <w:spacing w:before="0"/>
              <w:ind w:left="284" w:hanging="227"/>
            </w:pPr>
            <w:r w:rsidRPr="00BB0B05">
              <w:t>–</w:t>
            </w:r>
            <w:r w:rsidRPr="00BB0B05">
              <w:tab/>
            </w:r>
            <w:r>
              <w:t xml:space="preserve">a </w:t>
            </w:r>
            <w:r w:rsidRPr="00BB0B05">
              <w:t>los Asociados de la Comisión de Estudio 17 del UIT</w:t>
            </w:r>
            <w:r w:rsidRPr="00BB0B05">
              <w:noBreakHyphen/>
              <w:t>T;</w:t>
            </w:r>
          </w:p>
          <w:p w14:paraId="46F29797" w14:textId="77777777" w:rsidR="003C4201" w:rsidRPr="00BB0B05" w:rsidRDefault="003C4201" w:rsidP="003C4201">
            <w:pPr>
              <w:tabs>
                <w:tab w:val="clear" w:pos="794"/>
                <w:tab w:val="clear" w:pos="1191"/>
                <w:tab w:val="clear" w:pos="1588"/>
                <w:tab w:val="clear" w:pos="1985"/>
                <w:tab w:val="left" w:pos="226"/>
                <w:tab w:val="left" w:pos="284"/>
                <w:tab w:val="left" w:pos="510"/>
              </w:tabs>
              <w:spacing w:before="0"/>
              <w:ind w:left="226" w:hanging="169"/>
            </w:pPr>
            <w:r w:rsidRPr="00BB0B05">
              <w:t>–</w:t>
            </w:r>
            <w:r w:rsidRPr="00BB0B05">
              <w:tab/>
            </w:r>
            <w:r w:rsidRPr="00BB0B05">
              <w:tab/>
            </w:r>
            <w:r>
              <w:t xml:space="preserve">a </w:t>
            </w:r>
            <w:r w:rsidRPr="00BB0B05">
              <w:t>las Instituciones Académicas de la UIT</w:t>
            </w:r>
          </w:p>
          <w:p w14:paraId="63AE4642" w14:textId="77777777" w:rsidR="003C4201" w:rsidRPr="00BB0B05" w:rsidRDefault="003C4201" w:rsidP="003C4201">
            <w:pPr>
              <w:tabs>
                <w:tab w:val="clear" w:pos="794"/>
                <w:tab w:val="clear" w:pos="1191"/>
                <w:tab w:val="clear" w:pos="1588"/>
                <w:tab w:val="clear" w:pos="1985"/>
              </w:tabs>
              <w:spacing w:before="0"/>
              <w:ind w:left="305" w:hanging="248"/>
            </w:pPr>
            <w:r w:rsidRPr="00BB0B05">
              <w:t>–</w:t>
            </w:r>
            <w:r w:rsidRPr="00BB0B05">
              <w:tab/>
              <w:t xml:space="preserve">al </w:t>
            </w:r>
            <w:proofErr w:type="gramStart"/>
            <w:r w:rsidRPr="00BB0B05">
              <w:t>Presidente</w:t>
            </w:r>
            <w:proofErr w:type="gramEnd"/>
            <w:r w:rsidRPr="00BB0B05">
              <w:t xml:space="preserve"> y a los Vicepresidentes de la Comisión de Estudio 17 del UIT-T;</w:t>
            </w:r>
          </w:p>
          <w:p w14:paraId="2FCA39FA" w14:textId="77777777" w:rsidR="003C4201" w:rsidRPr="00BB0B05" w:rsidRDefault="003C4201" w:rsidP="003C4201">
            <w:pPr>
              <w:tabs>
                <w:tab w:val="clear" w:pos="794"/>
                <w:tab w:val="clear" w:pos="1191"/>
                <w:tab w:val="clear" w:pos="1588"/>
                <w:tab w:val="clear" w:pos="1985"/>
              </w:tabs>
              <w:spacing w:before="0"/>
              <w:ind w:left="305" w:hanging="248"/>
            </w:pPr>
            <w:r w:rsidRPr="00BB0B05">
              <w:t>–</w:t>
            </w:r>
            <w:r w:rsidRPr="00BB0B05">
              <w:tab/>
              <w:t xml:space="preserve">a la </w:t>
            </w:r>
            <w:proofErr w:type="gramStart"/>
            <w:r w:rsidRPr="00BB0B05">
              <w:t>Directora</w:t>
            </w:r>
            <w:proofErr w:type="gramEnd"/>
            <w:r w:rsidRPr="00BB0B05">
              <w:t xml:space="preserve"> de la Oficina de Desarrollo de las Telecomunicaciones;</w:t>
            </w:r>
          </w:p>
          <w:p w14:paraId="6B55D811" w14:textId="40FA17F9" w:rsidR="003C4201" w:rsidRPr="00BB0B05" w:rsidRDefault="003C4201" w:rsidP="003C4201">
            <w:pPr>
              <w:tabs>
                <w:tab w:val="clear" w:pos="794"/>
                <w:tab w:val="clear" w:pos="1191"/>
                <w:tab w:val="clear" w:pos="1588"/>
                <w:tab w:val="clear" w:pos="1985"/>
                <w:tab w:val="left" w:pos="226"/>
                <w:tab w:val="left" w:pos="284"/>
                <w:tab w:val="left" w:pos="510"/>
              </w:tabs>
              <w:spacing w:before="0"/>
              <w:ind w:left="226" w:hanging="169"/>
            </w:pPr>
            <w:r w:rsidRPr="00BB0B05">
              <w:t>–</w:t>
            </w:r>
            <w:r w:rsidRPr="00BB0B05">
              <w:tab/>
            </w:r>
            <w:r w:rsidRPr="00BB0B05">
              <w:tab/>
              <w:t xml:space="preserve">al </w:t>
            </w:r>
            <w:proofErr w:type="gramStart"/>
            <w:r w:rsidRPr="00BB0B05">
              <w:t>Director</w:t>
            </w:r>
            <w:proofErr w:type="gramEnd"/>
            <w:r w:rsidRPr="00BB0B05">
              <w:t xml:space="preserve"> de la Oficina de Radiocomunicaciones</w:t>
            </w:r>
          </w:p>
        </w:tc>
      </w:tr>
      <w:tr w:rsidR="00690FBF" w:rsidRPr="00BB0B05" w14:paraId="73D8BC97" w14:textId="77777777" w:rsidTr="003C4201">
        <w:trPr>
          <w:gridAfter w:val="1"/>
          <w:wAfter w:w="8" w:type="dxa"/>
          <w:cantSplit/>
        </w:trPr>
        <w:tc>
          <w:tcPr>
            <w:tcW w:w="1224" w:type="dxa"/>
          </w:tcPr>
          <w:p w14:paraId="0D2B88B5" w14:textId="77777777" w:rsidR="00690FBF" w:rsidRPr="003C4201" w:rsidRDefault="00690FBF" w:rsidP="00A90C00">
            <w:pPr>
              <w:tabs>
                <w:tab w:val="left" w:pos="4111"/>
              </w:tabs>
              <w:spacing w:before="10"/>
              <w:ind w:left="57"/>
              <w:rPr>
                <w:b/>
                <w:bCs/>
                <w:sz w:val="22"/>
                <w:szCs w:val="22"/>
              </w:rPr>
            </w:pPr>
            <w:r w:rsidRPr="003C4201">
              <w:rPr>
                <w:b/>
                <w:bCs/>
                <w:sz w:val="22"/>
                <w:szCs w:val="22"/>
              </w:rPr>
              <w:t>Tel.:</w:t>
            </w:r>
          </w:p>
        </w:tc>
        <w:tc>
          <w:tcPr>
            <w:tcW w:w="3884" w:type="dxa"/>
            <w:gridSpan w:val="3"/>
          </w:tcPr>
          <w:p w14:paraId="5A28427F" w14:textId="77777777" w:rsidR="00690FBF" w:rsidRPr="003C4201" w:rsidRDefault="00690FBF" w:rsidP="00A90C00">
            <w:pPr>
              <w:tabs>
                <w:tab w:val="left" w:pos="4111"/>
              </w:tabs>
              <w:spacing w:before="0"/>
              <w:ind w:left="130" w:hanging="130"/>
              <w:rPr>
                <w:rStyle w:val="Hyperlink"/>
                <w:sz w:val="22"/>
                <w:szCs w:val="22"/>
              </w:rPr>
            </w:pPr>
            <w:r w:rsidRPr="003C4201">
              <w:rPr>
                <w:sz w:val="22"/>
                <w:szCs w:val="22"/>
              </w:rPr>
              <w:t>+41 22 730 6206</w:t>
            </w:r>
          </w:p>
        </w:tc>
        <w:tc>
          <w:tcPr>
            <w:tcW w:w="5188" w:type="dxa"/>
            <w:vMerge/>
          </w:tcPr>
          <w:p w14:paraId="558BEB8F" w14:textId="77777777" w:rsidR="00690FBF" w:rsidRPr="00BB0B05" w:rsidRDefault="00690FBF" w:rsidP="00A90C00">
            <w:pPr>
              <w:tabs>
                <w:tab w:val="left" w:pos="284"/>
                <w:tab w:val="left" w:pos="4111"/>
              </w:tabs>
              <w:spacing w:before="0"/>
              <w:rPr>
                <w:b/>
              </w:rPr>
            </w:pPr>
          </w:p>
        </w:tc>
      </w:tr>
      <w:tr w:rsidR="00690FBF" w:rsidRPr="00BB0B05" w14:paraId="04AAF9E2" w14:textId="77777777" w:rsidTr="003C4201">
        <w:trPr>
          <w:gridAfter w:val="1"/>
          <w:wAfter w:w="8" w:type="dxa"/>
          <w:cantSplit/>
          <w:trHeight w:val="2916"/>
        </w:trPr>
        <w:tc>
          <w:tcPr>
            <w:tcW w:w="1224" w:type="dxa"/>
          </w:tcPr>
          <w:p w14:paraId="671584A0" w14:textId="77777777" w:rsidR="00690FBF" w:rsidRPr="003C4201" w:rsidRDefault="00690FBF" w:rsidP="00A90C00">
            <w:pPr>
              <w:tabs>
                <w:tab w:val="left" w:pos="4111"/>
              </w:tabs>
              <w:spacing w:before="10"/>
              <w:ind w:left="57"/>
              <w:rPr>
                <w:b/>
                <w:bCs/>
                <w:sz w:val="22"/>
                <w:szCs w:val="22"/>
              </w:rPr>
            </w:pPr>
            <w:r w:rsidRPr="003C4201">
              <w:rPr>
                <w:b/>
                <w:bCs/>
                <w:sz w:val="22"/>
                <w:szCs w:val="22"/>
              </w:rPr>
              <w:t>Fax:</w:t>
            </w:r>
          </w:p>
          <w:p w14:paraId="5CC7DF6B" w14:textId="3F8DE5DC" w:rsidR="003C4201" w:rsidRPr="003C4201" w:rsidRDefault="003C4201" w:rsidP="00A90C00">
            <w:pPr>
              <w:tabs>
                <w:tab w:val="left" w:pos="4111"/>
              </w:tabs>
              <w:spacing w:before="10"/>
              <w:ind w:left="57"/>
              <w:rPr>
                <w:b/>
                <w:bCs/>
                <w:sz w:val="22"/>
                <w:szCs w:val="22"/>
              </w:rPr>
            </w:pPr>
            <w:r w:rsidRPr="003C4201">
              <w:rPr>
                <w:b/>
                <w:bCs/>
                <w:sz w:val="22"/>
                <w:szCs w:val="22"/>
              </w:rPr>
              <w:t>Correo-e:</w:t>
            </w:r>
          </w:p>
        </w:tc>
        <w:tc>
          <w:tcPr>
            <w:tcW w:w="3884" w:type="dxa"/>
            <w:gridSpan w:val="3"/>
          </w:tcPr>
          <w:p w14:paraId="4ABBC058" w14:textId="77777777" w:rsidR="00690FBF" w:rsidRPr="003C4201" w:rsidRDefault="00690FBF" w:rsidP="00A90C00">
            <w:pPr>
              <w:tabs>
                <w:tab w:val="left" w:pos="4111"/>
              </w:tabs>
              <w:spacing w:before="0"/>
              <w:ind w:left="130" w:hanging="130"/>
              <w:rPr>
                <w:sz w:val="22"/>
                <w:szCs w:val="22"/>
              </w:rPr>
            </w:pPr>
            <w:r w:rsidRPr="003C4201">
              <w:rPr>
                <w:sz w:val="22"/>
                <w:szCs w:val="22"/>
              </w:rPr>
              <w:t>+41 22 730 5853</w:t>
            </w:r>
          </w:p>
          <w:p w14:paraId="7AD301BB" w14:textId="3C4EEC3C" w:rsidR="003C4201" w:rsidRPr="003C4201" w:rsidRDefault="003C4201" w:rsidP="00A90C00">
            <w:pPr>
              <w:tabs>
                <w:tab w:val="left" w:pos="4111"/>
              </w:tabs>
              <w:spacing w:before="0"/>
              <w:ind w:left="130" w:hanging="130"/>
              <w:rPr>
                <w:rStyle w:val="Hyperlink"/>
                <w:sz w:val="22"/>
                <w:szCs w:val="22"/>
              </w:rPr>
            </w:pPr>
            <w:hyperlink r:id="rId9" w:history="1">
              <w:r w:rsidRPr="003C4201">
                <w:rPr>
                  <w:rStyle w:val="Hyperlink"/>
                  <w:sz w:val="22"/>
                  <w:szCs w:val="22"/>
                </w:rPr>
                <w:t>tsbsg17@itu.int</w:t>
              </w:r>
            </w:hyperlink>
          </w:p>
        </w:tc>
        <w:tc>
          <w:tcPr>
            <w:tcW w:w="5188" w:type="dxa"/>
            <w:vMerge/>
          </w:tcPr>
          <w:p w14:paraId="0BF6586D" w14:textId="77777777" w:rsidR="00690FBF" w:rsidRPr="00BB0B05" w:rsidRDefault="00690FBF" w:rsidP="00A90C00">
            <w:pPr>
              <w:tabs>
                <w:tab w:val="left" w:pos="284"/>
                <w:tab w:val="left" w:pos="4111"/>
              </w:tabs>
              <w:spacing w:before="0"/>
              <w:rPr>
                <w:b/>
              </w:rPr>
            </w:pPr>
          </w:p>
        </w:tc>
      </w:tr>
      <w:tr w:rsidR="00690FBF" w:rsidRPr="00BB0B05" w14:paraId="2CFA900C" w14:textId="77777777" w:rsidTr="003C4201">
        <w:trPr>
          <w:cantSplit/>
        </w:trPr>
        <w:tc>
          <w:tcPr>
            <w:tcW w:w="1224" w:type="dxa"/>
          </w:tcPr>
          <w:p w14:paraId="6F156EBC" w14:textId="77777777" w:rsidR="00690FBF" w:rsidRPr="00BB0B05" w:rsidRDefault="00690FBF" w:rsidP="00A90C00">
            <w:pPr>
              <w:tabs>
                <w:tab w:val="left" w:pos="4111"/>
              </w:tabs>
              <w:spacing w:before="240" w:after="120"/>
              <w:ind w:left="57"/>
              <w:rPr>
                <w:b/>
                <w:bCs/>
                <w:sz w:val="22"/>
              </w:rPr>
            </w:pPr>
            <w:r w:rsidRPr="00BB0B05">
              <w:rPr>
                <w:rFonts w:ascii="Calibri" w:hAnsi="Calibri"/>
                <w:b/>
              </w:rPr>
              <w:t>Asunto</w:t>
            </w:r>
            <w:r w:rsidRPr="00BB0B05">
              <w:rPr>
                <w:b/>
                <w:bCs/>
                <w:sz w:val="22"/>
              </w:rPr>
              <w:t>:</w:t>
            </w:r>
          </w:p>
        </w:tc>
        <w:tc>
          <w:tcPr>
            <w:tcW w:w="9080" w:type="dxa"/>
            <w:gridSpan w:val="5"/>
          </w:tcPr>
          <w:p w14:paraId="24460355" w14:textId="744929B4" w:rsidR="00690FBF" w:rsidRPr="00BB0B05" w:rsidRDefault="00D21AC6" w:rsidP="003F7FB7">
            <w:pPr>
              <w:tabs>
                <w:tab w:val="left" w:pos="4111"/>
              </w:tabs>
              <w:spacing w:before="240" w:after="120"/>
              <w:ind w:left="57"/>
              <w:rPr>
                <w:b/>
              </w:rPr>
            </w:pPr>
            <w:r w:rsidRPr="00BB0B05">
              <w:rPr>
                <w:b/>
                <w:bCs/>
              </w:rPr>
              <w:t xml:space="preserve">Consulta a los Estados Miembros sobre los proyectos determinados de </w:t>
            </w:r>
            <w:r w:rsidR="00510502" w:rsidRPr="00BB0B05">
              <w:rPr>
                <w:b/>
                <w:bCs/>
              </w:rPr>
              <w:t xml:space="preserve">revisión de las </w:t>
            </w:r>
            <w:r w:rsidRPr="00BB0B05">
              <w:rPr>
                <w:b/>
                <w:bCs/>
              </w:rPr>
              <w:t>Recomendaciones</w:t>
            </w:r>
            <w:r w:rsidRPr="00BB0B05">
              <w:rPr>
                <w:rFonts w:ascii="Calibri" w:hAnsi="Calibri"/>
                <w:b/>
              </w:rPr>
              <w:t xml:space="preserve"> </w:t>
            </w:r>
            <w:r w:rsidR="00510502" w:rsidRPr="00BB0B05">
              <w:rPr>
                <w:rFonts w:ascii="Calibri" w:hAnsi="Calibri"/>
                <w:b/>
              </w:rPr>
              <w:t>U</w:t>
            </w:r>
            <w:r w:rsidR="00690FBF" w:rsidRPr="00BB0B05">
              <w:rPr>
                <w:rFonts w:ascii="Calibri" w:hAnsi="Calibri"/>
                <w:b/>
              </w:rPr>
              <w:t>I</w:t>
            </w:r>
            <w:r w:rsidR="007A776A" w:rsidRPr="00BB0B05">
              <w:rPr>
                <w:rFonts w:ascii="Calibri" w:hAnsi="Calibri"/>
                <w:b/>
              </w:rPr>
              <w:t>T</w:t>
            </w:r>
            <w:r w:rsidR="00690FBF" w:rsidRPr="00BB0B05">
              <w:rPr>
                <w:rFonts w:ascii="Calibri" w:hAnsi="Calibri"/>
                <w:b/>
              </w:rPr>
              <w:t>-T X.1054</w:t>
            </w:r>
            <w:r w:rsidR="00510502" w:rsidRPr="00BB0B05">
              <w:rPr>
                <w:rFonts w:ascii="Calibri" w:hAnsi="Calibri"/>
                <w:b/>
              </w:rPr>
              <w:t xml:space="preserve"> y</w:t>
            </w:r>
            <w:r w:rsidR="00690FBF" w:rsidRPr="00BB0B05">
              <w:rPr>
                <w:rFonts w:ascii="Calibri" w:hAnsi="Calibri"/>
                <w:b/>
              </w:rPr>
              <w:t xml:space="preserve"> X.1254 </w:t>
            </w:r>
            <w:r w:rsidR="00510502" w:rsidRPr="00BB0B05">
              <w:rPr>
                <w:rFonts w:ascii="Calibri" w:hAnsi="Calibri"/>
                <w:b/>
              </w:rPr>
              <w:t xml:space="preserve">y </w:t>
            </w:r>
            <w:r w:rsidR="00EA7492" w:rsidRPr="00BB0B05">
              <w:rPr>
                <w:rFonts w:ascii="Calibri" w:hAnsi="Calibri"/>
                <w:b/>
              </w:rPr>
              <w:t>p</w:t>
            </w:r>
            <w:r w:rsidR="00510502" w:rsidRPr="00BB0B05">
              <w:rPr>
                <w:rFonts w:ascii="Calibri" w:hAnsi="Calibri"/>
                <w:b/>
              </w:rPr>
              <w:t>royecto</w:t>
            </w:r>
            <w:r w:rsidR="00EA7492" w:rsidRPr="00BB0B05">
              <w:rPr>
                <w:rFonts w:ascii="Calibri" w:hAnsi="Calibri"/>
                <w:b/>
              </w:rPr>
              <w:t>s</w:t>
            </w:r>
            <w:r w:rsidR="00510502" w:rsidRPr="00BB0B05">
              <w:rPr>
                <w:rFonts w:ascii="Calibri" w:hAnsi="Calibri"/>
                <w:b/>
              </w:rPr>
              <w:t xml:space="preserve"> de nueva Reco</w:t>
            </w:r>
            <w:r w:rsidR="00EA7492" w:rsidRPr="00BB0B05">
              <w:rPr>
                <w:rFonts w:ascii="Calibri" w:hAnsi="Calibri"/>
                <w:b/>
              </w:rPr>
              <w:t>mendaci</w:t>
            </w:r>
            <w:r w:rsidR="007A776A" w:rsidRPr="00BB0B05">
              <w:rPr>
                <w:rFonts w:ascii="Calibri" w:hAnsi="Calibri"/>
                <w:b/>
              </w:rPr>
              <w:t>ón</w:t>
            </w:r>
            <w:r w:rsidR="00EA7492" w:rsidRPr="00BB0B05">
              <w:rPr>
                <w:rFonts w:ascii="Calibri" w:hAnsi="Calibri"/>
                <w:b/>
              </w:rPr>
              <w:t xml:space="preserve"> U</w:t>
            </w:r>
            <w:r w:rsidR="00690FBF" w:rsidRPr="00BB0B05">
              <w:rPr>
                <w:rFonts w:ascii="Calibri" w:hAnsi="Calibri"/>
                <w:b/>
              </w:rPr>
              <w:t xml:space="preserve">IT-T X.1148 (X.fdip), X.1216 (X.gcpie), X.1279 (X.eaasd), X.1366 (X.amas-iot), X.1367 (X.elf-iot), X.1403 (X.dlt-sec), X.1606 (X.SRCaaS), X.1750 (X.GSBDaaS) </w:t>
            </w:r>
            <w:r w:rsidR="00055FD6" w:rsidRPr="00BB0B05">
              <w:rPr>
                <w:rFonts w:ascii="Calibri" w:hAnsi="Calibri"/>
                <w:b/>
              </w:rPr>
              <w:t>y</w:t>
            </w:r>
            <w:r w:rsidR="00690FBF" w:rsidRPr="00BB0B05">
              <w:rPr>
                <w:rFonts w:ascii="Calibri" w:hAnsi="Calibri"/>
                <w:b/>
              </w:rPr>
              <w:t xml:space="preserve"> X.1751 (X.sgtBD) </w:t>
            </w:r>
            <w:r w:rsidR="00055FD6" w:rsidRPr="00BB0B05">
              <w:rPr>
                <w:b/>
                <w:bCs/>
              </w:rPr>
              <w:t xml:space="preserve">propuestos para aprobación en la reunión de la Comisión de Estudio 17 del UIT-T </w:t>
            </w:r>
            <w:r w:rsidR="00690FBF" w:rsidRPr="00BB0B05">
              <w:rPr>
                <w:rFonts w:ascii="Calibri" w:hAnsi="Calibri"/>
                <w:b/>
              </w:rPr>
              <w:t>(</w:t>
            </w:r>
            <w:r w:rsidR="003F7FB7" w:rsidRPr="00BB0B05">
              <w:rPr>
                <w:rFonts w:ascii="Calibri" w:hAnsi="Calibri"/>
                <w:b/>
              </w:rPr>
              <w:t>virtual</w:t>
            </w:r>
            <w:r w:rsidR="00690FBF" w:rsidRPr="00BB0B05">
              <w:rPr>
                <w:rFonts w:ascii="Calibri" w:hAnsi="Calibri"/>
                <w:b/>
              </w:rPr>
              <w:t>,</w:t>
            </w:r>
            <w:r w:rsidR="003F7FB7">
              <w:rPr>
                <w:rFonts w:ascii="Calibri" w:hAnsi="Calibri"/>
                <w:b/>
              </w:rPr>
              <w:t> </w:t>
            </w:r>
            <w:r w:rsidR="00055FD6" w:rsidRPr="00BB0B05">
              <w:rPr>
                <w:rFonts w:ascii="Calibri" w:hAnsi="Calibri"/>
                <w:b/>
              </w:rPr>
              <w:t>agosto</w:t>
            </w:r>
            <w:r w:rsidR="00690FBF" w:rsidRPr="00BB0B05">
              <w:rPr>
                <w:rFonts w:ascii="Calibri" w:hAnsi="Calibri"/>
                <w:b/>
              </w:rPr>
              <w:t>/</w:t>
            </w:r>
            <w:r w:rsidR="00055FD6" w:rsidRPr="00BB0B05">
              <w:rPr>
                <w:rFonts w:ascii="Calibri" w:hAnsi="Calibri"/>
                <w:b/>
              </w:rPr>
              <w:t xml:space="preserve">septiembre de </w:t>
            </w:r>
            <w:r w:rsidR="00690FBF" w:rsidRPr="00BB0B05">
              <w:rPr>
                <w:rFonts w:ascii="Calibri" w:hAnsi="Calibri"/>
                <w:b/>
              </w:rPr>
              <w:t>2020)</w:t>
            </w:r>
          </w:p>
        </w:tc>
      </w:tr>
    </w:tbl>
    <w:p w14:paraId="2374F0BB" w14:textId="5F2E65B0" w:rsidR="00690FBF" w:rsidRPr="00BB0B05" w:rsidRDefault="00690FBF" w:rsidP="00A90C00">
      <w:pPr>
        <w:spacing w:before="320"/>
      </w:pPr>
      <w:r w:rsidRPr="00BB0B05">
        <w:t>Muy Señora mía/Muy Señor mío</w:t>
      </w:r>
      <w:r w:rsidR="003C4201">
        <w:t>,</w:t>
      </w:r>
    </w:p>
    <w:p w14:paraId="367B105D" w14:textId="5BA1265C" w:rsidR="00C86CD7" w:rsidRPr="00BB0B05" w:rsidRDefault="00C86CD7" w:rsidP="00C86CD7">
      <w:r w:rsidRPr="00BB0B05">
        <w:rPr>
          <w:bCs/>
        </w:rPr>
        <w:t>1</w:t>
      </w:r>
      <w:r w:rsidRPr="00BB0B05">
        <w:tab/>
      </w:r>
      <w:proofErr w:type="gramStart"/>
      <w:r w:rsidRPr="00BB0B05">
        <w:t>La</w:t>
      </w:r>
      <w:proofErr w:type="gramEnd"/>
      <w:r w:rsidRPr="00BB0B05">
        <w:t xml:space="preserve"> Comisión de Estudio 17 (</w:t>
      </w:r>
      <w:r w:rsidRPr="00BB0B05">
        <w:rPr>
          <w:i/>
          <w:iCs/>
        </w:rPr>
        <w:t>Seguridad</w:t>
      </w:r>
      <w:r w:rsidRPr="00BB0B05">
        <w:t xml:space="preserve">) tiene previsto aplicar el procedimiento de aprobación tradicional descrito en la Sección 9 de la Resolución 1 (Rev. Hammamet, 2016) de la AMNT a efectos de la aprobación de los citados </w:t>
      </w:r>
      <w:r w:rsidR="007011DA" w:rsidRPr="00BB0B05">
        <w:t xml:space="preserve">11 </w:t>
      </w:r>
      <w:r w:rsidRPr="00BB0B05">
        <w:t xml:space="preserve">proyectos durante la próxima reunión </w:t>
      </w:r>
      <w:r w:rsidR="007011DA" w:rsidRPr="00BB0B05">
        <w:t xml:space="preserve">virtual </w:t>
      </w:r>
      <w:r w:rsidRPr="00BB0B05">
        <w:t xml:space="preserve">que </w:t>
      </w:r>
      <w:r w:rsidR="007011DA" w:rsidRPr="00BB0B05">
        <w:t xml:space="preserve">tendrá lugar </w:t>
      </w:r>
      <w:r w:rsidR="00AF10C1" w:rsidRPr="00BB0B05">
        <w:t xml:space="preserve">entre agosto y septiembre </w:t>
      </w:r>
      <w:r w:rsidRPr="00BB0B05">
        <w:t>de 2020. El orden del día y toda la información pertinente sobre la reunión de la Comisión de Estudio 17 del UIT-T figuran en la Carta Colectiva </w:t>
      </w:r>
      <w:r w:rsidR="00AF10C1" w:rsidRPr="00BB0B05">
        <w:t>9</w:t>
      </w:r>
      <w:r w:rsidRPr="00BB0B05">
        <w:t>/17.</w:t>
      </w:r>
    </w:p>
    <w:p w14:paraId="43664FE6" w14:textId="68A4DDAB" w:rsidR="00690FBF" w:rsidRPr="00BB0B05" w:rsidRDefault="00690FBF" w:rsidP="00A90C00">
      <w:pPr>
        <w:spacing w:before="100"/>
        <w:rPr>
          <w:rFonts w:cstheme="minorHAnsi"/>
          <w:szCs w:val="22"/>
        </w:rPr>
      </w:pPr>
      <w:r w:rsidRPr="00BB0B05">
        <w:rPr>
          <w:rFonts w:cstheme="minorHAnsi"/>
          <w:bCs/>
          <w:szCs w:val="22"/>
        </w:rPr>
        <w:t>2</w:t>
      </w:r>
      <w:r w:rsidRPr="00BB0B05">
        <w:rPr>
          <w:rFonts w:cstheme="minorHAnsi"/>
          <w:szCs w:val="22"/>
        </w:rPr>
        <w:tab/>
      </w:r>
      <w:r w:rsidR="00BB0CBA" w:rsidRPr="00BB0B05">
        <w:t xml:space="preserve">El </w:t>
      </w:r>
      <w:r w:rsidR="00BB0CBA" w:rsidRPr="00BB0B05">
        <w:rPr>
          <w:b/>
          <w:bCs/>
        </w:rPr>
        <w:t xml:space="preserve">Anexo 1 </w:t>
      </w:r>
      <w:r w:rsidR="00BB0CBA" w:rsidRPr="00BB0B05">
        <w:t xml:space="preserve">contiene los títulos, resúmenes y documentos de los proyectos de revisión y de nueva Recomendación UIT-T </w:t>
      </w:r>
      <w:r w:rsidRPr="00BB0B05">
        <w:rPr>
          <w:rFonts w:cstheme="minorHAnsi"/>
          <w:szCs w:val="22"/>
        </w:rPr>
        <w:t xml:space="preserve">X.1054, X.1148 (X.fdip), X.1216 (X.gcpie), X.1254, X.1279 (X.eaasd), X.1366 (X.amas-iot), X.1367 (X.elf-iot), X.1403 (X.dlt-sec), X.1606 (X.SRCaaS), X.1750 (X.GSBDaaS) </w:t>
      </w:r>
      <w:r w:rsidR="009315EC" w:rsidRPr="00BB0B05">
        <w:rPr>
          <w:rFonts w:cstheme="minorHAnsi"/>
          <w:szCs w:val="22"/>
        </w:rPr>
        <w:t>y</w:t>
      </w:r>
      <w:r w:rsidRPr="00BB0B05">
        <w:rPr>
          <w:rFonts w:cstheme="minorHAnsi"/>
          <w:szCs w:val="22"/>
        </w:rPr>
        <w:t xml:space="preserve"> X.1751 (X.sgtBD) </w:t>
      </w:r>
      <w:r w:rsidR="005F0DDF" w:rsidRPr="00BB0B05">
        <w:t>propuestos para aprobación</w:t>
      </w:r>
      <w:r w:rsidRPr="00BB0B05">
        <w:rPr>
          <w:rFonts w:cstheme="minorHAnsi"/>
          <w:szCs w:val="22"/>
        </w:rPr>
        <w:t>.</w:t>
      </w:r>
    </w:p>
    <w:p w14:paraId="0372F535" w14:textId="0B08E9D9" w:rsidR="00E31086" w:rsidRPr="00BB0B05" w:rsidRDefault="00E31086" w:rsidP="00E31086">
      <w:bookmarkStart w:id="1" w:name="lt_pId054"/>
      <w:r w:rsidRPr="00BB0B05">
        <w:t>3</w:t>
      </w:r>
      <w:r w:rsidRPr="00BB0B05">
        <w:tab/>
        <w:t xml:space="preserve">Con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sidRPr="00BB0B05">
        <w:rPr>
          <w:b/>
          <w:bCs/>
        </w:rPr>
        <w:t xml:space="preserve">Anexo 2 </w:t>
      </w:r>
      <w:r w:rsidRPr="00BB0B05">
        <w:t xml:space="preserve">antes de las 23.59 horas UTC del </w:t>
      </w:r>
      <w:r w:rsidR="00953CB2" w:rsidRPr="00BB0B05">
        <w:rPr>
          <w:b/>
          <w:bCs/>
        </w:rPr>
        <w:t>13</w:t>
      </w:r>
      <w:r w:rsidRPr="00BB0B05">
        <w:rPr>
          <w:b/>
          <w:bCs/>
        </w:rPr>
        <w:t xml:space="preserve"> de </w:t>
      </w:r>
      <w:r w:rsidR="00953CB2" w:rsidRPr="00BB0B05">
        <w:rPr>
          <w:b/>
          <w:bCs/>
        </w:rPr>
        <w:t xml:space="preserve">agosto </w:t>
      </w:r>
      <w:r w:rsidRPr="00BB0B05">
        <w:rPr>
          <w:b/>
          <w:bCs/>
        </w:rPr>
        <w:t>de 2020</w:t>
      </w:r>
      <w:r w:rsidRPr="00BB0B05">
        <w:t>.</w:t>
      </w:r>
    </w:p>
    <w:p w14:paraId="6C359CD0" w14:textId="77777777" w:rsidR="00E31086" w:rsidRPr="00BB0B05" w:rsidRDefault="00E31086" w:rsidP="00885B91">
      <w:pPr>
        <w:keepLines/>
      </w:pPr>
      <w:r w:rsidRPr="00BB0B05">
        <w:lastRenderedPageBreak/>
        <w:t>4</w:t>
      </w:r>
      <w:r w:rsidRPr="00BB0B05">
        <w:tab/>
        <w:t>Si el 70% como mínimo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de los trabajos.</w:t>
      </w:r>
    </w:p>
    <w:p w14:paraId="6F4703D9" w14:textId="77777777" w:rsidR="00DA40BF" w:rsidRPr="00BB0B05" w:rsidRDefault="00DA40BF" w:rsidP="00DA40BF">
      <w:pPr>
        <w:pStyle w:val="Note"/>
      </w:pPr>
      <w:r w:rsidRPr="00BB0B05">
        <w:t>NOTA 1 de la TSB – En el momento en que se publica la presente Circular, la TSB no había recibido declaración alguna en materia de derechos de propiedad intelectual en relación con estos proyectos de texto.</w:t>
      </w:r>
      <w:bookmarkEnd w:id="1"/>
      <w:r w:rsidRPr="00BB0B05">
        <w:t xml:space="preserve"> </w:t>
      </w:r>
      <w:bookmarkStart w:id="2" w:name="lt_pId055"/>
      <w:r w:rsidRPr="00BB0B05">
        <w:t xml:space="preserve">Para obtener información actualizada, se invita a los miembros a consultar la base de datos de DPI en la dirección </w:t>
      </w:r>
      <w:hyperlink r:id="rId10" w:history="1">
        <w:r w:rsidRPr="00BB0B05">
          <w:rPr>
            <w:rStyle w:val="Hyperlink"/>
          </w:rPr>
          <w:t>www.itu.int/ipr/</w:t>
        </w:r>
      </w:hyperlink>
      <w:r w:rsidRPr="00BB0B05">
        <w:t>.</w:t>
      </w:r>
      <w:bookmarkEnd w:id="2"/>
    </w:p>
    <w:p w14:paraId="126B8CAD" w14:textId="0B627ACF" w:rsidR="00DA40BF" w:rsidRPr="00BB0B05" w:rsidRDefault="00DA40BF" w:rsidP="00DA40BF">
      <w:pPr>
        <w:pStyle w:val="Note"/>
      </w:pPr>
      <w:bookmarkStart w:id="3" w:name="lt_pId056"/>
      <w:r w:rsidRPr="00BB0B05">
        <w:t>NOTA 2 de la TSB – No se ha preparado un documento justificativo de la Recomendación UIT</w:t>
      </w:r>
      <w:r w:rsidRPr="00BB0B05">
        <w:noBreakHyphen/>
        <w:t>T A.5 para los demás proyectos determinados de textos.</w:t>
      </w:r>
      <w:bookmarkEnd w:id="3"/>
    </w:p>
    <w:p w14:paraId="62F24D4E" w14:textId="6BB91EA4" w:rsidR="00690FBF" w:rsidRPr="00BB0B05" w:rsidRDefault="00885B91" w:rsidP="00A90C00">
      <w:pPr>
        <w:spacing w:before="200"/>
        <w:rPr>
          <w:rFonts w:cstheme="minorHAnsi"/>
        </w:rPr>
      </w:pPr>
      <w:r w:rsidRPr="00BB0B05">
        <w:rPr>
          <w:rFonts w:cstheme="minorHAnsi"/>
        </w:rPr>
        <w:t>Atentamente</w:t>
      </w:r>
      <w:r w:rsidR="00690FBF" w:rsidRPr="00BB0B05">
        <w:rPr>
          <w:rFonts w:cstheme="minorHAnsi"/>
        </w:rPr>
        <w:t>,</w:t>
      </w:r>
    </w:p>
    <w:p w14:paraId="1FB90E31" w14:textId="37D96A7F" w:rsidR="00690FBF" w:rsidRPr="00BB0B05" w:rsidRDefault="000A28E1" w:rsidP="003C4201">
      <w:pPr>
        <w:spacing w:before="1160" w:after="120"/>
      </w:pPr>
      <w:r>
        <w:rPr>
          <w:rFonts w:cstheme="minorHAnsi"/>
          <w:noProof/>
        </w:rPr>
        <w:drawing>
          <wp:anchor distT="0" distB="0" distL="114300" distR="114300" simplePos="0" relativeHeight="251658240" behindDoc="1" locked="0" layoutInCell="1" allowOverlap="1" wp14:anchorId="52276C9A" wp14:editId="39A27BCB">
            <wp:simplePos x="0" y="0"/>
            <wp:positionH relativeFrom="column">
              <wp:posOffset>5209</wp:posOffset>
            </wp:positionH>
            <wp:positionV relativeFrom="paragraph">
              <wp:posOffset>180340</wp:posOffset>
            </wp:positionV>
            <wp:extent cx="819150" cy="368930"/>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1">
                      <a:extLst>
                        <a:ext uri="{28A0092B-C50C-407E-A947-70E740481C1C}">
                          <a14:useLocalDpi xmlns:a14="http://schemas.microsoft.com/office/drawing/2010/main" val="0"/>
                        </a:ext>
                      </a:extLst>
                    </a:blip>
                    <a:stretch>
                      <a:fillRect/>
                    </a:stretch>
                  </pic:blipFill>
                  <pic:spPr>
                    <a:xfrm>
                      <a:off x="0" y="0"/>
                      <a:ext cx="819150" cy="368930"/>
                    </a:xfrm>
                    <a:prstGeom prst="rect">
                      <a:avLst/>
                    </a:prstGeom>
                  </pic:spPr>
                </pic:pic>
              </a:graphicData>
            </a:graphic>
            <wp14:sizeRelH relativeFrom="margin">
              <wp14:pctWidth>0</wp14:pctWidth>
            </wp14:sizeRelH>
            <wp14:sizeRelV relativeFrom="margin">
              <wp14:pctHeight>0</wp14:pctHeight>
            </wp14:sizeRelV>
          </wp:anchor>
        </w:drawing>
      </w:r>
      <w:r w:rsidR="00690FBF" w:rsidRPr="00BB0B05">
        <w:t>Chaesub Lee</w:t>
      </w:r>
      <w:r w:rsidR="00690FBF" w:rsidRPr="00BB0B05">
        <w:br/>
      </w:r>
      <w:proofErr w:type="gramStart"/>
      <w:r w:rsidR="00690FBF" w:rsidRPr="00BB0B05">
        <w:t>Director</w:t>
      </w:r>
      <w:proofErr w:type="gramEnd"/>
      <w:r w:rsidR="00690FBF" w:rsidRPr="00BB0B05">
        <w:t xml:space="preserve"> de la Oficina de </w:t>
      </w:r>
      <w:r w:rsidR="00690FBF" w:rsidRPr="00BB0B05">
        <w:br/>
        <w:t>Normalización de las Telecomunicaciones</w:t>
      </w:r>
    </w:p>
    <w:p w14:paraId="0F051F0C" w14:textId="77777777" w:rsidR="003C4201" w:rsidRDefault="003C4201" w:rsidP="00A90C00">
      <w:pPr>
        <w:rPr>
          <w:rFonts w:cstheme="minorHAnsi"/>
          <w:b/>
        </w:rPr>
      </w:pPr>
    </w:p>
    <w:p w14:paraId="4A169EB5" w14:textId="77777777" w:rsidR="003C4201" w:rsidRDefault="003C4201" w:rsidP="00A90C00">
      <w:pPr>
        <w:rPr>
          <w:rFonts w:cstheme="minorHAnsi"/>
          <w:b/>
        </w:rPr>
      </w:pPr>
    </w:p>
    <w:p w14:paraId="286317C1" w14:textId="77777777" w:rsidR="003C4201" w:rsidRDefault="003C4201" w:rsidP="00A90C00">
      <w:pPr>
        <w:rPr>
          <w:rFonts w:cstheme="minorHAnsi"/>
          <w:b/>
        </w:rPr>
      </w:pPr>
    </w:p>
    <w:p w14:paraId="19622F37" w14:textId="60D361FD" w:rsidR="00690FBF" w:rsidRPr="00BB0B05" w:rsidRDefault="00690FBF" w:rsidP="00A90C00">
      <w:pPr>
        <w:rPr>
          <w:rFonts w:cstheme="minorHAnsi"/>
        </w:rPr>
      </w:pPr>
      <w:r w:rsidRPr="00BB0B05">
        <w:rPr>
          <w:rFonts w:cstheme="minorHAnsi"/>
          <w:b/>
        </w:rPr>
        <w:t>Anex</w:t>
      </w:r>
      <w:r w:rsidR="00187E09" w:rsidRPr="00BB0B05">
        <w:rPr>
          <w:rFonts w:cstheme="minorHAnsi"/>
          <w:b/>
        </w:rPr>
        <w:t>o</w:t>
      </w:r>
      <w:r w:rsidRPr="00BB0B05">
        <w:rPr>
          <w:rFonts w:cstheme="minorHAnsi"/>
          <w:b/>
        </w:rPr>
        <w:t xml:space="preserve">s: </w:t>
      </w:r>
      <w:r w:rsidRPr="00BB0B05">
        <w:rPr>
          <w:rFonts w:cstheme="minorHAnsi"/>
        </w:rPr>
        <w:t>2</w:t>
      </w:r>
    </w:p>
    <w:p w14:paraId="5CB35C4E" w14:textId="741FB3B6" w:rsidR="00187E09" w:rsidRPr="00BB0B05" w:rsidRDefault="00187E09" w:rsidP="00A90C00">
      <w:pPr>
        <w:rPr>
          <w:rFonts w:cstheme="minorHAnsi"/>
        </w:rPr>
      </w:pPr>
    </w:p>
    <w:p w14:paraId="7F3E3A22" w14:textId="6E380170" w:rsidR="00187E09" w:rsidRPr="00BB0B05" w:rsidRDefault="00187E09" w:rsidP="00A90C00">
      <w:pPr>
        <w:rPr>
          <w:rFonts w:cstheme="minorHAnsi"/>
        </w:rPr>
      </w:pPr>
    </w:p>
    <w:p w14:paraId="759C27FC" w14:textId="77777777" w:rsidR="00187E09" w:rsidRPr="00BB0B05" w:rsidRDefault="00187E09" w:rsidP="00A90C00">
      <w:pPr>
        <w:rPr>
          <w:rFonts w:cstheme="minorHAnsi"/>
        </w:rPr>
      </w:pPr>
    </w:p>
    <w:p w14:paraId="6A0D168B" w14:textId="77777777" w:rsidR="00187E09" w:rsidRPr="00BB0B05" w:rsidRDefault="00187E09">
      <w:pPr>
        <w:tabs>
          <w:tab w:val="clear" w:pos="794"/>
          <w:tab w:val="clear" w:pos="1191"/>
          <w:tab w:val="clear" w:pos="1588"/>
          <w:tab w:val="clear" w:pos="1985"/>
        </w:tabs>
        <w:overflowPunct/>
        <w:autoSpaceDE/>
        <w:autoSpaceDN/>
        <w:adjustRightInd/>
        <w:spacing w:before="0"/>
        <w:textAlignment w:val="auto"/>
        <w:rPr>
          <w:b/>
          <w:sz w:val="28"/>
        </w:rPr>
      </w:pPr>
      <w:bookmarkStart w:id="4" w:name="lt_pId071"/>
      <w:r w:rsidRPr="00BB0B05">
        <w:br w:type="page"/>
      </w:r>
    </w:p>
    <w:p w14:paraId="0C940849" w14:textId="08456A56" w:rsidR="00690FBF" w:rsidRPr="00BB0B05" w:rsidRDefault="00690FBF" w:rsidP="00A90C00">
      <w:pPr>
        <w:pStyle w:val="AnnexNotitle"/>
        <w:rPr>
          <w:rFonts w:cstheme="minorHAnsi"/>
        </w:rPr>
      </w:pPr>
      <w:r w:rsidRPr="00BB0B05">
        <w:lastRenderedPageBreak/>
        <w:t>ANEXO</w:t>
      </w:r>
      <w:r w:rsidRPr="00BB0B05">
        <w:rPr>
          <w:rFonts w:cstheme="minorHAnsi"/>
        </w:rPr>
        <w:t xml:space="preserve"> 1</w:t>
      </w:r>
      <w:bookmarkEnd w:id="4"/>
    </w:p>
    <w:p w14:paraId="260E9FB4" w14:textId="11C778E3" w:rsidR="00690FBF" w:rsidRPr="00BB0B05" w:rsidRDefault="00690FBF" w:rsidP="00A90C00">
      <w:pPr>
        <w:pStyle w:val="Annextitle0"/>
        <w:rPr>
          <w:rFonts w:asciiTheme="minorHAnsi" w:hAnsiTheme="minorHAnsi" w:cstheme="minorHAnsi"/>
          <w:szCs w:val="22"/>
          <w:lang w:val="es-ES_tradnl"/>
        </w:rPr>
      </w:pPr>
      <w:r w:rsidRPr="00BB0B05">
        <w:rPr>
          <w:rFonts w:asciiTheme="minorHAnsi" w:hAnsiTheme="minorHAnsi" w:cstheme="minorHAnsi"/>
          <w:szCs w:val="22"/>
          <w:lang w:val="es-ES_tradnl"/>
        </w:rPr>
        <w:t xml:space="preserve">Resumen y ubicación de los proyectos determinados de </w:t>
      </w:r>
      <w:r w:rsidRPr="00BB0B05">
        <w:rPr>
          <w:rFonts w:asciiTheme="minorHAnsi" w:hAnsiTheme="minorHAnsi" w:cstheme="minorHAnsi"/>
          <w:szCs w:val="22"/>
          <w:lang w:val="es-ES_tradnl"/>
        </w:rPr>
        <w:br/>
        <w:t>Recomendaciones</w:t>
      </w:r>
      <w:r w:rsidR="00187E09" w:rsidRPr="00BB0B05">
        <w:rPr>
          <w:rFonts w:asciiTheme="minorHAnsi" w:hAnsiTheme="minorHAnsi" w:cstheme="minorHAnsi"/>
          <w:szCs w:val="22"/>
          <w:lang w:val="es-ES_tradnl"/>
        </w:rPr>
        <w:t xml:space="preserve"> UIT-T</w:t>
      </w:r>
      <w:r w:rsidRPr="00BB0B05">
        <w:rPr>
          <w:rFonts w:cs="Calibri"/>
          <w:color w:val="800000"/>
          <w:sz w:val="22"/>
          <w:szCs w:val="22"/>
          <w:lang w:val="es-ES_tradnl"/>
        </w:rPr>
        <w:t xml:space="preserve"> </w:t>
      </w:r>
      <w:bookmarkStart w:id="5" w:name="lt_pId073"/>
      <w:r w:rsidRPr="00BB0B05">
        <w:rPr>
          <w:rFonts w:asciiTheme="minorHAnsi" w:hAnsiTheme="minorHAnsi" w:cstheme="minorHAnsi"/>
          <w:szCs w:val="22"/>
          <w:lang w:val="es-ES_tradnl"/>
        </w:rPr>
        <w:t>X.1054, X.1148 (X.fdip), X.1216 (X.gcpie),</w:t>
      </w:r>
      <w:r w:rsidR="007115BA" w:rsidRPr="00BB0B05">
        <w:rPr>
          <w:rFonts w:asciiTheme="minorHAnsi" w:hAnsiTheme="minorHAnsi" w:cstheme="minorHAnsi"/>
          <w:szCs w:val="22"/>
          <w:lang w:val="es-ES_tradnl"/>
        </w:rPr>
        <w:br/>
      </w:r>
      <w:r w:rsidRPr="00BB0B05">
        <w:rPr>
          <w:rFonts w:asciiTheme="minorHAnsi" w:hAnsiTheme="minorHAnsi" w:cstheme="minorHAnsi"/>
          <w:szCs w:val="22"/>
          <w:lang w:val="es-ES_tradnl"/>
        </w:rPr>
        <w:t>X.1254, X.1279 (X.eaasd), X.1366 (X.amas-iot), X.1367 (X.elf-iot),</w:t>
      </w:r>
      <w:r w:rsidR="007115BA" w:rsidRPr="00BB0B05">
        <w:rPr>
          <w:rFonts w:asciiTheme="minorHAnsi" w:hAnsiTheme="minorHAnsi" w:cstheme="minorHAnsi"/>
          <w:szCs w:val="22"/>
          <w:lang w:val="es-ES_tradnl"/>
        </w:rPr>
        <w:br/>
      </w:r>
      <w:r w:rsidRPr="00BB0B05">
        <w:rPr>
          <w:rFonts w:asciiTheme="minorHAnsi" w:hAnsiTheme="minorHAnsi" w:cstheme="minorHAnsi"/>
          <w:szCs w:val="22"/>
          <w:lang w:val="es-ES_tradnl"/>
        </w:rPr>
        <w:t>X.1403 (X.dlt-sec), X.1606 (X.SRCaaS), X.1750 (X.GSBDaaS)</w:t>
      </w:r>
      <w:r w:rsidR="007115BA" w:rsidRPr="00BB0B05">
        <w:rPr>
          <w:rFonts w:asciiTheme="minorHAnsi" w:hAnsiTheme="minorHAnsi" w:cstheme="minorHAnsi"/>
          <w:szCs w:val="22"/>
          <w:lang w:val="es-ES_tradnl"/>
        </w:rPr>
        <w:br/>
      </w:r>
      <w:r w:rsidRPr="00BB0B05">
        <w:rPr>
          <w:rFonts w:asciiTheme="minorHAnsi" w:hAnsiTheme="minorHAnsi" w:cstheme="minorHAnsi"/>
          <w:szCs w:val="22"/>
          <w:lang w:val="es-ES_tradnl"/>
        </w:rPr>
        <w:t>y X.1751 (X.sgtBD)</w:t>
      </w:r>
      <w:bookmarkEnd w:id="5"/>
    </w:p>
    <w:p w14:paraId="2D338456" w14:textId="65A878DB" w:rsidR="00690FBF" w:rsidRPr="00BB0B05" w:rsidRDefault="00885B91" w:rsidP="00885B91">
      <w:pPr>
        <w:pStyle w:val="Heading1"/>
      </w:pPr>
      <w:bookmarkStart w:id="6" w:name="lt_pId074"/>
      <w:r w:rsidRPr="00BB0B05">
        <w:t>1</w:t>
      </w:r>
      <w:r w:rsidRPr="00BB0B05">
        <w:tab/>
      </w:r>
      <w:r w:rsidR="00661402" w:rsidRPr="00BB0B05">
        <w:t xml:space="preserve">Proyecto de </w:t>
      </w:r>
      <w:r w:rsidR="00210E8A" w:rsidRPr="00BB0B05">
        <w:t>revisión</w:t>
      </w:r>
      <w:r w:rsidR="00661402" w:rsidRPr="00BB0B05">
        <w:t xml:space="preserve"> de la Recomendación U</w:t>
      </w:r>
      <w:r w:rsidR="00690FBF" w:rsidRPr="00BB0B05">
        <w:t xml:space="preserve">IT-T X.1054 </w:t>
      </w:r>
      <w:bookmarkEnd w:id="6"/>
      <w:r w:rsidR="007115BA" w:rsidRPr="00BB0B05">
        <w:t>[</w:t>
      </w:r>
      <w:hyperlink r:id="rId12" w:history="1">
        <w:r w:rsidR="007115BA" w:rsidRPr="00BB0B05">
          <w:rPr>
            <w:rStyle w:val="Hyperlink"/>
            <w:rFonts w:cstheme="minorHAnsi"/>
            <w:szCs w:val="22"/>
          </w:rPr>
          <w:t>R056</w:t>
        </w:r>
      </w:hyperlink>
      <w:r w:rsidR="007115BA" w:rsidRPr="00BB0B05">
        <w:rPr>
          <w:rFonts w:cstheme="minorHAnsi"/>
        </w:rPr>
        <w:t>]</w:t>
      </w:r>
    </w:p>
    <w:p w14:paraId="2C6894E9" w14:textId="5C9DB288" w:rsidR="00690FBF" w:rsidRPr="00BB0B05" w:rsidRDefault="00521FCF" w:rsidP="00885B91">
      <w:pPr>
        <w:pStyle w:val="Headingb0"/>
      </w:pPr>
      <w:bookmarkStart w:id="7" w:name="lt_pId075"/>
      <w:r w:rsidRPr="00BB0B05">
        <w:t>Seguridad de la información</w:t>
      </w:r>
      <w:r w:rsidR="00690FBF" w:rsidRPr="00BB0B05">
        <w:t xml:space="preserve">, </w:t>
      </w:r>
      <w:r w:rsidR="00661402" w:rsidRPr="00BB0B05">
        <w:t>ciberseguridad y protección de la privacidad</w:t>
      </w:r>
      <w:r w:rsidR="00690FBF" w:rsidRPr="00BB0B05">
        <w:t xml:space="preserve"> </w:t>
      </w:r>
      <w:r w:rsidR="00661402" w:rsidRPr="00BB0B05">
        <w:t>–</w:t>
      </w:r>
      <w:r w:rsidR="00690FBF" w:rsidRPr="00BB0B05">
        <w:t xml:space="preserve"> </w:t>
      </w:r>
      <w:r w:rsidR="00661402" w:rsidRPr="00BB0B05">
        <w:t xml:space="preserve">Gobernanza de la seguridad de la información </w:t>
      </w:r>
      <w:bookmarkEnd w:id="7"/>
    </w:p>
    <w:p w14:paraId="432574ED" w14:textId="19531AFD" w:rsidR="00690FBF" w:rsidRPr="00BB0B05" w:rsidRDefault="00210E8A" w:rsidP="00885B91">
      <w:pPr>
        <w:pStyle w:val="Headingb0"/>
      </w:pPr>
      <w:r w:rsidRPr="00BB0B05">
        <w:t>Resumen</w:t>
      </w:r>
    </w:p>
    <w:p w14:paraId="28E93AC5" w14:textId="77777777" w:rsidR="00EF1BCB" w:rsidRPr="00BB0B05" w:rsidRDefault="00EF1BCB" w:rsidP="00EF1BCB">
      <w:bookmarkStart w:id="8" w:name="lt_pId079"/>
      <w:r w:rsidRPr="00BB0B05">
        <w:t>La seguridad de la información es una cuestión fundamental para las organizaciones, sobre todo por los rápidos adelantos en las metodologías y tecnologías de ataque y el consecuente aumento de la presión reglamentaria.</w:t>
      </w:r>
    </w:p>
    <w:p w14:paraId="16805CE1" w14:textId="6CFB3E69" w:rsidR="00EF1BCB" w:rsidRPr="00BB0B05" w:rsidRDefault="00B1186C" w:rsidP="00EF1BCB">
      <w:r w:rsidRPr="00BB0B05">
        <w:t xml:space="preserve">Cuando fracasan </w:t>
      </w:r>
      <w:r w:rsidR="00EF1BCB" w:rsidRPr="00BB0B05">
        <w:t>los controles de seguridad de la información en una organización</w:t>
      </w:r>
      <w:r w:rsidR="00351F65" w:rsidRPr="00BB0B05">
        <w:t>,</w:t>
      </w:r>
      <w:r w:rsidRPr="00BB0B05">
        <w:t xml:space="preserve"> las consecuencias pueden ser muy negativas, </w:t>
      </w:r>
      <w:r w:rsidR="00EF1BCB" w:rsidRPr="00BB0B05">
        <w:t xml:space="preserve">tanto </w:t>
      </w:r>
      <w:r w:rsidRPr="00BB0B05">
        <w:t>par</w:t>
      </w:r>
      <w:r w:rsidR="00EF1BCB" w:rsidRPr="00BB0B05">
        <w:t xml:space="preserve">a la propia organización como </w:t>
      </w:r>
      <w:r w:rsidRPr="00BB0B05">
        <w:t>par</w:t>
      </w:r>
      <w:r w:rsidR="00EF1BCB" w:rsidRPr="00BB0B05">
        <w:t>a sus interesados, en particular puede generar desconfianza.</w:t>
      </w:r>
    </w:p>
    <w:p w14:paraId="5577D7E3" w14:textId="77777777" w:rsidR="00EF1BCB" w:rsidRPr="00BB0B05" w:rsidRDefault="00EF1BCB" w:rsidP="00EF1BCB">
      <w:r w:rsidRPr="00BB0B05">
        <w:t>La gobernanza de la seguridad de la información consiste en utilizar recursos para garantizar la aplicación efectiva de la seguridad de la información y garantizar que:</w:t>
      </w:r>
    </w:p>
    <w:p w14:paraId="71A2097C" w14:textId="2C46FA69" w:rsidR="00EF1BCB" w:rsidRPr="00BB0B05" w:rsidRDefault="00EF1BCB" w:rsidP="00885B91">
      <w:pPr>
        <w:pStyle w:val="enumlev1"/>
      </w:pPr>
      <w:r w:rsidRPr="00BB0B05">
        <w:t>•</w:t>
      </w:r>
      <w:r w:rsidRPr="00BB0B05">
        <w:tab/>
        <w:t>se observ</w:t>
      </w:r>
      <w:r w:rsidR="00BB7979" w:rsidRPr="00BB0B05">
        <w:t>e</w:t>
      </w:r>
      <w:r w:rsidRPr="00BB0B05">
        <w:t>n las directrices relativas a la seguridad de la información; y</w:t>
      </w:r>
    </w:p>
    <w:p w14:paraId="7052DB12" w14:textId="77777777" w:rsidR="00EF1BCB" w:rsidRPr="00BB0B05" w:rsidRDefault="00EF1BCB" w:rsidP="00885B91">
      <w:pPr>
        <w:pStyle w:val="enumlev1"/>
      </w:pPr>
      <w:r w:rsidRPr="00BB0B05">
        <w:t>•</w:t>
      </w:r>
      <w:r w:rsidRPr="00BB0B05">
        <w:tab/>
        <w:t>el órgano rector reciba informes fiables y pertinentes sobre las actividades relacionadas con la seguridad de la información.</w:t>
      </w:r>
    </w:p>
    <w:p w14:paraId="35AB39A6" w14:textId="77777777" w:rsidR="00EF1BCB" w:rsidRPr="00BB0B05" w:rsidRDefault="00EF1BCB" w:rsidP="00EF1BCB">
      <w:r w:rsidRPr="00BB0B05">
        <w:t>Esta forma de proceder ayuda al órgano rector a tomar decisiones relativas a los objetivos estratégicos de la organización y a proporcionar información sobre la seguridad de la información que pueda afectar a esos objetivos. También garantiza que la estrategia de seguridad de la información se ajuste a los objetivos generales de la entidad.</w:t>
      </w:r>
    </w:p>
    <w:p w14:paraId="04CF75BE" w14:textId="77777777" w:rsidR="00EF1BCB" w:rsidRPr="00BB0B05" w:rsidRDefault="00EF1BCB" w:rsidP="00EF1BCB">
      <w:r w:rsidRPr="00BB0B05">
        <w:t>Los directivos y demás personas que trabajan en las organizaciones deben comprender:</w:t>
      </w:r>
    </w:p>
    <w:p w14:paraId="25E4A4BC" w14:textId="77777777" w:rsidR="00EF1BCB" w:rsidRPr="00BB0B05" w:rsidRDefault="00EF1BCB" w:rsidP="00885B91">
      <w:pPr>
        <w:pStyle w:val="enumlev1"/>
      </w:pPr>
      <w:r w:rsidRPr="00BB0B05">
        <w:t>•</w:t>
      </w:r>
      <w:r w:rsidRPr="00BB0B05">
        <w:tab/>
        <w:t>los requisitos de gobernanza que afectan a su trabajo; y</w:t>
      </w:r>
    </w:p>
    <w:p w14:paraId="02ED14A0" w14:textId="0ADC59ED" w:rsidR="007B4A04" w:rsidRPr="00BB0B05" w:rsidRDefault="00EF1BCB" w:rsidP="00885B91">
      <w:pPr>
        <w:pStyle w:val="enumlev1"/>
      </w:pPr>
      <w:r w:rsidRPr="00BB0B05">
        <w:t>•</w:t>
      </w:r>
      <w:r w:rsidRPr="00BB0B05">
        <w:tab/>
        <w:t xml:space="preserve">cómo cumplir con los requisitos de gobernanza que </w:t>
      </w:r>
      <w:r w:rsidR="00BB7979" w:rsidRPr="00BB0B05">
        <w:t>exigen</w:t>
      </w:r>
      <w:r w:rsidRPr="00BB0B05">
        <w:t xml:space="preserve"> tomar medidas.</w:t>
      </w:r>
    </w:p>
    <w:p w14:paraId="2C22A523" w14:textId="715C0BE2" w:rsidR="00690FBF" w:rsidRPr="00BB0B05" w:rsidRDefault="00885B91" w:rsidP="00885B91">
      <w:pPr>
        <w:pStyle w:val="Heading1"/>
        <w:rPr>
          <w:rFonts w:cstheme="minorHAnsi"/>
        </w:rPr>
      </w:pPr>
      <w:bookmarkStart w:id="9" w:name="lt_pId093"/>
      <w:bookmarkEnd w:id="8"/>
      <w:r w:rsidRPr="00BB0B05">
        <w:rPr>
          <w:rFonts w:cstheme="minorHAnsi"/>
          <w:szCs w:val="22"/>
        </w:rPr>
        <w:t>2</w:t>
      </w:r>
      <w:r w:rsidRPr="00BB0B05">
        <w:rPr>
          <w:rFonts w:cstheme="minorHAnsi"/>
          <w:szCs w:val="22"/>
        </w:rPr>
        <w:tab/>
      </w:r>
      <w:r w:rsidR="00210E8A" w:rsidRPr="00BB0B05">
        <w:rPr>
          <w:rFonts w:cstheme="minorHAnsi"/>
          <w:szCs w:val="22"/>
        </w:rPr>
        <w:t>Proyecto de nueva</w:t>
      </w:r>
      <w:r w:rsidR="00690FBF" w:rsidRPr="00BB0B05">
        <w:rPr>
          <w:rFonts w:cstheme="minorHAnsi"/>
          <w:szCs w:val="22"/>
        </w:rPr>
        <w:t xml:space="preserve"> </w:t>
      </w:r>
      <w:r w:rsidR="00210E8A" w:rsidRPr="00BB0B05">
        <w:rPr>
          <w:rFonts w:cstheme="minorHAnsi"/>
          <w:szCs w:val="22"/>
        </w:rPr>
        <w:t>Recomendación U</w:t>
      </w:r>
      <w:r w:rsidR="00690FBF" w:rsidRPr="00BB0B05">
        <w:rPr>
          <w:rFonts w:cstheme="minorHAnsi"/>
          <w:szCs w:val="22"/>
        </w:rPr>
        <w:t xml:space="preserve">IT-T X.1148 (X.fdip) </w:t>
      </w:r>
      <w:bookmarkEnd w:id="9"/>
      <w:r w:rsidR="007115BA" w:rsidRPr="00BB0B05">
        <w:rPr>
          <w:rFonts w:cstheme="minorHAnsi"/>
          <w:szCs w:val="22"/>
        </w:rPr>
        <w:t>[</w:t>
      </w:r>
      <w:hyperlink r:id="rId13" w:history="1">
        <w:r w:rsidR="007115BA" w:rsidRPr="00BB0B05">
          <w:rPr>
            <w:rStyle w:val="Hyperlink"/>
            <w:rFonts w:cstheme="minorHAnsi"/>
            <w:szCs w:val="22"/>
          </w:rPr>
          <w:t>R060</w:t>
        </w:r>
      </w:hyperlink>
      <w:r w:rsidR="007115BA" w:rsidRPr="00BB0B05">
        <w:rPr>
          <w:rFonts w:cstheme="minorHAnsi"/>
        </w:rPr>
        <w:t>]</w:t>
      </w:r>
    </w:p>
    <w:p w14:paraId="4825E969" w14:textId="2E7D39D7" w:rsidR="00690FBF" w:rsidRPr="00BB0B05" w:rsidRDefault="00D4248E" w:rsidP="00885B91">
      <w:pPr>
        <w:pStyle w:val="Headingb0"/>
        <w:rPr>
          <w:rFonts w:eastAsia="Malgun Gothic"/>
          <w:highlight w:val="yellow"/>
          <w:lang w:eastAsia="ko-KR"/>
        </w:rPr>
      </w:pPr>
      <w:r w:rsidRPr="00BB0B05">
        <w:rPr>
          <w:rFonts w:eastAsia="Malgun Gothic"/>
          <w:lang w:eastAsia="ko-KR"/>
        </w:rPr>
        <w:t xml:space="preserve">Marco del proceso de desidentificación para proveedores de servicios de telecomunicaciones </w:t>
      </w:r>
    </w:p>
    <w:p w14:paraId="717835BC" w14:textId="5F497662" w:rsidR="00690FBF" w:rsidRPr="00BB0B05" w:rsidRDefault="00D4248E" w:rsidP="00A90C00">
      <w:pPr>
        <w:pStyle w:val="Headingb0"/>
        <w:rPr>
          <w:rFonts w:eastAsia="Malgun Gothic"/>
          <w:lang w:eastAsia="ko-KR"/>
        </w:rPr>
      </w:pPr>
      <w:r w:rsidRPr="00BB0B05">
        <w:rPr>
          <w:rFonts w:eastAsia="Malgun Gothic"/>
          <w:lang w:eastAsia="ko-KR"/>
        </w:rPr>
        <w:t>Resumen</w:t>
      </w:r>
    </w:p>
    <w:p w14:paraId="2BB27046" w14:textId="6F3382B7" w:rsidR="00690FBF" w:rsidRPr="00BB0B05" w:rsidRDefault="00900D4A" w:rsidP="00885B91">
      <w:pPr>
        <w:rPr>
          <w:rFonts w:eastAsia="Malgun Gothic"/>
          <w:lang w:eastAsia="ko-KR"/>
        </w:rPr>
      </w:pPr>
      <w:bookmarkStart w:id="10" w:name="lt_pId098"/>
      <w:r w:rsidRPr="00BB0B05">
        <w:rPr>
          <w:rFonts w:eastAsia="Malgun Gothic"/>
          <w:lang w:eastAsia="ko-KR"/>
        </w:rPr>
        <w:t>Las organizaciones de telecomunicaciones obtienen, gestionan, utilizan y comparten datos sobre las personas, incluida información de identificación personal, motivo por el que utilizan técnicas de desidentificación de datos para proteger los datos de los usuarios. En esta Recomendación se describe el marco del proceso de desidentificación con sus fases operativas y se especifican, sobre la base del modelo del ciclo de vida de los datos y las funciones de los interesados, modelos de liberación de datos y etapas de datos dentro del proceso de desidentificación para proveedores de servicios de telecomunicaciones</w:t>
      </w:r>
      <w:r w:rsidR="00690FBF" w:rsidRPr="00BB0B05">
        <w:rPr>
          <w:rFonts w:eastAsia="SimSun"/>
          <w:lang w:eastAsia="zh-CN"/>
        </w:rPr>
        <w:t>.</w:t>
      </w:r>
      <w:bookmarkEnd w:id="10"/>
      <w:r w:rsidR="00690FBF" w:rsidRPr="00BB0B05">
        <w:rPr>
          <w:rFonts w:eastAsia="SimSun"/>
          <w:lang w:eastAsia="zh-CN"/>
        </w:rPr>
        <w:t xml:space="preserve"> </w:t>
      </w:r>
    </w:p>
    <w:p w14:paraId="7789F462" w14:textId="69844A30" w:rsidR="00690FBF" w:rsidRPr="00BB0B05" w:rsidRDefault="00885B91" w:rsidP="00885B91">
      <w:pPr>
        <w:pStyle w:val="Heading1"/>
      </w:pPr>
      <w:bookmarkStart w:id="11" w:name="lt_pId099"/>
      <w:r w:rsidRPr="00BB0B05">
        <w:lastRenderedPageBreak/>
        <w:t>3</w:t>
      </w:r>
      <w:r w:rsidRPr="00BB0B05">
        <w:tab/>
      </w:r>
      <w:r w:rsidR="00900D4A" w:rsidRPr="00BB0B05">
        <w:t>Proyecto de nueva</w:t>
      </w:r>
      <w:r w:rsidR="00690FBF" w:rsidRPr="00BB0B05">
        <w:t xml:space="preserve"> </w:t>
      </w:r>
      <w:r w:rsidR="00900D4A" w:rsidRPr="00BB0B05">
        <w:t xml:space="preserve">Recomendación </w:t>
      </w:r>
      <w:r w:rsidR="00690FBF" w:rsidRPr="00BB0B05">
        <w:t xml:space="preserve">X.1216 (X.gcpie) </w:t>
      </w:r>
      <w:bookmarkEnd w:id="11"/>
      <w:r w:rsidR="007115BA" w:rsidRPr="00BB0B05">
        <w:rPr>
          <w:rFonts w:cstheme="minorHAnsi"/>
          <w:szCs w:val="22"/>
        </w:rPr>
        <w:t>[</w:t>
      </w:r>
      <w:hyperlink r:id="rId14" w:history="1">
        <w:r w:rsidR="007115BA" w:rsidRPr="00BB0B05">
          <w:rPr>
            <w:rStyle w:val="Hyperlink"/>
            <w:rFonts w:cstheme="minorHAnsi"/>
            <w:szCs w:val="22"/>
          </w:rPr>
          <w:t>R057</w:t>
        </w:r>
      </w:hyperlink>
      <w:r w:rsidR="007115BA" w:rsidRPr="00BB0B05">
        <w:rPr>
          <w:rFonts w:cstheme="minorHAnsi"/>
        </w:rPr>
        <w:t>]</w:t>
      </w:r>
    </w:p>
    <w:p w14:paraId="02715455" w14:textId="0531B149" w:rsidR="00690FBF" w:rsidRPr="00BB0B05" w:rsidRDefault="008E0C7C" w:rsidP="00885B91">
      <w:pPr>
        <w:pStyle w:val="Headingb0"/>
      </w:pPr>
      <w:r w:rsidRPr="00BB0B05">
        <w:t>Requisitos para la obtención y preservación de pruebas de incidentes de ciberseguridad</w:t>
      </w:r>
      <w:r w:rsidR="00690FBF" w:rsidRPr="00BB0B05">
        <w:t xml:space="preserve"> </w:t>
      </w:r>
    </w:p>
    <w:p w14:paraId="50BCF6C0" w14:textId="6D17BA19" w:rsidR="00690FBF" w:rsidRPr="00BB0B05" w:rsidRDefault="008E0C7C" w:rsidP="00885B91">
      <w:pPr>
        <w:pStyle w:val="Headingb0"/>
      </w:pPr>
      <w:r w:rsidRPr="00BB0B05">
        <w:t>Resumen</w:t>
      </w:r>
    </w:p>
    <w:p w14:paraId="7C531497" w14:textId="465FD577" w:rsidR="00690FBF" w:rsidRPr="00BB0B05" w:rsidRDefault="00BD305E" w:rsidP="00885B91">
      <w:pPr>
        <w:rPr>
          <w:rFonts w:eastAsia="Malgun Gothic"/>
          <w:lang w:eastAsia="ko-KR"/>
        </w:rPr>
      </w:pPr>
      <w:bookmarkStart w:id="12" w:name="lt_pId032"/>
      <w:bookmarkStart w:id="13" w:name="lt_pId103"/>
      <w:r w:rsidRPr="00BB0B05">
        <w:rPr>
          <w:rFonts w:eastAsia="Malgun Gothic"/>
          <w:lang w:eastAsia="ko-KR"/>
        </w:rPr>
        <w:t>En la Recomendación UIT-T X.1216 se describe un procedimiento general para la investigación e intervención en caso de incidente de ciberseguridad, se analizan las fuentes de las pruebas de incidentes de ciberseguridad y se especifican las capacidades que han de tener las herramientas empleadas para la obtención y preservación de esas pruebas durante la investigación. En esta Recomendación se especifican también requisitos de garantía de fiabilidad para esas herramientas, así como directrices para los diseñadores de herramientas para tal efecto</w:t>
      </w:r>
      <w:bookmarkEnd w:id="12"/>
      <w:r w:rsidR="00690FBF" w:rsidRPr="00BB0B05">
        <w:rPr>
          <w:rFonts w:eastAsia="Malgun Gothic"/>
          <w:lang w:eastAsia="ko-KR"/>
        </w:rPr>
        <w:t>.</w:t>
      </w:r>
      <w:bookmarkEnd w:id="13"/>
    </w:p>
    <w:p w14:paraId="1A49EAD4" w14:textId="63BFF657" w:rsidR="00690FBF" w:rsidRPr="00BB0B05" w:rsidRDefault="00885B91" w:rsidP="00885B91">
      <w:pPr>
        <w:pStyle w:val="Heading1"/>
      </w:pPr>
      <w:bookmarkStart w:id="14" w:name="lt_pId104"/>
      <w:r w:rsidRPr="00BB0B05">
        <w:t>4</w:t>
      </w:r>
      <w:r w:rsidRPr="00BB0B05">
        <w:tab/>
      </w:r>
      <w:r w:rsidR="00BD305E" w:rsidRPr="00BB0B05">
        <w:t>Proyecto de revisión de la Recomendación</w:t>
      </w:r>
      <w:r w:rsidR="00690FBF" w:rsidRPr="00BB0B05">
        <w:t xml:space="preserve"> </w:t>
      </w:r>
      <w:r w:rsidR="00BD305E" w:rsidRPr="00BB0B05">
        <w:t>U</w:t>
      </w:r>
      <w:r w:rsidR="00690FBF" w:rsidRPr="00BB0B05">
        <w:t xml:space="preserve">IT-T X.1254 </w:t>
      </w:r>
      <w:bookmarkEnd w:id="14"/>
      <w:r w:rsidR="007115BA" w:rsidRPr="00BB0B05">
        <w:t>[</w:t>
      </w:r>
      <w:hyperlink r:id="rId15" w:history="1">
        <w:r w:rsidR="007115BA" w:rsidRPr="00BB0B05">
          <w:rPr>
            <w:rStyle w:val="Hyperlink"/>
            <w:rFonts w:cstheme="minorHAnsi"/>
            <w:szCs w:val="22"/>
          </w:rPr>
          <w:t>R064</w:t>
        </w:r>
      </w:hyperlink>
      <w:r w:rsidR="007115BA" w:rsidRPr="00BB0B05">
        <w:rPr>
          <w:rFonts w:cstheme="minorHAnsi"/>
        </w:rPr>
        <w:t>]</w:t>
      </w:r>
    </w:p>
    <w:p w14:paraId="20C2982A" w14:textId="77777777" w:rsidR="00690FBF" w:rsidRPr="00BB0B05" w:rsidRDefault="00690FBF" w:rsidP="00885B91">
      <w:pPr>
        <w:pStyle w:val="Headingb0"/>
      </w:pPr>
      <w:r w:rsidRPr="00BB0B05">
        <w:t xml:space="preserve">Marco de garantía de autentificación de entidad </w:t>
      </w:r>
    </w:p>
    <w:p w14:paraId="6454523B" w14:textId="2910376F" w:rsidR="00690FBF" w:rsidRPr="00BB0B05" w:rsidRDefault="00F011FB" w:rsidP="00885B91">
      <w:pPr>
        <w:pStyle w:val="Headingb0"/>
      </w:pPr>
      <w:r w:rsidRPr="00BB0B05">
        <w:t>Resumen</w:t>
      </w:r>
      <w:r w:rsidR="00690FBF" w:rsidRPr="00BB0B05">
        <w:t xml:space="preserve"> </w:t>
      </w:r>
    </w:p>
    <w:p w14:paraId="11E38C82" w14:textId="3D288EE8" w:rsidR="00690FBF" w:rsidRPr="00BB0B05" w:rsidRDefault="00690FBF" w:rsidP="00A90C00">
      <w:bookmarkStart w:id="15" w:name="lt_pId107"/>
      <w:r w:rsidRPr="00BB0B05">
        <w:t xml:space="preserve">Recomendación </w:t>
      </w:r>
      <w:r w:rsidR="00810653">
        <w:t>UIT</w:t>
      </w:r>
      <w:r w:rsidRPr="00BB0B05">
        <w:t xml:space="preserve">-T X.1254 se definen </w:t>
      </w:r>
      <w:r w:rsidR="00F011FB" w:rsidRPr="00BB0B05">
        <w:t>tres</w:t>
      </w:r>
      <w:r w:rsidRPr="00BB0B05">
        <w:t xml:space="preserve"> niveles de garantía de autentificación de entidad (a saber, NdG1</w:t>
      </w:r>
      <w:r w:rsidR="00810653">
        <w:t>-</w:t>
      </w:r>
      <w:r w:rsidRPr="00BB0B05">
        <w:t xml:space="preserve">NdG4) y los criterios y amenazas para cada uno de esos </w:t>
      </w:r>
      <w:r w:rsidR="0097058C" w:rsidRPr="00BB0B05">
        <w:t>tres</w:t>
      </w:r>
      <w:r w:rsidRPr="00BB0B05">
        <w:t xml:space="preserve"> niveles.</w:t>
      </w:r>
      <w:bookmarkEnd w:id="15"/>
    </w:p>
    <w:p w14:paraId="6192205B" w14:textId="77777777" w:rsidR="00690FBF" w:rsidRPr="00BB0B05" w:rsidRDefault="00690FBF" w:rsidP="00A90C00">
      <w:bookmarkStart w:id="16" w:name="lt_pId108"/>
      <w:r w:rsidRPr="00BB0B05">
        <w:t>Asimismo:</w:t>
      </w:r>
      <w:bookmarkEnd w:id="16"/>
      <w:r w:rsidRPr="00BB0B05">
        <w:t xml:space="preserve"> </w:t>
      </w:r>
    </w:p>
    <w:p w14:paraId="3DF027B0" w14:textId="77777777" w:rsidR="00690FBF" w:rsidRPr="00BB0B05" w:rsidRDefault="00690FBF" w:rsidP="00A90C00">
      <w:pPr>
        <w:pStyle w:val="enumlev1"/>
      </w:pPr>
      <w:r w:rsidRPr="00BB0B05">
        <w:t>•</w:t>
      </w:r>
      <w:r w:rsidRPr="00BB0B05">
        <w:tab/>
        <w:t>especifica un marco para la gestión de los niveles de garantía;</w:t>
      </w:r>
    </w:p>
    <w:p w14:paraId="412F629B" w14:textId="77777777" w:rsidR="00690FBF" w:rsidRPr="00BB0B05" w:rsidRDefault="00690FBF" w:rsidP="00885B91">
      <w:pPr>
        <w:pStyle w:val="enumlev1"/>
      </w:pPr>
      <w:r w:rsidRPr="00BB0B05">
        <w:t>•</w:t>
      </w:r>
      <w:r w:rsidRPr="00BB0B05">
        <w:tab/>
        <w:t>proporciona directrices sobre las tecnologías de control que se deben utilizar para mitigar las amenazas a la autentificación, sobre la base de la evaluación de riesgos;</w:t>
      </w:r>
    </w:p>
    <w:p w14:paraId="51E69BB7" w14:textId="77777777" w:rsidR="00690FBF" w:rsidRPr="00BB0B05" w:rsidRDefault="00690FBF" w:rsidP="00885B91">
      <w:pPr>
        <w:pStyle w:val="enumlev1"/>
      </w:pPr>
      <w:r w:rsidRPr="00BB0B05">
        <w:t>•</w:t>
      </w:r>
      <w:r w:rsidRPr="00BB0B05">
        <w:tab/>
      </w:r>
      <w:bookmarkStart w:id="17" w:name="lt_pId114"/>
      <w:r w:rsidRPr="00BB0B05">
        <w:t>orienta sobre la correspondencia entre los tres niveles de garantía y otros planes de garantía de autentificación;</w:t>
      </w:r>
      <w:bookmarkEnd w:id="17"/>
      <w:r w:rsidRPr="00BB0B05">
        <w:t xml:space="preserve"> y</w:t>
      </w:r>
    </w:p>
    <w:p w14:paraId="16F0994B" w14:textId="77777777" w:rsidR="00690FBF" w:rsidRPr="00BB0B05" w:rsidRDefault="00690FBF" w:rsidP="00885B91">
      <w:pPr>
        <w:pStyle w:val="enumlev1"/>
      </w:pPr>
      <w:r w:rsidRPr="00BB0B05">
        <w:t>•</w:t>
      </w:r>
      <w:r w:rsidRPr="00BB0B05">
        <w:tab/>
      </w:r>
      <w:bookmarkStart w:id="18" w:name="lt_pId117"/>
      <w:r w:rsidRPr="00BB0B05">
        <w:t>facilita orientación para el intercambio de resultados de autentificación basados en los tres niveles de garantía.</w:t>
      </w:r>
      <w:bookmarkEnd w:id="18"/>
    </w:p>
    <w:p w14:paraId="2735959C" w14:textId="49D17E64" w:rsidR="00690FBF" w:rsidRPr="00BB0B05" w:rsidRDefault="00885B91" w:rsidP="00885B91">
      <w:pPr>
        <w:pStyle w:val="Heading1"/>
      </w:pPr>
      <w:bookmarkStart w:id="19" w:name="lt_pId118"/>
      <w:r w:rsidRPr="00BB0B05">
        <w:t>5</w:t>
      </w:r>
      <w:r w:rsidRPr="00BB0B05">
        <w:tab/>
      </w:r>
      <w:r w:rsidR="0097058C" w:rsidRPr="00BB0B05">
        <w:t>Proyecto de nueva Recomendación U</w:t>
      </w:r>
      <w:r w:rsidR="00690FBF" w:rsidRPr="00BB0B05">
        <w:t xml:space="preserve">IT-T X.1279 (X.eaasd) </w:t>
      </w:r>
      <w:bookmarkEnd w:id="19"/>
      <w:r w:rsidR="007115BA" w:rsidRPr="00BB0B05">
        <w:t>[</w:t>
      </w:r>
      <w:hyperlink r:id="rId16" w:history="1">
        <w:r w:rsidR="007115BA" w:rsidRPr="00BB0B05">
          <w:rPr>
            <w:rStyle w:val="Hyperlink"/>
            <w:rFonts w:cstheme="minorHAnsi"/>
            <w:szCs w:val="22"/>
          </w:rPr>
          <w:t>R065</w:t>
        </w:r>
      </w:hyperlink>
      <w:r w:rsidR="007115BA" w:rsidRPr="00BB0B05">
        <w:rPr>
          <w:rFonts w:cstheme="minorHAnsi"/>
        </w:rPr>
        <w:t>]</w:t>
      </w:r>
    </w:p>
    <w:p w14:paraId="4DB94076" w14:textId="005DF7B8" w:rsidR="00690FBF" w:rsidRPr="00BB0B05" w:rsidRDefault="00CE4B22" w:rsidP="00885B91">
      <w:pPr>
        <w:pStyle w:val="Headingb0"/>
        <w:rPr>
          <w:highlight w:val="yellow"/>
        </w:rPr>
      </w:pPr>
      <w:r w:rsidRPr="00BB0B05">
        <w:t xml:space="preserve">Marco de autenticación mejorada mediante telebiometría con mecanismos de detección antisuplantación </w:t>
      </w:r>
    </w:p>
    <w:p w14:paraId="56EAD0F2" w14:textId="028F1EAC" w:rsidR="00690FBF" w:rsidRPr="00BB0B05" w:rsidRDefault="00F7585C" w:rsidP="00885B91">
      <w:pPr>
        <w:pStyle w:val="Headingb0"/>
      </w:pPr>
      <w:r w:rsidRPr="00BB0B05">
        <w:t>Resumen</w:t>
      </w:r>
    </w:p>
    <w:p w14:paraId="095ECB34" w14:textId="70220969" w:rsidR="00690FBF" w:rsidRPr="00BB0B05" w:rsidRDefault="00F7585C" w:rsidP="00A90C00">
      <w:bookmarkStart w:id="20" w:name="lt_pId122"/>
      <w:r w:rsidRPr="00BB0B05">
        <w:t>En la presente Recomendación se describe un marco arquitectónico de autenticación mejorada mediante telebiometría con mecanismos de detección antisuplantación. Además, se analizan las amenazas a las soluciones tradicionales de autenticación telebiométrica y se especifican el marco arquitectónico, los flujos del proceso de autenticación y las consideraciones en materia de seguridad pertinentes para la autenticación mejorada mediante telebiometría con mecanismos de detección antisuplantación</w:t>
      </w:r>
      <w:r w:rsidR="00690FBF" w:rsidRPr="00BB0B05">
        <w:t>.</w:t>
      </w:r>
      <w:bookmarkEnd w:id="20"/>
    </w:p>
    <w:p w14:paraId="14A643F7" w14:textId="14933250" w:rsidR="00690FBF" w:rsidRPr="00BB0B05" w:rsidRDefault="00885B91" w:rsidP="00885B91">
      <w:pPr>
        <w:pStyle w:val="Heading1"/>
      </w:pPr>
      <w:bookmarkStart w:id="21" w:name="lt_pId123"/>
      <w:r w:rsidRPr="00BB0B05">
        <w:lastRenderedPageBreak/>
        <w:t>6</w:t>
      </w:r>
      <w:r w:rsidRPr="00BB0B05">
        <w:tab/>
      </w:r>
      <w:r w:rsidR="00F7585C" w:rsidRPr="00BB0B05">
        <w:t xml:space="preserve">Proyecto de nueva Recomendación UIT-T </w:t>
      </w:r>
      <w:r w:rsidR="00690FBF" w:rsidRPr="00BB0B05">
        <w:t xml:space="preserve">X.1366 (X.amas-iot) </w:t>
      </w:r>
      <w:bookmarkEnd w:id="21"/>
      <w:r w:rsidR="007115BA" w:rsidRPr="00BB0B05">
        <w:rPr>
          <w:rFonts w:cstheme="minorHAnsi"/>
          <w:szCs w:val="22"/>
        </w:rPr>
        <w:t>[</w:t>
      </w:r>
      <w:hyperlink r:id="rId17" w:history="1">
        <w:r w:rsidR="007115BA" w:rsidRPr="00BB0B05">
          <w:rPr>
            <w:rStyle w:val="Hyperlink"/>
            <w:rFonts w:cstheme="minorHAnsi"/>
            <w:szCs w:val="22"/>
          </w:rPr>
          <w:t>R058</w:t>
        </w:r>
      </w:hyperlink>
      <w:r w:rsidR="007115BA" w:rsidRPr="00BB0B05">
        <w:rPr>
          <w:rFonts w:cstheme="minorHAnsi"/>
        </w:rPr>
        <w:t>]</w:t>
      </w:r>
    </w:p>
    <w:p w14:paraId="498A0570" w14:textId="045B6811" w:rsidR="00690FBF" w:rsidRPr="00BB0B05" w:rsidRDefault="00AB757F" w:rsidP="00885B91">
      <w:pPr>
        <w:pStyle w:val="Headingb0"/>
      </w:pPr>
      <w:bookmarkStart w:id="22" w:name="lt_pId124"/>
      <w:r w:rsidRPr="00BB0B05">
        <w:t>Sistemas</w:t>
      </w:r>
      <w:r w:rsidR="00E86A67" w:rsidRPr="00BB0B05">
        <w:t xml:space="preserve"> de autenticación de mensajes </w:t>
      </w:r>
      <w:r w:rsidR="00E74410" w:rsidRPr="00BB0B05">
        <w:t>combinados</w:t>
      </w:r>
      <w:r w:rsidR="00E86A67" w:rsidRPr="00BB0B05">
        <w:t xml:space="preserve"> para la Internet de las cosas </w:t>
      </w:r>
      <w:r w:rsidR="00690FBF" w:rsidRPr="00BB0B05">
        <w:t>(IoT) (X.amas</w:t>
      </w:r>
      <w:r w:rsidR="009A41C6" w:rsidRPr="00BB0B05">
        <w:noBreakHyphen/>
      </w:r>
      <w:r w:rsidR="00690FBF" w:rsidRPr="00BB0B05">
        <w:t>iot)</w:t>
      </w:r>
      <w:bookmarkEnd w:id="22"/>
      <w:r w:rsidR="009A41C6" w:rsidRPr="00BB0B05">
        <w:t xml:space="preserve"> </w:t>
      </w:r>
      <w:r w:rsidR="009A41C6" w:rsidRPr="00BB0B05">
        <w:rPr>
          <w:rFonts w:cstheme="minorHAnsi"/>
          <w:szCs w:val="22"/>
        </w:rPr>
        <w:t>[</w:t>
      </w:r>
      <w:hyperlink r:id="rId18" w:history="1">
        <w:r w:rsidR="009A41C6" w:rsidRPr="00BB0B05">
          <w:rPr>
            <w:rStyle w:val="Hyperlink"/>
            <w:rFonts w:cstheme="minorHAnsi"/>
            <w:szCs w:val="22"/>
          </w:rPr>
          <w:t>R058</w:t>
        </w:r>
      </w:hyperlink>
      <w:r w:rsidR="009A41C6" w:rsidRPr="00BB0B05">
        <w:rPr>
          <w:rFonts w:cstheme="minorHAnsi"/>
        </w:rPr>
        <w:t>]</w:t>
      </w:r>
    </w:p>
    <w:p w14:paraId="4EFF880E" w14:textId="460F9178" w:rsidR="00690FBF" w:rsidRPr="00BB0B05" w:rsidRDefault="001E1D3D" w:rsidP="009A41C6">
      <w:pPr>
        <w:pStyle w:val="Headingb0"/>
      </w:pPr>
      <w:r w:rsidRPr="00BB0B05">
        <w:t>Resumen</w:t>
      </w:r>
    </w:p>
    <w:p w14:paraId="7F47BB71" w14:textId="19532C40" w:rsidR="001E1D3D" w:rsidRPr="00BB0B05" w:rsidRDefault="001E1D3D" w:rsidP="001E1D3D">
      <w:bookmarkStart w:id="23" w:name="lt_pId131"/>
      <w:r w:rsidRPr="00BB0B05">
        <w:t xml:space="preserve">El número de dispositivos de Internet de las cosas (IoT) está aumentando y en </w:t>
      </w:r>
      <w:r w:rsidR="009C5208" w:rsidRPr="00BB0B05">
        <w:t>el</w:t>
      </w:r>
      <w:r w:rsidR="00AB757F" w:rsidRPr="00BB0B05">
        <w:t xml:space="preserve"> </w:t>
      </w:r>
      <w:r w:rsidRPr="00BB0B05">
        <w:t xml:space="preserve">futuro </w:t>
      </w:r>
      <w:r w:rsidR="009474B3" w:rsidRPr="00BB0B05">
        <w:t xml:space="preserve">inmediato </w:t>
      </w:r>
      <w:r w:rsidRPr="00BB0B05">
        <w:t>habrá un enorme número de dispositivos conectados a la red IoT, inclu</w:t>
      </w:r>
      <w:r w:rsidR="00AB757F" w:rsidRPr="00BB0B05">
        <w:t>ida la</w:t>
      </w:r>
      <w:r w:rsidRPr="00BB0B05">
        <w:t xml:space="preserve"> 5G. En la presente Recomendación se especifican dos sistemas de autenticación de mensajes. </w:t>
      </w:r>
      <w:r w:rsidR="00025908" w:rsidRPr="00BB0B05">
        <w:t xml:space="preserve">El primero es </w:t>
      </w:r>
      <w:r w:rsidRPr="00BB0B05">
        <w:t xml:space="preserve">un </w:t>
      </w:r>
      <w:r w:rsidR="008F3F06" w:rsidRPr="00BB0B05">
        <w:t xml:space="preserve">sistema </w:t>
      </w:r>
      <w:r w:rsidRPr="00BB0B05">
        <w:t xml:space="preserve">de autenticación de mensajes agregados </w:t>
      </w:r>
      <w:r w:rsidR="00936EAB" w:rsidRPr="00BB0B05">
        <w:t xml:space="preserve">(AMA) </w:t>
      </w:r>
      <w:r w:rsidRPr="00BB0B05">
        <w:t>para I</w:t>
      </w:r>
      <w:r w:rsidR="00025908" w:rsidRPr="00BB0B05">
        <w:t>oT</w:t>
      </w:r>
      <w:r w:rsidRPr="00BB0B05">
        <w:t xml:space="preserve"> </w:t>
      </w:r>
      <w:r w:rsidR="008F3F06" w:rsidRPr="00BB0B05">
        <w:t xml:space="preserve">que sirve de </w:t>
      </w:r>
      <w:r w:rsidRPr="00BB0B05">
        <w:t xml:space="preserve">mecanismo básico. El </w:t>
      </w:r>
      <w:r w:rsidR="008F3F06" w:rsidRPr="00BB0B05">
        <w:t xml:space="preserve">segundo </w:t>
      </w:r>
      <w:r w:rsidRPr="00BB0B05">
        <w:t xml:space="preserve">es un </w:t>
      </w:r>
      <w:r w:rsidR="00936EAB" w:rsidRPr="00BB0B05">
        <w:t xml:space="preserve">sistema </w:t>
      </w:r>
      <w:r w:rsidRPr="00BB0B05">
        <w:t xml:space="preserve">de autenticación de mensaje agregado interactivo (IAMA) </w:t>
      </w:r>
      <w:r w:rsidR="002A6CAA" w:rsidRPr="00BB0B05">
        <w:t xml:space="preserve">con un </w:t>
      </w:r>
      <w:r w:rsidRPr="00BB0B05">
        <w:t>protocolo interactivo liger</w:t>
      </w:r>
      <w:r w:rsidR="00864187" w:rsidRPr="00BB0B05">
        <w:t>o</w:t>
      </w:r>
      <w:r w:rsidRPr="00BB0B05">
        <w:t xml:space="preserve"> y segur</w:t>
      </w:r>
      <w:r w:rsidR="00864187" w:rsidRPr="00BB0B05">
        <w:t>o</w:t>
      </w:r>
      <w:r w:rsidRPr="00BB0B05">
        <w:t xml:space="preserve"> </w:t>
      </w:r>
      <w:r w:rsidR="00864187" w:rsidRPr="00BB0B05">
        <w:t xml:space="preserve">que permite además </w:t>
      </w:r>
      <w:r w:rsidRPr="00BB0B05">
        <w:t>identificar mensaje</w:t>
      </w:r>
      <w:r w:rsidR="00864187" w:rsidRPr="00BB0B05">
        <w:t>s</w:t>
      </w:r>
      <w:r w:rsidRPr="00BB0B05">
        <w:t xml:space="preserve"> no válido</w:t>
      </w:r>
      <w:r w:rsidR="00864187" w:rsidRPr="00BB0B05">
        <w:t>s</w:t>
      </w:r>
      <w:r w:rsidRPr="00BB0B05">
        <w:t xml:space="preserve"> en el proceso de autenticación de mensaje</w:t>
      </w:r>
      <w:r w:rsidR="00711884" w:rsidRPr="00BB0B05">
        <w:t>s</w:t>
      </w:r>
      <w:r w:rsidRPr="00BB0B05">
        <w:t xml:space="preserve">. </w:t>
      </w:r>
      <w:r w:rsidR="00711884" w:rsidRPr="00BB0B05">
        <w:t xml:space="preserve">Los dos sistemas </w:t>
      </w:r>
      <w:r w:rsidRPr="00BB0B05">
        <w:t xml:space="preserve">de autenticación de mensajes </w:t>
      </w:r>
      <w:r w:rsidR="003101DC" w:rsidRPr="00BB0B05">
        <w:t xml:space="preserve">combinados </w:t>
      </w:r>
      <w:r w:rsidRPr="00BB0B05">
        <w:t xml:space="preserve">pueden aplicarse para garantizar la "autenticación de la entidad (identidad)", así como para garantizar la "autenticación del mensaje". Estos </w:t>
      </w:r>
      <w:r w:rsidR="0047176F" w:rsidRPr="00BB0B05">
        <w:t>sistemas</w:t>
      </w:r>
      <w:r w:rsidRPr="00BB0B05">
        <w:t xml:space="preserve"> tal vez no sean aplicables en todos los casos de utilización de dispositivos de I</w:t>
      </w:r>
      <w:r w:rsidR="00970372" w:rsidRPr="00BB0B05">
        <w:t>oT</w:t>
      </w:r>
      <w:r w:rsidRPr="00BB0B05">
        <w:t xml:space="preserve">, pero son bastante eficaces y adecuados para los casos de utilización </w:t>
      </w:r>
      <w:r w:rsidR="004914A7" w:rsidRPr="00BB0B05">
        <w:t xml:space="preserve">que cumplen las </w:t>
      </w:r>
      <w:r w:rsidRPr="00BB0B05">
        <w:t>siguientes condiciones</w:t>
      </w:r>
      <w:r w:rsidR="004914A7" w:rsidRPr="00BB0B05">
        <w:t>:</w:t>
      </w:r>
    </w:p>
    <w:p w14:paraId="7DEEECDC" w14:textId="0B458BE7" w:rsidR="001E1D3D" w:rsidRPr="00BB0B05" w:rsidRDefault="001E1D3D" w:rsidP="009A41C6">
      <w:pPr>
        <w:pStyle w:val="enumlev1"/>
      </w:pPr>
      <w:r w:rsidRPr="00BB0B05">
        <w:t>•</w:t>
      </w:r>
      <w:r w:rsidRPr="00BB0B05">
        <w:tab/>
      </w:r>
      <w:r w:rsidR="009A41C6" w:rsidRPr="00BB0B05">
        <w:t xml:space="preserve">se </w:t>
      </w:r>
      <w:r w:rsidRPr="00BB0B05">
        <w:t xml:space="preserve">requiere </w:t>
      </w:r>
      <w:r w:rsidR="0067383A" w:rsidRPr="00BB0B05">
        <w:t>autentificar</w:t>
      </w:r>
      <w:r w:rsidRPr="00BB0B05">
        <w:t xml:space="preserve"> mensajes de decenas a decenas de miles de dispositivos I</w:t>
      </w:r>
      <w:r w:rsidR="0067383A" w:rsidRPr="00BB0B05">
        <w:t>oT</w:t>
      </w:r>
      <w:r w:rsidR="009A41C6" w:rsidRPr="00BB0B05">
        <w:t>;</w:t>
      </w:r>
    </w:p>
    <w:p w14:paraId="5201BC37" w14:textId="22737FDF" w:rsidR="001E1D3D" w:rsidRPr="00BB0B05" w:rsidRDefault="001E1D3D" w:rsidP="009A41C6">
      <w:pPr>
        <w:pStyle w:val="enumlev1"/>
      </w:pPr>
      <w:r w:rsidRPr="00BB0B05">
        <w:t>•</w:t>
      </w:r>
      <w:r w:rsidRPr="00BB0B05">
        <w:tab/>
      </w:r>
      <w:r w:rsidR="009A41C6" w:rsidRPr="00BB0B05">
        <w:t xml:space="preserve">se </w:t>
      </w:r>
      <w:r w:rsidR="004E6E02" w:rsidRPr="00BB0B05">
        <w:t>gestionan d</w:t>
      </w:r>
      <w:r w:rsidRPr="00BB0B05">
        <w:t xml:space="preserve">atos/mensajes para un proceso de autenticación que se produce con frecuencia </w:t>
      </w:r>
      <w:r w:rsidR="004E6E02" w:rsidRPr="00BB0B05">
        <w:t xml:space="preserve">y de manera </w:t>
      </w:r>
      <w:r w:rsidRPr="00BB0B05">
        <w:t>intermitente.</w:t>
      </w:r>
    </w:p>
    <w:p w14:paraId="3C137048" w14:textId="22B5EFEE" w:rsidR="00690FBF" w:rsidRPr="00BB0B05" w:rsidRDefault="001E1D3D" w:rsidP="001E1D3D">
      <w:r w:rsidRPr="00BB0B05">
        <w:t xml:space="preserve">Por ejemplo, las "aplicaciones de vigilancia para el uso de datos de imágenes" y la "telemetría a distancia", como </w:t>
      </w:r>
      <w:r w:rsidR="006E70BA" w:rsidRPr="00BB0B05">
        <w:t xml:space="preserve">los utilizados en </w:t>
      </w:r>
      <w:r w:rsidRPr="00BB0B05">
        <w:t xml:space="preserve">la vigilancia de las operaciones de plantas/fábricas y la </w:t>
      </w:r>
      <w:r w:rsidR="006123B2" w:rsidRPr="00BB0B05">
        <w:t xml:space="preserve">observación </w:t>
      </w:r>
      <w:r w:rsidRPr="00BB0B05">
        <w:t xml:space="preserve">sanitaria, son </w:t>
      </w:r>
      <w:r w:rsidR="0018459C" w:rsidRPr="00BB0B05">
        <w:t xml:space="preserve">posibles aplicaciones </w:t>
      </w:r>
      <w:r w:rsidRPr="00BB0B05">
        <w:t>de estos sistemas.</w:t>
      </w:r>
      <w:bookmarkEnd w:id="23"/>
    </w:p>
    <w:p w14:paraId="62E6A959" w14:textId="40A1F384" w:rsidR="00690FBF" w:rsidRPr="00BB0B05" w:rsidRDefault="009A41C6" w:rsidP="009A41C6">
      <w:pPr>
        <w:pStyle w:val="Heading1"/>
      </w:pPr>
      <w:r w:rsidRPr="00BB0B05">
        <w:t>7</w:t>
      </w:r>
      <w:r w:rsidR="00690FBF" w:rsidRPr="00BB0B05">
        <w:tab/>
      </w:r>
      <w:bookmarkStart w:id="24" w:name="lt_pId137"/>
      <w:r w:rsidR="00E9300B" w:rsidRPr="00BB0B05">
        <w:t>Proyecto de nueva Recomendación U</w:t>
      </w:r>
      <w:r w:rsidR="00690FBF" w:rsidRPr="00BB0B05">
        <w:t xml:space="preserve">IT-T X.1367 (X.elf-iot) </w:t>
      </w:r>
      <w:bookmarkEnd w:id="24"/>
      <w:r w:rsidR="007115BA" w:rsidRPr="00BB0B05">
        <w:rPr>
          <w:rFonts w:cstheme="minorHAnsi"/>
          <w:szCs w:val="22"/>
        </w:rPr>
        <w:t>[</w:t>
      </w:r>
      <w:hyperlink r:id="rId19" w:history="1">
        <w:r w:rsidR="007115BA" w:rsidRPr="00BB0B05">
          <w:rPr>
            <w:rStyle w:val="Hyperlink"/>
            <w:rFonts w:cstheme="minorHAnsi"/>
            <w:szCs w:val="22"/>
          </w:rPr>
          <w:t>R059</w:t>
        </w:r>
      </w:hyperlink>
      <w:r w:rsidR="007115BA" w:rsidRPr="00BB0B05">
        <w:rPr>
          <w:rFonts w:cstheme="minorHAnsi"/>
        </w:rPr>
        <w:t>]</w:t>
      </w:r>
    </w:p>
    <w:p w14:paraId="40414D85" w14:textId="7433F84B" w:rsidR="008E3092" w:rsidRPr="00BB0B05" w:rsidRDefault="008E3092" w:rsidP="009A41C6">
      <w:pPr>
        <w:pStyle w:val="Headingb0"/>
      </w:pPr>
      <w:bookmarkStart w:id="25" w:name="lt_pId139"/>
      <w:r w:rsidRPr="00BB0B05">
        <w:t xml:space="preserve">Formato normalizado </w:t>
      </w:r>
      <w:r w:rsidR="00662E95" w:rsidRPr="00BB0B05">
        <w:t xml:space="preserve">para </w:t>
      </w:r>
      <w:r w:rsidRPr="00BB0B05">
        <w:t xml:space="preserve">los registros de errores de Internet de las cosas </w:t>
      </w:r>
      <w:r w:rsidR="00662E95" w:rsidRPr="00BB0B05">
        <w:t xml:space="preserve">utilizado en </w:t>
      </w:r>
      <w:r w:rsidRPr="00BB0B05">
        <w:t>las operaciones de incidentes de seguridad</w:t>
      </w:r>
    </w:p>
    <w:bookmarkEnd w:id="25"/>
    <w:p w14:paraId="62D26569" w14:textId="74DA7EE5" w:rsidR="00690FBF" w:rsidRPr="00BB0B05" w:rsidRDefault="008E3092" w:rsidP="009A41C6">
      <w:pPr>
        <w:pStyle w:val="Headingb0"/>
      </w:pPr>
      <w:r w:rsidRPr="00BB0B05">
        <w:t>Resumen</w:t>
      </w:r>
    </w:p>
    <w:p w14:paraId="708C2798" w14:textId="13BD5532" w:rsidR="00F3507E" w:rsidRPr="00BB0B05" w:rsidRDefault="00F3507E" w:rsidP="00F3507E">
      <w:bookmarkStart w:id="26" w:name="lt_pId145"/>
      <w:r w:rsidRPr="00BB0B05">
        <w:t>Hay dos problemas a la hora de gestionar los incidentes de seguridad del ecosistema de la Internet de las cosas (</w:t>
      </w:r>
      <w:proofErr w:type="spellStart"/>
      <w:r w:rsidRPr="00BB0B05">
        <w:t>IoT</w:t>
      </w:r>
      <w:proofErr w:type="spellEnd"/>
      <w:r w:rsidRPr="00BB0B05">
        <w:t>)</w:t>
      </w:r>
      <w:r w:rsidR="00AC5BA8">
        <w:t>.</w:t>
      </w:r>
      <w:r w:rsidRPr="00BB0B05">
        <w:t xml:space="preserve"> El primero es la incompatibilidad de los protocolos entre las redes de computadores que utilizan el protocolo de control de transmisión/protocolo Internet (TCP/IP) y los dispositivos periféricos de la IoT. El segundo es la falta de compatibilidad de los códigos de error entre los fabricantes de dispositivos periféricos.</w:t>
      </w:r>
    </w:p>
    <w:p w14:paraId="4BD7DA12" w14:textId="10CB1BC5" w:rsidR="00F3507E" w:rsidRPr="00BB0B05" w:rsidRDefault="00F3507E" w:rsidP="00F3507E">
      <w:r w:rsidRPr="00BB0B05">
        <w:t xml:space="preserve">La Recomendación X.1367 especifica un formato normalizado </w:t>
      </w:r>
      <w:r w:rsidR="00995336" w:rsidRPr="00BB0B05">
        <w:t xml:space="preserve">para el </w:t>
      </w:r>
      <w:r w:rsidRPr="00BB0B05">
        <w:t xml:space="preserve">registro de errores que puede colocarse en una carga útil de protocolo, como el syslog [b-IETF RFC 5424], que se utilizará para convertir la información de registro de errores emitida por un dispositivo periférico al formato normalizado de registro de errores. </w:t>
      </w:r>
    </w:p>
    <w:p w14:paraId="32D5B517" w14:textId="4DE69AD0" w:rsidR="00F3507E" w:rsidRPr="00BB0B05" w:rsidRDefault="00F3507E" w:rsidP="00F3507E">
      <w:r w:rsidRPr="00BB0B05">
        <w:t>En la Recomendación X.1367 también se especifica un cuadro de códigos de error normalizados</w:t>
      </w:r>
      <w:r w:rsidR="001910EA" w:rsidRPr="00BB0B05">
        <w:t xml:space="preserve">, lo que permite </w:t>
      </w:r>
      <w:r w:rsidRPr="00BB0B05">
        <w:t xml:space="preserve">resolver </w:t>
      </w:r>
      <w:r w:rsidR="00102B35" w:rsidRPr="00BB0B05">
        <w:t xml:space="preserve">el </w:t>
      </w:r>
      <w:r w:rsidRPr="00BB0B05">
        <w:t>segund</w:t>
      </w:r>
      <w:r w:rsidR="00102B35" w:rsidRPr="00BB0B05">
        <w:t>o</w:t>
      </w:r>
      <w:r w:rsidRPr="00BB0B05">
        <w:t xml:space="preserve"> </w:t>
      </w:r>
      <w:r w:rsidR="00102B35" w:rsidRPr="00BB0B05">
        <w:t>problema</w:t>
      </w:r>
      <w:r w:rsidRPr="00BB0B05">
        <w:t xml:space="preserve">. </w:t>
      </w:r>
      <w:r w:rsidR="00C74F34" w:rsidRPr="00BB0B05">
        <w:t>De esta manera</w:t>
      </w:r>
      <w:r w:rsidRPr="00BB0B05">
        <w:t xml:space="preserve">, </w:t>
      </w:r>
      <w:r w:rsidR="00C74F34" w:rsidRPr="00BB0B05">
        <w:t xml:space="preserve">se pueden gestionar de manera integral </w:t>
      </w:r>
      <w:r w:rsidRPr="00BB0B05">
        <w:t>los incidentes de seguridad en las redes de computadores y en las redes de dispositivos periféricos I</w:t>
      </w:r>
      <w:r w:rsidR="001910EA" w:rsidRPr="00BB0B05">
        <w:t>oT</w:t>
      </w:r>
      <w:r w:rsidRPr="00BB0B05">
        <w:t>.</w:t>
      </w:r>
    </w:p>
    <w:bookmarkEnd w:id="26"/>
    <w:p w14:paraId="6BC4A3DE" w14:textId="0F664A9E" w:rsidR="00690FBF" w:rsidRPr="00BB0B05" w:rsidRDefault="009A41C6" w:rsidP="009A41C6">
      <w:pPr>
        <w:pStyle w:val="Heading1"/>
      </w:pPr>
      <w:r w:rsidRPr="00BB0B05">
        <w:lastRenderedPageBreak/>
        <w:t>8</w:t>
      </w:r>
      <w:r w:rsidR="00690FBF" w:rsidRPr="00BB0B05">
        <w:tab/>
      </w:r>
      <w:bookmarkStart w:id="27" w:name="lt_pId146"/>
      <w:r w:rsidR="00C74F34" w:rsidRPr="00BB0B05">
        <w:t>Proyecto de nueva Recomendación U</w:t>
      </w:r>
      <w:r w:rsidR="00690FBF" w:rsidRPr="00BB0B05">
        <w:t xml:space="preserve">IT-T X.1403 (X.dlt-sec) </w:t>
      </w:r>
      <w:bookmarkEnd w:id="27"/>
      <w:r w:rsidR="007115BA" w:rsidRPr="00BB0B05">
        <w:rPr>
          <w:rFonts w:cstheme="minorHAnsi"/>
          <w:szCs w:val="22"/>
        </w:rPr>
        <w:t>[</w:t>
      </w:r>
      <w:hyperlink r:id="rId20" w:history="1">
        <w:r w:rsidR="007115BA" w:rsidRPr="00BB0B05">
          <w:rPr>
            <w:rStyle w:val="Hyperlink"/>
            <w:rFonts w:cstheme="minorHAnsi"/>
            <w:szCs w:val="22"/>
          </w:rPr>
          <w:t>R066</w:t>
        </w:r>
      </w:hyperlink>
      <w:r w:rsidR="007115BA" w:rsidRPr="00BB0B05">
        <w:rPr>
          <w:rFonts w:cstheme="minorHAnsi"/>
        </w:rPr>
        <w:t>]</w:t>
      </w:r>
    </w:p>
    <w:p w14:paraId="71CF65E5" w14:textId="0F98A74B" w:rsidR="00690FBF" w:rsidRPr="00BB0B05" w:rsidRDefault="009F770F" w:rsidP="00AC5BA8">
      <w:pPr>
        <w:pStyle w:val="Headingb0"/>
        <w:rPr>
          <w:bCs/>
          <w:highlight w:val="yellow"/>
        </w:rPr>
      </w:pPr>
      <w:r w:rsidRPr="00BB0B05">
        <w:t>Directrices de seguridad para utilizar la tecnología de libro mayor distribuido en la gestión descentralizada</w:t>
      </w:r>
      <w:r w:rsidRPr="00BB0B05">
        <w:rPr>
          <w:rFonts w:ascii="Calibri" w:hAnsi="Calibri" w:cs="Calibri"/>
          <w:color w:val="800000"/>
          <w:sz w:val="22"/>
        </w:rPr>
        <w:t xml:space="preserve"> </w:t>
      </w:r>
      <w:r w:rsidRPr="00BB0B05">
        <w:t>de identidades</w:t>
      </w:r>
      <w:r w:rsidRPr="00BB0B05">
        <w:rPr>
          <w:rFonts w:cs="Calibri"/>
          <w:color w:val="800000"/>
        </w:rPr>
        <w:t xml:space="preserve"> </w:t>
      </w:r>
    </w:p>
    <w:p w14:paraId="3C84F1E9" w14:textId="1DEDBF2C" w:rsidR="00690FBF" w:rsidRPr="00BB0B05" w:rsidRDefault="009F770F" w:rsidP="009A41C6">
      <w:pPr>
        <w:pStyle w:val="Headingb0"/>
      </w:pPr>
      <w:r w:rsidRPr="00BB0B05">
        <w:t>Resumen</w:t>
      </w:r>
    </w:p>
    <w:p w14:paraId="53414AE4" w14:textId="6624233F" w:rsidR="00690FBF" w:rsidRPr="00BB0B05" w:rsidRDefault="004855D0" w:rsidP="00A90C00">
      <w:bookmarkStart w:id="28" w:name="lt_pId150"/>
      <w:r w:rsidRPr="00BB0B05">
        <w:rPr>
          <w:szCs w:val="24"/>
          <w:lang w:eastAsia="ko-KR"/>
        </w:rPr>
        <w:t xml:space="preserve">La tecnología de libro mayor distribuido (DLT) y sus aplicaciones específicas, como las cadenas de bloques, ofrecen una oportunidad sin precedentes de recurrir a una infraestructura fiable y a una plataforma </w:t>
      </w:r>
      <w:r w:rsidR="00262B1E" w:rsidRPr="00BB0B05">
        <w:rPr>
          <w:szCs w:val="24"/>
          <w:lang w:eastAsia="ko-KR"/>
        </w:rPr>
        <w:t xml:space="preserve">que podrían resultar de </w:t>
      </w:r>
      <w:r w:rsidR="007F1AAF" w:rsidRPr="00BB0B05">
        <w:rPr>
          <w:szCs w:val="24"/>
          <w:lang w:eastAsia="ko-KR"/>
        </w:rPr>
        <w:t xml:space="preserve">utilidad </w:t>
      </w:r>
      <w:r w:rsidR="0070363E" w:rsidRPr="00BB0B05">
        <w:rPr>
          <w:szCs w:val="24"/>
          <w:lang w:eastAsia="ko-KR"/>
        </w:rPr>
        <w:t xml:space="preserve">para propiciar </w:t>
      </w:r>
      <w:r w:rsidRPr="00BB0B05">
        <w:rPr>
          <w:szCs w:val="24"/>
          <w:lang w:eastAsia="ko-KR"/>
        </w:rPr>
        <w:t>una federación de confianza para el intercambio de atributos e información sobre identidades. En esta Recomendación se exponen las consideraciones relativas a la privacidad y seguridad específicas de las telecomunicaciones para la utilización de los datos DLT en la gestión de identidades</w:t>
      </w:r>
      <w:r w:rsidR="00690FBF" w:rsidRPr="00BB0B05">
        <w:t>.</w:t>
      </w:r>
      <w:bookmarkEnd w:id="28"/>
    </w:p>
    <w:p w14:paraId="0AE2DF1A" w14:textId="7951FD5F" w:rsidR="00690FBF" w:rsidRPr="00BB0B05" w:rsidRDefault="009A41C6" w:rsidP="009A41C6">
      <w:pPr>
        <w:pStyle w:val="Heading1"/>
      </w:pPr>
      <w:r w:rsidRPr="00BB0B05">
        <w:t>9</w:t>
      </w:r>
      <w:r w:rsidR="00690FBF" w:rsidRPr="00BB0B05">
        <w:tab/>
      </w:r>
      <w:bookmarkStart w:id="29" w:name="lt_pId151"/>
      <w:r w:rsidR="00710D5A" w:rsidRPr="00BB0B05">
        <w:t>Proyecto de nueva Recomendación</w:t>
      </w:r>
      <w:r w:rsidR="00690FBF" w:rsidRPr="00BB0B05">
        <w:t xml:space="preserve"> </w:t>
      </w:r>
      <w:r w:rsidR="00710D5A" w:rsidRPr="00BB0B05">
        <w:t>U</w:t>
      </w:r>
      <w:r w:rsidR="00690FBF" w:rsidRPr="00BB0B05">
        <w:t xml:space="preserve">IT-T X.1606 (X.SRCaaS) </w:t>
      </w:r>
      <w:bookmarkEnd w:id="29"/>
      <w:r w:rsidR="007115BA" w:rsidRPr="00BB0B05">
        <w:rPr>
          <w:rFonts w:cstheme="minorHAnsi"/>
          <w:szCs w:val="22"/>
        </w:rPr>
        <w:t>[</w:t>
      </w:r>
      <w:hyperlink r:id="rId21" w:history="1">
        <w:r w:rsidR="007115BA" w:rsidRPr="00BB0B05">
          <w:rPr>
            <w:rStyle w:val="Hyperlink"/>
            <w:rFonts w:cstheme="minorHAnsi"/>
            <w:szCs w:val="22"/>
          </w:rPr>
          <w:t>R062</w:t>
        </w:r>
      </w:hyperlink>
      <w:r w:rsidR="007115BA" w:rsidRPr="00BB0B05">
        <w:rPr>
          <w:rFonts w:cstheme="minorHAnsi"/>
        </w:rPr>
        <w:t>]</w:t>
      </w:r>
    </w:p>
    <w:p w14:paraId="3C95ACDB" w14:textId="459417C5" w:rsidR="00690FBF" w:rsidRPr="00BB0B05" w:rsidRDefault="006646BC" w:rsidP="009A41C6">
      <w:pPr>
        <w:pStyle w:val="Headingb0"/>
      </w:pPr>
      <w:r w:rsidRPr="00BB0B05">
        <w:t xml:space="preserve">Requisitos de seguridad para los entornos de aplicación de comunicaciones como servicio </w:t>
      </w:r>
    </w:p>
    <w:p w14:paraId="5515212D" w14:textId="4E997C3D" w:rsidR="00690FBF" w:rsidRPr="00BB0B05" w:rsidRDefault="006646BC" w:rsidP="009A41C6">
      <w:pPr>
        <w:pStyle w:val="Headingb0"/>
      </w:pPr>
      <w:r w:rsidRPr="00BB0B05">
        <w:t>Resumen</w:t>
      </w:r>
    </w:p>
    <w:p w14:paraId="26A6B076" w14:textId="323F4765" w:rsidR="00690FBF" w:rsidRPr="00BB0B05" w:rsidRDefault="00AB6050" w:rsidP="00A90C00">
      <w:bookmarkStart w:id="30" w:name="lt_pId156"/>
      <w:r w:rsidRPr="00BB0B05">
        <w:t xml:space="preserve">En la Recomendación UIT-T Y.3525 se identifican las amenazas a la seguridad y se recomiendan los requisitos de seguridad para los entornos de aplicación de comunicaciones como servicio (CaaS). En esta Recomendación se describen </w:t>
      </w:r>
      <w:r w:rsidR="00B165AD" w:rsidRPr="00BB0B05">
        <w:t xml:space="preserve">los casos </w:t>
      </w:r>
      <w:r w:rsidRPr="00BB0B05">
        <w:t xml:space="preserve">y características de CaaS que contienen capacidades de multicomunicación. </w:t>
      </w:r>
      <w:r w:rsidR="00B165AD" w:rsidRPr="00BB0B05">
        <w:t>Asimismo</w:t>
      </w:r>
      <w:r w:rsidRPr="00BB0B05">
        <w:t xml:space="preserve">, identifica </w:t>
      </w:r>
      <w:r w:rsidR="00B165AD" w:rsidRPr="00BB0B05">
        <w:t xml:space="preserve">las </w:t>
      </w:r>
      <w:r w:rsidRPr="00BB0B05">
        <w:t xml:space="preserve">amenazas específicas </w:t>
      </w:r>
      <w:r w:rsidR="00992126" w:rsidRPr="00BB0B05">
        <w:t>inherentes a</w:t>
      </w:r>
      <w:r w:rsidRPr="00BB0B05">
        <w:t xml:space="preserve"> las características únicas de CaaS y recomienda los requisitos de seguridad de CaaS adecuados</w:t>
      </w:r>
      <w:r w:rsidR="00690FBF" w:rsidRPr="00BB0B05">
        <w:t>.</w:t>
      </w:r>
      <w:bookmarkEnd w:id="30"/>
    </w:p>
    <w:p w14:paraId="63CC7508" w14:textId="3783D4F9" w:rsidR="00690FBF" w:rsidRPr="00BB0B05" w:rsidRDefault="009A41C6" w:rsidP="009A41C6">
      <w:pPr>
        <w:pStyle w:val="Heading1"/>
      </w:pPr>
      <w:r w:rsidRPr="00BB0B05">
        <w:t>10</w:t>
      </w:r>
      <w:r w:rsidR="00690FBF" w:rsidRPr="00BB0B05">
        <w:tab/>
      </w:r>
      <w:bookmarkStart w:id="31" w:name="lt_pId157"/>
      <w:r w:rsidR="00E919BE" w:rsidRPr="00BB0B05">
        <w:t>Proyecto de nueva Recomendación</w:t>
      </w:r>
      <w:r w:rsidR="00690FBF" w:rsidRPr="00BB0B05">
        <w:t xml:space="preserve"> </w:t>
      </w:r>
      <w:r w:rsidR="00E919BE" w:rsidRPr="00BB0B05">
        <w:t>U</w:t>
      </w:r>
      <w:r w:rsidR="00690FBF" w:rsidRPr="00BB0B05">
        <w:t xml:space="preserve">IT-T X.1750 (X.GSBDaaS) </w:t>
      </w:r>
      <w:bookmarkEnd w:id="31"/>
      <w:r w:rsidR="007115BA" w:rsidRPr="00BB0B05">
        <w:rPr>
          <w:rFonts w:cstheme="minorHAnsi"/>
          <w:szCs w:val="22"/>
        </w:rPr>
        <w:t>[</w:t>
      </w:r>
      <w:hyperlink r:id="rId22" w:history="1">
        <w:r w:rsidR="007115BA" w:rsidRPr="00BB0B05">
          <w:rPr>
            <w:rStyle w:val="Hyperlink"/>
            <w:rFonts w:cstheme="minorHAnsi"/>
            <w:szCs w:val="22"/>
          </w:rPr>
          <w:t>R061</w:t>
        </w:r>
      </w:hyperlink>
      <w:r w:rsidR="007115BA" w:rsidRPr="00BB0B05">
        <w:rPr>
          <w:rFonts w:cstheme="minorHAnsi"/>
        </w:rPr>
        <w:t>]</w:t>
      </w:r>
    </w:p>
    <w:p w14:paraId="35B2AFC3" w14:textId="53711A76" w:rsidR="00690FBF" w:rsidRPr="00BB0B05" w:rsidRDefault="00235476" w:rsidP="009A41C6">
      <w:pPr>
        <w:pStyle w:val="Headingb0"/>
      </w:pPr>
      <w:r w:rsidRPr="00BB0B05">
        <w:t xml:space="preserve">Directrices sobre la seguridad de macrodatos como servicio </w:t>
      </w:r>
      <w:r w:rsidR="00CD0F5A" w:rsidRPr="00BB0B05">
        <w:t xml:space="preserve">destinadas a </w:t>
      </w:r>
      <w:r w:rsidRPr="00BB0B05">
        <w:t xml:space="preserve">los proveedores de servicios de </w:t>
      </w:r>
      <w:r w:rsidR="00CD0F5A" w:rsidRPr="00BB0B05">
        <w:t>macro</w:t>
      </w:r>
      <w:r w:rsidRPr="00BB0B05">
        <w:t>datos</w:t>
      </w:r>
      <w:r w:rsidR="00690FBF" w:rsidRPr="00BB0B05">
        <w:t xml:space="preserve"> </w:t>
      </w:r>
    </w:p>
    <w:p w14:paraId="230DAF59" w14:textId="755CBA7C" w:rsidR="00690FBF" w:rsidRPr="00BB0B05" w:rsidRDefault="00CD0F5A" w:rsidP="009A41C6">
      <w:pPr>
        <w:pStyle w:val="Headingb0"/>
      </w:pPr>
      <w:r w:rsidRPr="00BB0B05">
        <w:t>Resumen</w:t>
      </w:r>
    </w:p>
    <w:p w14:paraId="5F0CA533" w14:textId="5C3C8136" w:rsidR="00690FBF" w:rsidRPr="00BB0B05" w:rsidRDefault="00144296" w:rsidP="00144296">
      <w:bookmarkStart w:id="32" w:name="lt_pId166"/>
      <w:r w:rsidRPr="00BB0B05">
        <w:t xml:space="preserve">Los macrodatos como servicio (BDaaS) es una categoría de servicio en la nube que </w:t>
      </w:r>
      <w:r w:rsidR="00485B9E" w:rsidRPr="00BB0B05">
        <w:t xml:space="preserve">consiste en </w:t>
      </w:r>
      <w:r w:rsidRPr="00BB0B05">
        <w:t>proporciona</w:t>
      </w:r>
      <w:r w:rsidR="007977C5">
        <w:t>r</w:t>
      </w:r>
      <w:r w:rsidRPr="00BB0B05">
        <w:t xml:space="preserve"> a los clientes de servicios en la nube capacidades para recopilar, almacenar, analizar, visualizar y gestionar </w:t>
      </w:r>
      <w:r w:rsidR="00D100D2" w:rsidRPr="00BB0B05">
        <w:t>macro</w:t>
      </w:r>
      <w:r w:rsidRPr="00BB0B05">
        <w:t xml:space="preserve">datos, como se especifica en </w:t>
      </w:r>
      <w:r w:rsidR="00D100D2" w:rsidRPr="00BB0B05">
        <w:t>la Recomendación U</w:t>
      </w:r>
      <w:r w:rsidR="00684B15">
        <w:t xml:space="preserve">IT-T Y.3600. </w:t>
      </w:r>
      <w:r w:rsidRPr="00BB0B05">
        <w:t xml:space="preserve">Con el notable crecimiento de los volúmenes de datos y el rápido desarrollo de </w:t>
      </w:r>
      <w:r w:rsidR="00DF5E97" w:rsidRPr="00BB0B05">
        <w:t xml:space="preserve">empresas </w:t>
      </w:r>
      <w:r w:rsidRPr="00BB0B05">
        <w:t xml:space="preserve">de </w:t>
      </w:r>
      <w:r w:rsidR="00DF5E97" w:rsidRPr="00BB0B05">
        <w:t>macro</w:t>
      </w:r>
      <w:r w:rsidRPr="00BB0B05">
        <w:t xml:space="preserve">datos, la infraestructura de </w:t>
      </w:r>
      <w:r w:rsidR="00DF5E97" w:rsidRPr="00BB0B05">
        <w:t>macro</w:t>
      </w:r>
      <w:r w:rsidRPr="00BB0B05">
        <w:t xml:space="preserve">datos se ha convertido en </w:t>
      </w:r>
      <w:r w:rsidR="00B11783" w:rsidRPr="00BB0B05">
        <w:t xml:space="preserve">la principal </w:t>
      </w:r>
      <w:r w:rsidR="0023112D" w:rsidRPr="00BB0B05">
        <w:t>herramienta</w:t>
      </w:r>
      <w:r w:rsidR="00B11783" w:rsidRPr="00BB0B05">
        <w:t xml:space="preserve"> </w:t>
      </w:r>
      <w:r w:rsidRPr="00BB0B05">
        <w:t xml:space="preserve">para proporcionar BDaaS. </w:t>
      </w:r>
      <w:r w:rsidR="0023112D" w:rsidRPr="00BB0B05">
        <w:t xml:space="preserve">En </w:t>
      </w:r>
      <w:r w:rsidRPr="00BB0B05">
        <w:t xml:space="preserve">consecuencia, </w:t>
      </w:r>
      <w:r w:rsidR="0023112D" w:rsidRPr="00BB0B05">
        <w:t xml:space="preserve">han surgido </w:t>
      </w:r>
      <w:r w:rsidRPr="00BB0B05">
        <w:t>importantes prob</w:t>
      </w:r>
      <w:r w:rsidR="00684B15">
        <w:t xml:space="preserve">lemas de seguridad para BDaaS. </w:t>
      </w:r>
      <w:r w:rsidRPr="00BB0B05">
        <w:t xml:space="preserve">Por ejemplo, el diseño del </w:t>
      </w:r>
      <w:r w:rsidRPr="007977C5">
        <w:rPr>
          <w:i/>
        </w:rPr>
        <w:t>software</w:t>
      </w:r>
      <w:r w:rsidRPr="00BB0B05">
        <w:t xml:space="preserve"> de código abierto para </w:t>
      </w:r>
      <w:r w:rsidR="000767D0" w:rsidRPr="00BB0B05">
        <w:t>macro</w:t>
      </w:r>
      <w:r w:rsidRPr="00BB0B05">
        <w:t xml:space="preserve">datos </w:t>
      </w:r>
      <w:r w:rsidR="000767D0" w:rsidRPr="00BB0B05">
        <w:t xml:space="preserve">no siempre tiene </w:t>
      </w:r>
      <w:r w:rsidRPr="00BB0B05">
        <w:t xml:space="preserve">en cuenta </w:t>
      </w:r>
      <w:r w:rsidR="008C3CB7" w:rsidRPr="00BB0B05">
        <w:t>la seguridad desde el principio</w:t>
      </w:r>
      <w:r w:rsidRPr="00BB0B05">
        <w:t>.</w:t>
      </w:r>
      <w:r w:rsidR="00684B15">
        <w:t xml:space="preserve"> </w:t>
      </w:r>
      <w:r w:rsidRPr="00BB0B05">
        <w:t xml:space="preserve">Las nuevas tecnologías introducidas por el análisis de </w:t>
      </w:r>
      <w:r w:rsidR="004D3F8C" w:rsidRPr="00BB0B05">
        <w:t>macro</w:t>
      </w:r>
      <w:r w:rsidRPr="00BB0B05">
        <w:t xml:space="preserve">datos también pueden </w:t>
      </w:r>
      <w:r w:rsidR="004D3F8C" w:rsidRPr="00BB0B05">
        <w:t xml:space="preserve">hacer fracasar </w:t>
      </w:r>
      <w:r w:rsidRPr="00BB0B05">
        <w:t xml:space="preserve">las medidas tradicionales de protección de la seguridad. En la Recomendación X.1750 se analizan los problemas de seguridad </w:t>
      </w:r>
      <w:r w:rsidR="007006E4" w:rsidRPr="00BB0B05">
        <w:t xml:space="preserve">de </w:t>
      </w:r>
      <w:r w:rsidRPr="00BB0B05">
        <w:t xml:space="preserve">la BDaaS, se identifican las funciones y responsabilidades de seguridad para </w:t>
      </w:r>
      <w:r w:rsidR="007006E4" w:rsidRPr="00BB0B05">
        <w:t>prestar el servicio</w:t>
      </w:r>
      <w:r w:rsidRPr="00BB0B05">
        <w:t xml:space="preserve"> BDaaS </w:t>
      </w:r>
      <w:r w:rsidR="007006E4" w:rsidRPr="00BB0B05">
        <w:t xml:space="preserve">y se describe </w:t>
      </w:r>
      <w:r w:rsidRPr="00BB0B05">
        <w:t xml:space="preserve">un marco de seguridad para </w:t>
      </w:r>
      <w:r w:rsidR="00D2792C" w:rsidRPr="00BB0B05">
        <w:t xml:space="preserve">la </w:t>
      </w:r>
      <w:r w:rsidRPr="00BB0B05">
        <w:t xml:space="preserve">infraestructura de </w:t>
      </w:r>
      <w:r w:rsidR="00D2792C" w:rsidRPr="00BB0B05">
        <w:t>macro</w:t>
      </w:r>
      <w:r w:rsidRPr="00BB0B05">
        <w:t xml:space="preserve">datos. </w:t>
      </w:r>
      <w:r w:rsidR="00D2792C" w:rsidRPr="00BB0B05">
        <w:t xml:space="preserve">Asimismo, se </w:t>
      </w:r>
      <w:r w:rsidRPr="00BB0B05">
        <w:t>especifica</w:t>
      </w:r>
      <w:r w:rsidR="00D2792C" w:rsidRPr="00BB0B05">
        <w:t>n</w:t>
      </w:r>
      <w:r w:rsidRPr="00BB0B05">
        <w:t xml:space="preserve"> las medidas de protección de seguridad que </w:t>
      </w:r>
      <w:r w:rsidR="00D2792C" w:rsidRPr="00BB0B05">
        <w:t xml:space="preserve">se han de </w:t>
      </w:r>
      <w:r w:rsidRPr="00BB0B05">
        <w:t>satisfacer para los servicios y componentes relacionados con el BDaaS.</w:t>
      </w:r>
      <w:bookmarkEnd w:id="32"/>
    </w:p>
    <w:p w14:paraId="032A7464" w14:textId="37E8EB57" w:rsidR="00690FBF" w:rsidRPr="00BB0B05" w:rsidRDefault="009A41C6" w:rsidP="009A41C6">
      <w:pPr>
        <w:pStyle w:val="Heading1"/>
      </w:pPr>
      <w:r w:rsidRPr="00BB0B05">
        <w:lastRenderedPageBreak/>
        <w:t>11</w:t>
      </w:r>
      <w:r w:rsidR="00690FBF" w:rsidRPr="00BB0B05">
        <w:tab/>
      </w:r>
      <w:bookmarkStart w:id="33" w:name="lt_pId167"/>
      <w:r w:rsidR="00D2792C" w:rsidRPr="00BB0B05">
        <w:t xml:space="preserve">Proyecto de nueva Recomendación UIT-T </w:t>
      </w:r>
      <w:r w:rsidR="00690FBF" w:rsidRPr="00BB0B05">
        <w:t xml:space="preserve">X.1751 (X.sgtBD) </w:t>
      </w:r>
      <w:bookmarkEnd w:id="33"/>
      <w:r w:rsidR="007115BA" w:rsidRPr="00BB0B05">
        <w:rPr>
          <w:rFonts w:cstheme="minorHAnsi"/>
          <w:szCs w:val="22"/>
        </w:rPr>
        <w:t>[</w:t>
      </w:r>
      <w:hyperlink r:id="rId23" w:history="1">
        <w:r w:rsidR="007115BA" w:rsidRPr="00BB0B05">
          <w:rPr>
            <w:rStyle w:val="Hyperlink"/>
            <w:rFonts w:cstheme="minorHAnsi"/>
            <w:szCs w:val="22"/>
          </w:rPr>
          <w:t>R063</w:t>
        </w:r>
      </w:hyperlink>
      <w:r w:rsidR="007115BA" w:rsidRPr="00BB0B05">
        <w:rPr>
          <w:rFonts w:cstheme="minorHAnsi"/>
        </w:rPr>
        <w:t>]</w:t>
      </w:r>
    </w:p>
    <w:p w14:paraId="0EBFD229" w14:textId="33BBF071" w:rsidR="00690FBF" w:rsidRPr="00BB0B05" w:rsidRDefault="00A85AE0" w:rsidP="009A41C6">
      <w:pPr>
        <w:pStyle w:val="Headingb0"/>
      </w:pPr>
      <w:r w:rsidRPr="00BB0B05">
        <w:t xml:space="preserve">Directrices de seguridad sobre la gestión del ciclo de vida de </w:t>
      </w:r>
      <w:r w:rsidR="00874104" w:rsidRPr="00BB0B05">
        <w:t>macro</w:t>
      </w:r>
      <w:r w:rsidRPr="00BB0B05">
        <w:t xml:space="preserve">datos </w:t>
      </w:r>
      <w:r w:rsidR="00874104" w:rsidRPr="00BB0B05">
        <w:t xml:space="preserve">destinadas a </w:t>
      </w:r>
      <w:r w:rsidRPr="00BB0B05">
        <w:t xml:space="preserve">los operadores de telecomunicaciones </w:t>
      </w:r>
    </w:p>
    <w:p w14:paraId="6FEE1A5A" w14:textId="1C4EFA85" w:rsidR="00690FBF" w:rsidRPr="00BB0B05" w:rsidRDefault="00923B3C" w:rsidP="009A41C6">
      <w:pPr>
        <w:pStyle w:val="Headingb0"/>
      </w:pPr>
      <w:r w:rsidRPr="00BB0B05">
        <w:t>Resumen</w:t>
      </w:r>
    </w:p>
    <w:p w14:paraId="6F2B5E5E" w14:textId="3C0E9CD2" w:rsidR="00874104" w:rsidRPr="00BB0B05" w:rsidRDefault="00874104" w:rsidP="00874104">
      <w:bookmarkStart w:id="34" w:name="lt_pId177"/>
      <w:r w:rsidRPr="00BB0B05">
        <w:t xml:space="preserve">En esta Recomendación se analizan las vulnerabilidades de seguridad y se proporcionan directrices de seguridad sobre la gestión del ciclo de vida de </w:t>
      </w:r>
      <w:r w:rsidR="0065582C" w:rsidRPr="00BB0B05">
        <w:t>macro</w:t>
      </w:r>
      <w:r w:rsidRPr="00BB0B05">
        <w:t xml:space="preserve">datos </w:t>
      </w:r>
      <w:r w:rsidR="0065582C" w:rsidRPr="00BB0B05">
        <w:t xml:space="preserve">destinadas a </w:t>
      </w:r>
      <w:r w:rsidRPr="00BB0B05">
        <w:t>los operadores de telecomunicaciones.</w:t>
      </w:r>
    </w:p>
    <w:p w14:paraId="6DD024D2" w14:textId="3A014A5C" w:rsidR="00874104" w:rsidRPr="00BB0B05" w:rsidRDefault="00874104" w:rsidP="00874104">
      <w:r w:rsidRPr="00BB0B05">
        <w:t xml:space="preserve">Con </w:t>
      </w:r>
      <w:r w:rsidR="0065582C" w:rsidRPr="00BB0B05">
        <w:t xml:space="preserve">la </w:t>
      </w:r>
      <w:r w:rsidRPr="00BB0B05">
        <w:t>rápid</w:t>
      </w:r>
      <w:r w:rsidR="007977C5">
        <w:t>a</w:t>
      </w:r>
      <w:r w:rsidRPr="00BB0B05">
        <w:t xml:space="preserve"> </w:t>
      </w:r>
      <w:r w:rsidR="0065582C" w:rsidRPr="00BB0B05">
        <w:t xml:space="preserve">velocidad a la que evoluciona </w:t>
      </w:r>
      <w:r w:rsidRPr="00BB0B05">
        <w:t xml:space="preserve">la tecnología de </w:t>
      </w:r>
      <w:r w:rsidR="0065582C" w:rsidRPr="00BB0B05">
        <w:t>macro</w:t>
      </w:r>
      <w:r w:rsidRPr="00BB0B05">
        <w:t xml:space="preserve">datos, el valor de los datos ha aumentado </w:t>
      </w:r>
      <w:r w:rsidR="00F27643" w:rsidRPr="00BB0B05">
        <w:t>considerablemente</w:t>
      </w:r>
      <w:r w:rsidRPr="00BB0B05">
        <w:t xml:space="preserve">. Los </w:t>
      </w:r>
      <w:r w:rsidR="00F27643" w:rsidRPr="00BB0B05">
        <w:t>macro</w:t>
      </w:r>
      <w:r w:rsidRPr="00BB0B05">
        <w:t xml:space="preserve">datos brindan nuevas oportunidades a los servicios de telecomunicaciones. Anteriormente, los datos se almacenaban </w:t>
      </w:r>
      <w:r w:rsidR="00423E0D" w:rsidRPr="00BB0B05">
        <w:t xml:space="preserve">y gestionaban de manera aislada </w:t>
      </w:r>
      <w:r w:rsidR="00F56669" w:rsidRPr="00BB0B05">
        <w:t xml:space="preserve">e independiente </w:t>
      </w:r>
      <w:r w:rsidRPr="00BB0B05">
        <w:t xml:space="preserve">en diferentes sistemas de servicios de telecomunicaciones. La </w:t>
      </w:r>
      <w:r w:rsidR="006B058F" w:rsidRPr="00BB0B05">
        <w:t xml:space="preserve">tendencia a la combinación y fusión </w:t>
      </w:r>
      <w:r w:rsidRPr="00BB0B05">
        <w:t xml:space="preserve">de datos </w:t>
      </w:r>
      <w:r w:rsidR="007977C5">
        <w:t>e</w:t>
      </w:r>
      <w:r w:rsidRPr="00BB0B05">
        <w:t xml:space="preserve">s inevitable con </w:t>
      </w:r>
      <w:r w:rsidR="00400045" w:rsidRPr="00BB0B05">
        <w:t xml:space="preserve">la aparición </w:t>
      </w:r>
      <w:r w:rsidRPr="00BB0B05">
        <w:t xml:space="preserve">de </w:t>
      </w:r>
      <w:r w:rsidR="00400045" w:rsidRPr="00BB0B05">
        <w:t xml:space="preserve">los </w:t>
      </w:r>
      <w:r w:rsidRPr="00BB0B05">
        <w:t xml:space="preserve">servicios de </w:t>
      </w:r>
      <w:r w:rsidR="00400045" w:rsidRPr="00BB0B05">
        <w:t>macro</w:t>
      </w:r>
      <w:r w:rsidRPr="00BB0B05">
        <w:t xml:space="preserve">datos. En el proceso de convergencia de fusión de datos, los datos fluyen </w:t>
      </w:r>
      <w:r w:rsidR="00400045" w:rsidRPr="00BB0B05">
        <w:t xml:space="preserve">a través de </w:t>
      </w:r>
      <w:r w:rsidRPr="00BB0B05">
        <w:t>plataformas y procesos de</w:t>
      </w:r>
      <w:r w:rsidR="00400045" w:rsidRPr="00BB0B05">
        <w:t>l</w:t>
      </w:r>
      <w:r w:rsidRPr="00BB0B05">
        <w:t xml:space="preserve"> servicio. </w:t>
      </w:r>
      <w:r w:rsidR="00B142DB" w:rsidRPr="00BB0B05">
        <w:t>Surgen así</w:t>
      </w:r>
      <w:r w:rsidR="0083181A" w:rsidRPr="00BB0B05">
        <w:t xml:space="preserve"> </w:t>
      </w:r>
      <w:r w:rsidRPr="00BB0B05">
        <w:t xml:space="preserve">diversas vulnerabilidades de seguridad en </w:t>
      </w:r>
      <w:r w:rsidR="00B819DA" w:rsidRPr="00BB0B05">
        <w:t xml:space="preserve">las </w:t>
      </w:r>
      <w:r w:rsidRPr="00BB0B05">
        <w:t>diferentes etapas de</w:t>
      </w:r>
      <w:r w:rsidR="0083181A" w:rsidRPr="00BB0B05">
        <w:t>l</w:t>
      </w:r>
      <w:r w:rsidRPr="00BB0B05">
        <w:t xml:space="preserve"> ciclo de vida</w:t>
      </w:r>
      <w:r w:rsidR="0083181A" w:rsidRPr="00BB0B05">
        <w:t xml:space="preserve"> de los datos</w:t>
      </w:r>
      <w:r w:rsidRPr="00BB0B05">
        <w:t>.</w:t>
      </w:r>
    </w:p>
    <w:p w14:paraId="368C55EF" w14:textId="2D1BB69D" w:rsidR="00690FBF" w:rsidRPr="00BB0B05" w:rsidRDefault="00874104" w:rsidP="00874104">
      <w:r w:rsidRPr="00BB0B05">
        <w:t>E</w:t>
      </w:r>
      <w:r w:rsidR="00B819DA" w:rsidRPr="00BB0B05">
        <w:t>n e</w:t>
      </w:r>
      <w:r w:rsidRPr="00BB0B05">
        <w:t xml:space="preserve">sta Recomendación </w:t>
      </w:r>
      <w:r w:rsidR="00B819DA" w:rsidRPr="00BB0B05">
        <w:t xml:space="preserve">se </w:t>
      </w:r>
      <w:r w:rsidRPr="00BB0B05">
        <w:t>presenta</w:t>
      </w:r>
      <w:r w:rsidR="00B819DA" w:rsidRPr="00BB0B05">
        <w:t>n</w:t>
      </w:r>
      <w:r w:rsidRPr="00BB0B05">
        <w:t xml:space="preserve"> las características específicas de los servicios de </w:t>
      </w:r>
      <w:r w:rsidR="00B819DA" w:rsidRPr="00BB0B05">
        <w:t>macro</w:t>
      </w:r>
      <w:r w:rsidRPr="00BB0B05">
        <w:t xml:space="preserve">datos y las categorías de datos </w:t>
      </w:r>
      <w:r w:rsidR="005312E0" w:rsidRPr="00BB0B05">
        <w:t xml:space="preserve">en el ámbito de las </w:t>
      </w:r>
      <w:r w:rsidRPr="00BB0B05">
        <w:t xml:space="preserve">telecomunicaciones, </w:t>
      </w:r>
      <w:r w:rsidR="005312E0" w:rsidRPr="00BB0B05">
        <w:t xml:space="preserve">se </w:t>
      </w:r>
      <w:r w:rsidRPr="00BB0B05">
        <w:t>analiza</w:t>
      </w:r>
      <w:r w:rsidR="005312E0" w:rsidRPr="00BB0B05">
        <w:t>n</w:t>
      </w:r>
      <w:r w:rsidRPr="00BB0B05">
        <w:t xml:space="preserve"> las vulnerabilidades de seguridad de la gestión del ciclo de vida de los </w:t>
      </w:r>
      <w:proofErr w:type="spellStart"/>
      <w:r w:rsidR="005312E0" w:rsidRPr="00BB0B05">
        <w:t>macro</w:t>
      </w:r>
      <w:r w:rsidRPr="00BB0B05">
        <w:t>datos</w:t>
      </w:r>
      <w:proofErr w:type="spellEnd"/>
      <w:r w:rsidRPr="00BB0B05">
        <w:t xml:space="preserve"> y </w:t>
      </w:r>
      <w:r w:rsidR="007977C5">
        <w:t xml:space="preserve">se </w:t>
      </w:r>
      <w:r w:rsidRPr="00BB0B05">
        <w:t>especifica</w:t>
      </w:r>
      <w:r w:rsidR="005312E0" w:rsidRPr="00BB0B05">
        <w:t>n</w:t>
      </w:r>
      <w:r w:rsidRPr="00BB0B05">
        <w:t xml:space="preserve"> las directrices de seguridad para los operadores de telecomunicaciones</w:t>
      </w:r>
      <w:r w:rsidR="00690FBF" w:rsidRPr="00BB0B05">
        <w:t>.</w:t>
      </w:r>
      <w:bookmarkEnd w:id="34"/>
    </w:p>
    <w:p w14:paraId="40C994F4" w14:textId="77777777" w:rsidR="00690FBF" w:rsidRPr="00BB0B05" w:rsidRDefault="00690FBF" w:rsidP="00A90C00">
      <w:pPr>
        <w:tabs>
          <w:tab w:val="clear" w:pos="794"/>
          <w:tab w:val="clear" w:pos="1191"/>
          <w:tab w:val="clear" w:pos="1588"/>
          <w:tab w:val="clear" w:pos="1985"/>
        </w:tabs>
        <w:overflowPunct/>
        <w:autoSpaceDE/>
        <w:autoSpaceDN/>
        <w:adjustRightInd/>
        <w:spacing w:before="0"/>
        <w:textAlignment w:val="auto"/>
      </w:pPr>
      <w:r w:rsidRPr="00BB0B05">
        <w:rPr>
          <w:rFonts w:cstheme="minorHAnsi"/>
        </w:rPr>
        <w:br w:type="page"/>
      </w:r>
    </w:p>
    <w:p w14:paraId="702101CA" w14:textId="77777777" w:rsidR="00690FBF" w:rsidRPr="00BB0B05" w:rsidRDefault="00690FBF" w:rsidP="00A90C00">
      <w:pPr>
        <w:pStyle w:val="Annextitle0"/>
        <w:spacing w:before="120"/>
        <w:rPr>
          <w:lang w:val="es-ES_tradnl"/>
        </w:rPr>
      </w:pPr>
      <w:r w:rsidRPr="00BB0B05">
        <w:rPr>
          <w:lang w:val="es-ES_tradnl"/>
        </w:rPr>
        <w:lastRenderedPageBreak/>
        <w:t>ANEXO 2</w:t>
      </w:r>
    </w:p>
    <w:p w14:paraId="3D4E9F10" w14:textId="564FED89" w:rsidR="00690FBF" w:rsidRPr="00BB0B05" w:rsidRDefault="004E0087" w:rsidP="00A90C00">
      <w:pPr>
        <w:pStyle w:val="Annextitle0"/>
        <w:rPr>
          <w:szCs w:val="22"/>
          <w:lang w:val="es-ES_tradnl"/>
        </w:rPr>
      </w:pPr>
      <w:r w:rsidRPr="00BB0B05">
        <w:rPr>
          <w:lang w:val="es-ES_tradnl"/>
        </w:rPr>
        <w:t>Asunto: Respuesta de</w:t>
      </w:r>
      <w:r w:rsidR="007126A8" w:rsidRPr="00BB0B05">
        <w:rPr>
          <w:lang w:val="es-ES_tradnl"/>
        </w:rPr>
        <w:t>l</w:t>
      </w:r>
      <w:r w:rsidRPr="00BB0B05">
        <w:rPr>
          <w:lang w:val="es-ES_tradnl"/>
        </w:rPr>
        <w:t xml:space="preserve"> Estado Miembro a la Circular </w:t>
      </w:r>
      <w:r w:rsidR="007F578C" w:rsidRPr="00BB0B05">
        <w:rPr>
          <w:lang w:val="es-ES_tradnl"/>
        </w:rPr>
        <w:t>246</w:t>
      </w:r>
      <w:r w:rsidRPr="00BB0B05">
        <w:rPr>
          <w:lang w:val="es-ES_tradnl"/>
        </w:rPr>
        <w:t xml:space="preserve"> de la TSB:</w:t>
      </w:r>
      <w:r w:rsidRPr="00BB0B05">
        <w:rPr>
          <w:lang w:val="es-ES_tradnl"/>
        </w:rPr>
        <w:br/>
        <w:t xml:space="preserve">Consulta sobre los proyectos determinados de Recomendaciones </w:t>
      </w:r>
      <w:r w:rsidRPr="00BB0B05">
        <w:rPr>
          <w:lang w:val="es-ES_tradnl"/>
        </w:rPr>
        <w:br/>
        <w:t>UIT-T</w:t>
      </w:r>
      <w:r w:rsidR="00690FBF" w:rsidRPr="00BB0B05">
        <w:rPr>
          <w:lang w:val="es-ES_tradnl"/>
        </w:rPr>
        <w:t xml:space="preserve"> </w:t>
      </w:r>
      <w:r w:rsidR="00690FBF" w:rsidRPr="00BB0B05">
        <w:rPr>
          <w:rFonts w:asciiTheme="minorHAnsi" w:hAnsiTheme="minorHAnsi"/>
          <w:lang w:val="es-ES_tradnl"/>
        </w:rPr>
        <w:t>X.</w:t>
      </w:r>
      <w:r w:rsidR="00690FBF" w:rsidRPr="00BB0B05">
        <w:rPr>
          <w:rFonts w:asciiTheme="minorHAnsi" w:hAnsiTheme="minorHAnsi" w:cstheme="minorHAnsi"/>
          <w:szCs w:val="22"/>
          <w:lang w:val="es-ES_tradnl"/>
        </w:rPr>
        <w:t xml:space="preserve">1054, </w:t>
      </w:r>
      <w:r w:rsidR="00690FBF" w:rsidRPr="00BB0B05">
        <w:rPr>
          <w:rFonts w:asciiTheme="minorHAnsi" w:hAnsiTheme="minorHAnsi"/>
          <w:lang w:val="es-ES_tradnl"/>
        </w:rPr>
        <w:t>X.</w:t>
      </w:r>
      <w:r w:rsidR="00690FBF" w:rsidRPr="00BB0B05">
        <w:rPr>
          <w:rFonts w:asciiTheme="minorHAnsi" w:hAnsiTheme="minorHAnsi" w:cstheme="minorHAnsi"/>
          <w:szCs w:val="22"/>
          <w:lang w:val="es-ES_tradnl"/>
        </w:rPr>
        <w:t>1148 (</w:t>
      </w:r>
      <w:r w:rsidR="00690FBF" w:rsidRPr="00BB0B05">
        <w:rPr>
          <w:rFonts w:asciiTheme="minorHAnsi" w:hAnsiTheme="minorHAnsi"/>
          <w:lang w:val="es-ES_tradnl"/>
        </w:rPr>
        <w:t>X.</w:t>
      </w:r>
      <w:r w:rsidR="00690FBF" w:rsidRPr="00BB0B05">
        <w:rPr>
          <w:rFonts w:asciiTheme="minorHAnsi" w:hAnsiTheme="minorHAnsi" w:cstheme="minorHAnsi"/>
          <w:szCs w:val="22"/>
          <w:lang w:val="es-ES_tradnl"/>
        </w:rPr>
        <w:t xml:space="preserve">fdip), </w:t>
      </w:r>
      <w:r w:rsidR="00690FBF" w:rsidRPr="00BB0B05">
        <w:rPr>
          <w:rFonts w:asciiTheme="minorHAnsi" w:hAnsiTheme="minorHAnsi"/>
          <w:lang w:val="es-ES_tradnl"/>
        </w:rPr>
        <w:t>X.</w:t>
      </w:r>
      <w:r w:rsidR="00690FBF" w:rsidRPr="00BB0B05">
        <w:rPr>
          <w:rFonts w:asciiTheme="minorHAnsi" w:hAnsiTheme="minorHAnsi" w:cstheme="minorHAnsi"/>
          <w:szCs w:val="22"/>
          <w:lang w:val="es-ES_tradnl"/>
        </w:rPr>
        <w:t>1216 (X.gcpie), X.1254,</w:t>
      </w:r>
      <w:r w:rsidR="007115BA" w:rsidRPr="00BB0B05">
        <w:rPr>
          <w:rFonts w:asciiTheme="minorHAnsi" w:hAnsiTheme="minorHAnsi" w:cstheme="minorHAnsi"/>
          <w:szCs w:val="22"/>
          <w:lang w:val="es-ES_tradnl"/>
        </w:rPr>
        <w:br/>
      </w:r>
      <w:r w:rsidR="00690FBF" w:rsidRPr="00BB0B05">
        <w:rPr>
          <w:rFonts w:asciiTheme="minorHAnsi" w:hAnsiTheme="minorHAnsi" w:cstheme="minorHAnsi"/>
          <w:szCs w:val="22"/>
          <w:lang w:val="es-ES_tradnl"/>
        </w:rPr>
        <w:t>X.1279 (X.eaasd),</w:t>
      </w:r>
      <w:r w:rsidR="007115BA" w:rsidRPr="00BB0B05">
        <w:rPr>
          <w:rFonts w:asciiTheme="minorHAnsi" w:hAnsiTheme="minorHAnsi" w:cstheme="minorHAnsi"/>
          <w:szCs w:val="22"/>
          <w:lang w:val="es-ES_tradnl"/>
        </w:rPr>
        <w:t xml:space="preserve"> </w:t>
      </w:r>
      <w:r w:rsidR="00690FBF" w:rsidRPr="00BB0B05">
        <w:rPr>
          <w:rFonts w:asciiTheme="minorHAnsi" w:hAnsiTheme="minorHAnsi" w:cstheme="minorHAnsi"/>
          <w:szCs w:val="22"/>
          <w:lang w:val="es-ES_tradnl"/>
        </w:rPr>
        <w:t>X.1366 (X.amas</w:t>
      </w:r>
      <w:r w:rsidR="00690FBF" w:rsidRPr="00BB0B05">
        <w:rPr>
          <w:rFonts w:asciiTheme="minorHAnsi" w:hAnsiTheme="minorHAnsi"/>
          <w:lang w:val="es-ES_tradnl"/>
        </w:rPr>
        <w:t>-iot</w:t>
      </w:r>
      <w:r w:rsidR="00690FBF" w:rsidRPr="00BB0B05">
        <w:rPr>
          <w:rFonts w:asciiTheme="minorHAnsi" w:hAnsiTheme="minorHAnsi" w:cstheme="minorHAnsi"/>
          <w:szCs w:val="22"/>
          <w:lang w:val="es-ES_tradnl"/>
        </w:rPr>
        <w:t>), X.1367 (X.elf-iot),</w:t>
      </w:r>
      <w:r w:rsidR="007115BA" w:rsidRPr="00BB0B05">
        <w:rPr>
          <w:rFonts w:asciiTheme="minorHAnsi" w:hAnsiTheme="minorHAnsi" w:cstheme="minorHAnsi"/>
          <w:szCs w:val="22"/>
          <w:lang w:val="es-ES_tradnl"/>
        </w:rPr>
        <w:br/>
      </w:r>
      <w:r w:rsidR="00690FBF" w:rsidRPr="00BB0B05">
        <w:rPr>
          <w:rFonts w:asciiTheme="minorHAnsi" w:hAnsiTheme="minorHAnsi" w:cstheme="minorHAnsi"/>
          <w:szCs w:val="22"/>
          <w:lang w:val="es-ES_tradnl"/>
        </w:rPr>
        <w:t>X.1403 (X.dlt-sec),</w:t>
      </w:r>
      <w:r w:rsidR="007115BA" w:rsidRPr="00BB0B05">
        <w:rPr>
          <w:rFonts w:asciiTheme="minorHAnsi" w:hAnsiTheme="minorHAnsi" w:cstheme="minorHAnsi"/>
          <w:szCs w:val="22"/>
          <w:lang w:val="es-ES_tradnl"/>
        </w:rPr>
        <w:t xml:space="preserve"> </w:t>
      </w:r>
      <w:r w:rsidR="00690FBF" w:rsidRPr="00BB0B05">
        <w:rPr>
          <w:rFonts w:asciiTheme="minorHAnsi" w:hAnsiTheme="minorHAnsi" w:cstheme="minorHAnsi"/>
          <w:szCs w:val="22"/>
          <w:lang w:val="es-ES_tradnl"/>
        </w:rPr>
        <w:t>X.1606 (X.SRCaaS), X.1750</w:t>
      </w:r>
      <w:r w:rsidR="007115BA" w:rsidRPr="00BB0B05">
        <w:rPr>
          <w:rFonts w:asciiTheme="minorHAnsi" w:hAnsiTheme="minorHAnsi" w:cstheme="minorHAnsi"/>
          <w:szCs w:val="22"/>
          <w:lang w:val="es-ES_tradnl"/>
        </w:rPr>
        <w:br/>
      </w:r>
      <w:r w:rsidR="00690FBF" w:rsidRPr="00BB0B05">
        <w:rPr>
          <w:rFonts w:asciiTheme="minorHAnsi" w:hAnsiTheme="minorHAnsi" w:cstheme="minorHAnsi"/>
          <w:szCs w:val="22"/>
          <w:lang w:val="es-ES_tradnl"/>
        </w:rPr>
        <w:t>(X.GSBDaaS</w:t>
      </w:r>
      <w:r w:rsidR="00690FBF" w:rsidRPr="00BB0B05">
        <w:rPr>
          <w:rFonts w:asciiTheme="minorHAnsi" w:hAnsiTheme="minorHAnsi"/>
          <w:lang w:val="es-ES_tradnl"/>
        </w:rPr>
        <w:t xml:space="preserve">) </w:t>
      </w:r>
      <w:r w:rsidR="00627003" w:rsidRPr="00BB0B05">
        <w:rPr>
          <w:rFonts w:asciiTheme="minorHAnsi" w:hAnsiTheme="minorHAnsi"/>
          <w:lang w:val="es-ES_tradnl"/>
        </w:rPr>
        <w:t>y</w:t>
      </w:r>
      <w:r w:rsidR="00690FBF" w:rsidRPr="00BB0B05">
        <w:rPr>
          <w:rFonts w:asciiTheme="minorHAnsi" w:hAnsiTheme="minorHAnsi"/>
          <w:lang w:val="es-ES_tradnl"/>
        </w:rPr>
        <w:t xml:space="preserve"> X.</w:t>
      </w:r>
      <w:r w:rsidR="00690FBF" w:rsidRPr="00BB0B05">
        <w:rPr>
          <w:rFonts w:asciiTheme="minorHAnsi" w:hAnsiTheme="minorHAnsi" w:cstheme="minorHAnsi"/>
          <w:szCs w:val="22"/>
          <w:lang w:val="es-ES_tradnl"/>
        </w:rPr>
        <w:t>1751</w:t>
      </w:r>
      <w:r w:rsidR="00690FBF" w:rsidRPr="00BB0B05">
        <w:rPr>
          <w:rFonts w:asciiTheme="minorHAnsi" w:hAnsiTheme="minorHAnsi"/>
          <w:lang w:val="es-ES_tradnl"/>
        </w:rPr>
        <w:t xml:space="preserve"> (X.</w:t>
      </w:r>
      <w:r w:rsidR="00690FBF" w:rsidRPr="00BB0B05">
        <w:rPr>
          <w:rFonts w:asciiTheme="minorHAnsi" w:hAnsiTheme="minorHAnsi" w:cstheme="minorHAnsi"/>
          <w:szCs w:val="22"/>
          <w:lang w:val="es-ES_tradnl"/>
        </w:rPr>
        <w:t>sgtBD</w:t>
      </w:r>
      <w:r w:rsidR="00690FBF" w:rsidRPr="00BB0B05">
        <w:rPr>
          <w:rFonts w:asciiTheme="minorHAnsi" w:hAnsiTheme="minorHAnsi"/>
          <w:lang w:val="es-ES_tradnl"/>
        </w:rPr>
        <w:t>)</w:t>
      </w:r>
    </w:p>
    <w:p w14:paraId="0C390C3F" w14:textId="77777777" w:rsidR="00690FBF" w:rsidRPr="00BB0B05" w:rsidRDefault="00690FBF" w:rsidP="00A90C00"/>
    <w:tbl>
      <w:tblPr>
        <w:tblW w:w="9729" w:type="dxa"/>
        <w:tblInd w:w="10" w:type="dxa"/>
        <w:tblLayout w:type="fixed"/>
        <w:tblLook w:val="04A0" w:firstRow="1" w:lastRow="0" w:firstColumn="1" w:lastColumn="0" w:noHBand="0" w:noVBand="1"/>
      </w:tblPr>
      <w:tblGrid>
        <w:gridCol w:w="1176"/>
        <w:gridCol w:w="4558"/>
        <w:gridCol w:w="1167"/>
        <w:gridCol w:w="2828"/>
      </w:tblGrid>
      <w:tr w:rsidR="00690FBF" w:rsidRPr="00BB0B05" w14:paraId="73B981A2" w14:textId="77777777" w:rsidTr="00D67D2E">
        <w:tc>
          <w:tcPr>
            <w:tcW w:w="1176" w:type="dxa"/>
            <w:shd w:val="clear" w:color="auto" w:fill="auto"/>
          </w:tcPr>
          <w:p w14:paraId="039781CA" w14:textId="77777777" w:rsidR="00690FBF" w:rsidRPr="00BB0B05" w:rsidRDefault="00690FBF" w:rsidP="00A90C00">
            <w:pPr>
              <w:spacing w:before="0"/>
              <w:jc w:val="right"/>
              <w:rPr>
                <w:szCs w:val="24"/>
              </w:rPr>
            </w:pPr>
            <w:r w:rsidRPr="00BB0B05">
              <w:rPr>
                <w:b/>
                <w:bCs/>
              </w:rPr>
              <w:t>A:</w:t>
            </w:r>
          </w:p>
        </w:tc>
        <w:tc>
          <w:tcPr>
            <w:tcW w:w="4558" w:type="dxa"/>
            <w:shd w:val="clear" w:color="auto" w:fill="auto"/>
          </w:tcPr>
          <w:p w14:paraId="665ADEFF" w14:textId="77777777" w:rsidR="00690FBF" w:rsidRPr="00BB0B05" w:rsidRDefault="00690FBF" w:rsidP="00A90C00">
            <w:pPr>
              <w:spacing w:before="0"/>
              <w:rPr>
                <w:szCs w:val="24"/>
              </w:rPr>
            </w:pPr>
            <w:bookmarkStart w:id="35" w:name="lt_pId115"/>
            <w:r w:rsidRPr="00BB0B05">
              <w:t xml:space="preserve">Director </w:t>
            </w:r>
            <w:bookmarkStart w:id="36" w:name="lt_pId116"/>
            <w:bookmarkEnd w:id="35"/>
            <w:r w:rsidRPr="00BB0B05">
              <w:t xml:space="preserve">de la Oficina de </w:t>
            </w:r>
            <w:r w:rsidRPr="00BB0B05">
              <w:br/>
              <w:t>Normalización de las Telecomunicaciones,</w:t>
            </w:r>
            <w:bookmarkEnd w:id="36"/>
            <w:r w:rsidRPr="00BB0B05">
              <w:t xml:space="preserve"> </w:t>
            </w:r>
            <w:r w:rsidRPr="00BB0B05">
              <w:br/>
              <w:t>Unión Internacional de Telecomunicaciones</w:t>
            </w:r>
            <w:r w:rsidRPr="00BB0B05">
              <w:br/>
              <w:t>Place des Nations</w:t>
            </w:r>
            <w:r w:rsidRPr="00BB0B05">
              <w:br/>
              <w:t>CH 1211 Ginebra 20, Suiza</w:t>
            </w:r>
          </w:p>
        </w:tc>
        <w:tc>
          <w:tcPr>
            <w:tcW w:w="1167" w:type="dxa"/>
            <w:shd w:val="clear" w:color="auto" w:fill="auto"/>
          </w:tcPr>
          <w:p w14:paraId="4729DAD1" w14:textId="6365DADC" w:rsidR="00690FBF" w:rsidRPr="00D67D2E" w:rsidRDefault="00BB0B05" w:rsidP="00D67D2E">
            <w:pPr>
              <w:spacing w:before="0"/>
              <w:jc w:val="right"/>
              <w:rPr>
                <w:b/>
                <w:bCs/>
              </w:rPr>
            </w:pPr>
            <w:r w:rsidRPr="00D67D2E">
              <w:rPr>
                <w:b/>
                <w:bCs/>
              </w:rPr>
              <w:t>De</w:t>
            </w:r>
            <w:r w:rsidR="00690FBF" w:rsidRPr="00D67D2E">
              <w:rPr>
                <w:b/>
                <w:bCs/>
              </w:rPr>
              <w:t>:</w:t>
            </w:r>
          </w:p>
        </w:tc>
        <w:tc>
          <w:tcPr>
            <w:tcW w:w="2828" w:type="dxa"/>
            <w:shd w:val="clear" w:color="auto" w:fill="auto"/>
          </w:tcPr>
          <w:p w14:paraId="2BBC5945" w14:textId="77777777" w:rsidR="00690FBF" w:rsidRPr="00BB0B05" w:rsidRDefault="00690FBF" w:rsidP="00A90C00">
            <w:pPr>
              <w:spacing w:before="0"/>
              <w:rPr>
                <w:szCs w:val="24"/>
              </w:rPr>
            </w:pPr>
            <w:r w:rsidRPr="00BB0B05">
              <w:rPr>
                <w:szCs w:val="24"/>
                <w:highlight w:val="green"/>
              </w:rPr>
              <w:t>[Nombre]</w:t>
            </w:r>
            <w:r w:rsidRPr="00BB0B05">
              <w:rPr>
                <w:szCs w:val="24"/>
                <w:highlight w:val="green"/>
              </w:rPr>
              <w:br/>
              <w:t>[Cargo oficial/Título]</w:t>
            </w:r>
            <w:r w:rsidRPr="00BB0B05">
              <w:rPr>
                <w:szCs w:val="24"/>
                <w:highlight w:val="green"/>
              </w:rPr>
              <w:br/>
              <w:t>[Dirección]</w:t>
            </w:r>
          </w:p>
        </w:tc>
      </w:tr>
      <w:tr w:rsidR="00690FBF" w:rsidRPr="00BB0B05" w14:paraId="72C15102" w14:textId="77777777" w:rsidTr="00D67D2E">
        <w:tc>
          <w:tcPr>
            <w:tcW w:w="1176" w:type="dxa"/>
            <w:shd w:val="clear" w:color="auto" w:fill="auto"/>
          </w:tcPr>
          <w:p w14:paraId="2EAF0E53" w14:textId="77777777" w:rsidR="00690FBF" w:rsidRPr="00BB0B05" w:rsidRDefault="00690FBF" w:rsidP="00A90C00">
            <w:pPr>
              <w:spacing w:before="0"/>
              <w:jc w:val="right"/>
              <w:rPr>
                <w:szCs w:val="24"/>
              </w:rPr>
            </w:pPr>
            <w:r w:rsidRPr="00BB0B05">
              <w:rPr>
                <w:b/>
                <w:bCs/>
                <w:szCs w:val="24"/>
              </w:rPr>
              <w:t>Fax</w:t>
            </w:r>
            <w:r w:rsidRPr="00BB0B05">
              <w:rPr>
                <w:szCs w:val="24"/>
              </w:rPr>
              <w:t>:</w:t>
            </w:r>
          </w:p>
          <w:p w14:paraId="0CC56457" w14:textId="77777777" w:rsidR="00690FBF" w:rsidRPr="00BB0B05" w:rsidRDefault="00690FBF" w:rsidP="00A90C00">
            <w:pPr>
              <w:spacing w:before="0"/>
              <w:jc w:val="right"/>
              <w:rPr>
                <w:szCs w:val="24"/>
              </w:rPr>
            </w:pPr>
            <w:r w:rsidRPr="00BB0B05">
              <w:rPr>
                <w:b/>
                <w:bCs/>
                <w:szCs w:val="24"/>
              </w:rPr>
              <w:t>Correo-e:</w:t>
            </w:r>
          </w:p>
        </w:tc>
        <w:tc>
          <w:tcPr>
            <w:tcW w:w="4558" w:type="dxa"/>
            <w:shd w:val="clear" w:color="auto" w:fill="auto"/>
          </w:tcPr>
          <w:p w14:paraId="0BA71D73" w14:textId="77777777" w:rsidR="00690FBF" w:rsidRPr="00BB0B05" w:rsidRDefault="00690FBF" w:rsidP="00A90C00">
            <w:pPr>
              <w:spacing w:before="0"/>
              <w:rPr>
                <w:szCs w:val="24"/>
              </w:rPr>
            </w:pPr>
            <w:r w:rsidRPr="00BB0B05">
              <w:rPr>
                <w:szCs w:val="24"/>
              </w:rPr>
              <w:t>+41-22-730-5853</w:t>
            </w:r>
          </w:p>
          <w:p w14:paraId="25216EF7" w14:textId="77777777" w:rsidR="00690FBF" w:rsidRPr="00BB0B05" w:rsidRDefault="000A28E1" w:rsidP="00A90C00">
            <w:pPr>
              <w:spacing w:before="0"/>
              <w:rPr>
                <w:szCs w:val="24"/>
              </w:rPr>
            </w:pPr>
            <w:hyperlink r:id="rId24" w:history="1">
              <w:r w:rsidR="00690FBF" w:rsidRPr="00BB0B05">
                <w:rPr>
                  <w:rStyle w:val="Hyperlink"/>
                  <w:szCs w:val="24"/>
                </w:rPr>
                <w:t>tsbdir@itu.int</w:t>
              </w:r>
            </w:hyperlink>
            <w:r w:rsidR="00690FBF" w:rsidRPr="00BB0B05">
              <w:rPr>
                <w:szCs w:val="24"/>
              </w:rPr>
              <w:t xml:space="preserve"> </w:t>
            </w:r>
          </w:p>
        </w:tc>
        <w:tc>
          <w:tcPr>
            <w:tcW w:w="1167" w:type="dxa"/>
            <w:shd w:val="clear" w:color="auto" w:fill="auto"/>
          </w:tcPr>
          <w:p w14:paraId="0EAAB753" w14:textId="77777777" w:rsidR="00690FBF" w:rsidRPr="00BB0B05" w:rsidRDefault="00690FBF" w:rsidP="00A90C00">
            <w:pPr>
              <w:spacing w:before="0"/>
              <w:jc w:val="right"/>
              <w:rPr>
                <w:szCs w:val="24"/>
              </w:rPr>
            </w:pPr>
            <w:r w:rsidRPr="00BB0B05">
              <w:rPr>
                <w:b/>
                <w:bCs/>
                <w:szCs w:val="24"/>
              </w:rPr>
              <w:t>Fax</w:t>
            </w:r>
            <w:r w:rsidRPr="00BB0B05">
              <w:rPr>
                <w:szCs w:val="24"/>
              </w:rPr>
              <w:t>:</w:t>
            </w:r>
          </w:p>
          <w:p w14:paraId="4647AA77" w14:textId="77777777" w:rsidR="00690FBF" w:rsidRPr="00BB0B05" w:rsidRDefault="00690FBF" w:rsidP="00A90C00">
            <w:pPr>
              <w:spacing w:before="0"/>
              <w:jc w:val="right"/>
              <w:rPr>
                <w:szCs w:val="24"/>
              </w:rPr>
            </w:pPr>
            <w:r w:rsidRPr="00BB0B05">
              <w:rPr>
                <w:b/>
                <w:bCs/>
                <w:szCs w:val="24"/>
              </w:rPr>
              <w:t>Correo-e:</w:t>
            </w:r>
          </w:p>
        </w:tc>
        <w:tc>
          <w:tcPr>
            <w:tcW w:w="2828" w:type="dxa"/>
            <w:shd w:val="clear" w:color="auto" w:fill="auto"/>
          </w:tcPr>
          <w:p w14:paraId="466383BA" w14:textId="77777777" w:rsidR="00690FBF" w:rsidRPr="00BB0B05" w:rsidRDefault="00690FBF" w:rsidP="00A90C00">
            <w:pPr>
              <w:spacing w:before="0"/>
              <w:rPr>
                <w:szCs w:val="24"/>
              </w:rPr>
            </w:pPr>
          </w:p>
        </w:tc>
      </w:tr>
    </w:tbl>
    <w:p w14:paraId="7D4D9CC7" w14:textId="77777777" w:rsidR="00690FBF" w:rsidRPr="00BB0B05" w:rsidRDefault="00690FBF" w:rsidP="00A90C00">
      <w:pPr>
        <w:spacing w:before="360"/>
        <w:rPr>
          <w:szCs w:val="24"/>
        </w:rPr>
      </w:pPr>
      <w:r w:rsidRPr="00BB0B05">
        <w:rPr>
          <w:szCs w:val="24"/>
        </w:rPr>
        <w:t>Muy Señora mía/Muy Señor mío:</w:t>
      </w:r>
    </w:p>
    <w:p w14:paraId="25848398" w14:textId="2DECA2A8" w:rsidR="00690FBF" w:rsidRPr="00BB0B05" w:rsidRDefault="00690FBF" w:rsidP="00A90C00">
      <w:pPr>
        <w:rPr>
          <w:szCs w:val="24"/>
        </w:rPr>
      </w:pPr>
      <w:r w:rsidRPr="00BB0B05">
        <w:rPr>
          <w:szCs w:val="24"/>
        </w:rPr>
        <w:t>En lo que respecta a la consulta a los Estados Miembros sobre los proyectos determinados que se enumeran en la Circular 2</w:t>
      </w:r>
      <w:r w:rsidR="00D67D2E">
        <w:rPr>
          <w:szCs w:val="24"/>
        </w:rPr>
        <w:t>46</w:t>
      </w:r>
      <w:r w:rsidRPr="00BB0B05">
        <w:rPr>
          <w:szCs w:val="24"/>
        </w:rPr>
        <w:t xml:space="preserve"> de la TSB, deseo informarle de la opinión de esta Administración, que se refleja en el siguiente cuadro:</w:t>
      </w:r>
    </w:p>
    <w:p w14:paraId="67B91716" w14:textId="77777777" w:rsidR="00690FBF" w:rsidRPr="00BB0B05" w:rsidRDefault="00690FBF" w:rsidP="00A90C0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7568"/>
      </w:tblGrid>
      <w:tr w:rsidR="00690FBF" w:rsidRPr="00BB0B05" w14:paraId="4DCA32AD" w14:textId="77777777" w:rsidTr="00872A97">
        <w:trPr>
          <w:tblHeader/>
        </w:trPr>
        <w:tc>
          <w:tcPr>
            <w:tcW w:w="2067" w:type="dxa"/>
            <w:shd w:val="clear" w:color="auto" w:fill="auto"/>
            <w:vAlign w:val="center"/>
          </w:tcPr>
          <w:p w14:paraId="42B7A206" w14:textId="77777777" w:rsidR="00690FBF" w:rsidRPr="00BB0B05" w:rsidRDefault="00690FBF" w:rsidP="00A90C00">
            <w:pPr>
              <w:spacing w:after="120"/>
              <w:jc w:val="center"/>
              <w:rPr>
                <w:b/>
                <w:bCs/>
                <w:szCs w:val="24"/>
              </w:rPr>
            </w:pPr>
          </w:p>
        </w:tc>
        <w:tc>
          <w:tcPr>
            <w:tcW w:w="7652" w:type="dxa"/>
            <w:shd w:val="clear" w:color="auto" w:fill="auto"/>
            <w:vAlign w:val="center"/>
          </w:tcPr>
          <w:p w14:paraId="19CFA3C3" w14:textId="77777777" w:rsidR="00690FBF" w:rsidRPr="00BB0B05" w:rsidRDefault="00690FBF" w:rsidP="00A90C00">
            <w:pPr>
              <w:tabs>
                <w:tab w:val="clear" w:pos="794"/>
                <w:tab w:val="clear" w:pos="1191"/>
                <w:tab w:val="clear" w:pos="1588"/>
                <w:tab w:val="clear" w:pos="1985"/>
              </w:tabs>
              <w:spacing w:after="120"/>
              <w:ind w:left="939" w:hanging="459"/>
              <w:jc w:val="center"/>
              <w:rPr>
                <w:b/>
                <w:bCs/>
                <w:sz w:val="22"/>
                <w:szCs w:val="22"/>
              </w:rPr>
            </w:pPr>
            <w:bookmarkStart w:id="37" w:name="lt_pId134"/>
            <w:r w:rsidRPr="00BB0B05">
              <w:rPr>
                <w:b/>
                <w:bCs/>
                <w:sz w:val="22"/>
                <w:szCs w:val="22"/>
              </w:rPr>
              <w:t>Seleccione una de las dos casillas</w:t>
            </w:r>
            <w:bookmarkEnd w:id="37"/>
            <w:r w:rsidRPr="00BB0B05">
              <w:rPr>
                <w:b/>
                <w:bCs/>
                <w:sz w:val="22"/>
                <w:szCs w:val="22"/>
              </w:rPr>
              <w:t xml:space="preserve"> para cada texto</w:t>
            </w:r>
          </w:p>
        </w:tc>
      </w:tr>
      <w:tr w:rsidR="00690FBF" w:rsidRPr="00BB0B05" w14:paraId="5F5FB6D0" w14:textId="77777777" w:rsidTr="000712C6">
        <w:trPr>
          <w:trHeight w:val="748"/>
        </w:trPr>
        <w:tc>
          <w:tcPr>
            <w:tcW w:w="2067" w:type="dxa"/>
            <w:vMerge w:val="restart"/>
            <w:shd w:val="clear" w:color="auto" w:fill="auto"/>
            <w:vAlign w:val="center"/>
          </w:tcPr>
          <w:p w14:paraId="6106F196" w14:textId="446ECB7D" w:rsidR="00690FBF" w:rsidRPr="00BB0B05" w:rsidRDefault="00690FBF" w:rsidP="00D67D2E">
            <w:pPr>
              <w:spacing w:before="60" w:after="60"/>
              <w:jc w:val="center"/>
              <w:rPr>
                <w:b/>
                <w:bCs/>
                <w:sz w:val="22"/>
                <w:szCs w:val="22"/>
              </w:rPr>
            </w:pPr>
            <w:bookmarkStart w:id="38" w:name="_Hlk37931196"/>
            <w:r w:rsidRPr="00BB0B05">
              <w:rPr>
                <w:b/>
                <w:bCs/>
                <w:sz w:val="22"/>
                <w:szCs w:val="22"/>
              </w:rPr>
              <w:t xml:space="preserve">Proyecto de </w:t>
            </w:r>
            <w:r w:rsidR="00D67D2E">
              <w:rPr>
                <w:b/>
                <w:bCs/>
                <w:sz w:val="22"/>
                <w:szCs w:val="22"/>
              </w:rPr>
              <w:t xml:space="preserve">revisión de la </w:t>
            </w:r>
            <w:r w:rsidRPr="00BB0B05">
              <w:rPr>
                <w:b/>
                <w:bCs/>
                <w:sz w:val="22"/>
                <w:szCs w:val="22"/>
              </w:rPr>
              <w:t xml:space="preserve">Recomendación </w:t>
            </w:r>
            <w:r w:rsidR="00810653">
              <w:rPr>
                <w:b/>
                <w:bCs/>
                <w:sz w:val="22"/>
                <w:szCs w:val="22"/>
              </w:rPr>
              <w:t>UIT</w:t>
            </w:r>
            <w:r w:rsidRPr="00BB0B05">
              <w:rPr>
                <w:b/>
                <w:bCs/>
                <w:sz w:val="22"/>
                <w:szCs w:val="22"/>
              </w:rPr>
              <w:t xml:space="preserve">-T X.1054 </w:t>
            </w:r>
          </w:p>
        </w:tc>
        <w:tc>
          <w:tcPr>
            <w:tcW w:w="7652" w:type="dxa"/>
            <w:shd w:val="clear" w:color="auto" w:fill="auto"/>
            <w:vAlign w:val="center"/>
          </w:tcPr>
          <w:p w14:paraId="626EE00E"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Otorga autoridad </w:t>
            </w:r>
            <w:r w:rsidRPr="00BB0B05">
              <w:rPr>
                <w:sz w:val="22"/>
                <w:szCs w:val="22"/>
              </w:rPr>
              <w:t>a la Comisión de Estudio 17 a fin de examinar este texto para aprobación (en cuyo caso seleccionará una de las dos opciones ⃝):</w:t>
            </w:r>
          </w:p>
          <w:p w14:paraId="52966DC0"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6FFD3178"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6ECAC0F5" w14:textId="77777777" w:rsidTr="000712C6">
        <w:trPr>
          <w:trHeight w:val="748"/>
        </w:trPr>
        <w:tc>
          <w:tcPr>
            <w:tcW w:w="2067" w:type="dxa"/>
            <w:vMerge/>
            <w:shd w:val="clear" w:color="auto" w:fill="auto"/>
            <w:vAlign w:val="center"/>
          </w:tcPr>
          <w:p w14:paraId="75F52AE4" w14:textId="77777777" w:rsidR="00690FBF" w:rsidRPr="00BB0B05" w:rsidRDefault="00690FBF" w:rsidP="00A90C00">
            <w:pPr>
              <w:spacing w:before="60" w:after="60"/>
              <w:jc w:val="center"/>
              <w:rPr>
                <w:b/>
                <w:bCs/>
                <w:sz w:val="22"/>
                <w:szCs w:val="22"/>
              </w:rPr>
            </w:pPr>
          </w:p>
        </w:tc>
        <w:tc>
          <w:tcPr>
            <w:tcW w:w="7652" w:type="dxa"/>
            <w:shd w:val="clear" w:color="auto" w:fill="auto"/>
            <w:vAlign w:val="center"/>
          </w:tcPr>
          <w:p w14:paraId="597B6B28"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bookmarkEnd w:id="38"/>
      <w:tr w:rsidR="00690FBF" w:rsidRPr="00BB0B05" w14:paraId="3743FA46" w14:textId="77777777" w:rsidTr="00627003">
        <w:trPr>
          <w:trHeight w:val="748"/>
        </w:trPr>
        <w:tc>
          <w:tcPr>
            <w:tcW w:w="2067" w:type="dxa"/>
            <w:vMerge w:val="restart"/>
            <w:tcBorders>
              <w:top w:val="single" w:sz="4" w:space="0" w:color="auto"/>
              <w:left w:val="single" w:sz="4" w:space="0" w:color="auto"/>
              <w:right w:val="single" w:sz="4" w:space="0" w:color="auto"/>
            </w:tcBorders>
            <w:shd w:val="clear" w:color="auto" w:fill="auto"/>
            <w:vAlign w:val="center"/>
          </w:tcPr>
          <w:p w14:paraId="735978A1" w14:textId="5C569512" w:rsidR="00690FBF" w:rsidRPr="00BB0B05" w:rsidRDefault="00690FBF" w:rsidP="00D67D2E">
            <w:pPr>
              <w:spacing w:before="60" w:after="60"/>
              <w:jc w:val="center"/>
              <w:rPr>
                <w:b/>
                <w:bCs/>
                <w:sz w:val="22"/>
                <w:szCs w:val="22"/>
              </w:rPr>
            </w:pPr>
            <w:r w:rsidRPr="00BB0B05">
              <w:rPr>
                <w:b/>
                <w:bCs/>
                <w:sz w:val="22"/>
                <w:szCs w:val="22"/>
              </w:rPr>
              <w:t xml:space="preserve">Proyecto de </w:t>
            </w:r>
            <w:r w:rsidR="00D67D2E">
              <w:rPr>
                <w:b/>
                <w:bCs/>
                <w:sz w:val="22"/>
                <w:szCs w:val="22"/>
              </w:rPr>
              <w:t xml:space="preserve">nueva </w:t>
            </w:r>
            <w:r w:rsidRPr="00BB0B05">
              <w:rPr>
                <w:b/>
                <w:bCs/>
                <w:sz w:val="22"/>
                <w:szCs w:val="22"/>
              </w:rPr>
              <w:t xml:space="preserve">Recomendación </w:t>
            </w:r>
            <w:r w:rsidR="00810653">
              <w:rPr>
                <w:b/>
                <w:bCs/>
                <w:sz w:val="22"/>
                <w:szCs w:val="22"/>
              </w:rPr>
              <w:t>UIT</w:t>
            </w:r>
            <w:r w:rsidRPr="00BB0B05">
              <w:rPr>
                <w:b/>
                <w:bCs/>
                <w:sz w:val="22"/>
                <w:szCs w:val="22"/>
              </w:rPr>
              <w:t xml:space="preserve">-T </w:t>
            </w:r>
            <w:r w:rsidRPr="00BB0B05">
              <w:rPr>
                <w:b/>
                <w:sz w:val="22"/>
                <w:szCs w:val="22"/>
              </w:rPr>
              <w:t>X.1148 (</w:t>
            </w:r>
            <w:proofErr w:type="spellStart"/>
            <w:r w:rsidRPr="00BB0B05">
              <w:rPr>
                <w:b/>
                <w:sz w:val="22"/>
                <w:szCs w:val="22"/>
              </w:rPr>
              <w:t>X.fdip</w:t>
            </w:r>
            <w:proofErr w:type="spellEnd"/>
            <w:r w:rsidRPr="00BB0B05">
              <w:rPr>
                <w:b/>
                <w:sz w:val="22"/>
                <w:szCs w:val="22"/>
              </w:rPr>
              <w:t>)</w:t>
            </w: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4A759B9E"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Otorga autoridad </w:t>
            </w:r>
            <w:r w:rsidRPr="00BB0B05">
              <w:rPr>
                <w:sz w:val="22"/>
                <w:szCs w:val="22"/>
              </w:rPr>
              <w:t>a la Comisión de Estudio 17 a fin de examinar este texto para aprobación (en cuyo caso seleccionará una de las dos opciones ⃝):</w:t>
            </w:r>
          </w:p>
          <w:p w14:paraId="1CDFE23A"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53F69F24"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5449E882" w14:textId="77777777" w:rsidTr="000712C6">
        <w:trPr>
          <w:trHeight w:val="748"/>
        </w:trPr>
        <w:tc>
          <w:tcPr>
            <w:tcW w:w="2067" w:type="dxa"/>
            <w:vMerge/>
            <w:tcBorders>
              <w:left w:val="single" w:sz="4" w:space="0" w:color="auto"/>
              <w:bottom w:val="single" w:sz="4" w:space="0" w:color="auto"/>
              <w:right w:val="single" w:sz="4" w:space="0" w:color="auto"/>
            </w:tcBorders>
            <w:shd w:val="clear" w:color="auto" w:fill="auto"/>
            <w:vAlign w:val="center"/>
          </w:tcPr>
          <w:p w14:paraId="45E5333C" w14:textId="77777777" w:rsidR="00690FBF" w:rsidRPr="00BB0B05" w:rsidRDefault="00690FBF" w:rsidP="00A90C00">
            <w:pPr>
              <w:spacing w:before="60" w:after="60"/>
              <w:jc w:val="center"/>
              <w:rPr>
                <w:b/>
                <w:bCs/>
                <w:sz w:val="22"/>
                <w:szCs w:val="22"/>
              </w:rPr>
            </w:pP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14:paraId="04EB5C8B"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tr w:rsidR="00690FBF" w:rsidRPr="00BB0B05" w14:paraId="7C1DB1D6" w14:textId="77777777" w:rsidTr="000712C6">
        <w:trPr>
          <w:trHeight w:val="748"/>
        </w:trPr>
        <w:tc>
          <w:tcPr>
            <w:tcW w:w="2067" w:type="dxa"/>
            <w:vMerge w:val="restart"/>
            <w:shd w:val="clear" w:color="auto" w:fill="auto"/>
            <w:vAlign w:val="center"/>
          </w:tcPr>
          <w:p w14:paraId="32699CEB" w14:textId="4F420C5A" w:rsidR="00690FBF" w:rsidRPr="00BB0B05" w:rsidRDefault="00D67D2E" w:rsidP="00A90C00">
            <w:pPr>
              <w:keepNext/>
              <w:keepLines/>
              <w:spacing w:before="60" w:after="60"/>
              <w:jc w:val="center"/>
              <w:rPr>
                <w:b/>
                <w:bCs/>
                <w:sz w:val="22"/>
                <w:szCs w:val="22"/>
              </w:rPr>
            </w:pPr>
            <w:r w:rsidRPr="00BB0B05">
              <w:rPr>
                <w:b/>
                <w:bCs/>
                <w:sz w:val="22"/>
                <w:szCs w:val="22"/>
              </w:rPr>
              <w:lastRenderedPageBreak/>
              <w:t xml:space="preserve">Proyecto de </w:t>
            </w:r>
            <w:r>
              <w:rPr>
                <w:b/>
                <w:bCs/>
                <w:sz w:val="22"/>
                <w:szCs w:val="22"/>
              </w:rPr>
              <w:t xml:space="preserve">nueva </w:t>
            </w:r>
            <w:r w:rsidR="00690FBF" w:rsidRPr="00BB0B05">
              <w:rPr>
                <w:b/>
                <w:bCs/>
                <w:sz w:val="22"/>
                <w:szCs w:val="22"/>
              </w:rPr>
              <w:t xml:space="preserve">Recomendación </w:t>
            </w:r>
            <w:r w:rsidR="00810653">
              <w:rPr>
                <w:b/>
                <w:bCs/>
                <w:sz w:val="22"/>
                <w:szCs w:val="22"/>
              </w:rPr>
              <w:t>UIT</w:t>
            </w:r>
            <w:r w:rsidR="00690FBF" w:rsidRPr="00BB0B05">
              <w:rPr>
                <w:b/>
                <w:bCs/>
                <w:sz w:val="22"/>
                <w:szCs w:val="22"/>
              </w:rPr>
              <w:t xml:space="preserve">-T </w:t>
            </w:r>
            <w:r w:rsidR="00690FBF" w:rsidRPr="00BB0B05">
              <w:rPr>
                <w:b/>
                <w:sz w:val="22"/>
                <w:szCs w:val="22"/>
              </w:rPr>
              <w:t>X.1216 (</w:t>
            </w:r>
            <w:proofErr w:type="spellStart"/>
            <w:r w:rsidR="00690FBF" w:rsidRPr="00BB0B05">
              <w:rPr>
                <w:b/>
                <w:sz w:val="22"/>
                <w:szCs w:val="22"/>
              </w:rPr>
              <w:t>X.gcpie</w:t>
            </w:r>
            <w:proofErr w:type="spellEnd"/>
            <w:r w:rsidR="00690FBF" w:rsidRPr="00BB0B05">
              <w:rPr>
                <w:b/>
                <w:sz w:val="22"/>
                <w:szCs w:val="22"/>
              </w:rPr>
              <w:t>)</w:t>
            </w:r>
          </w:p>
        </w:tc>
        <w:tc>
          <w:tcPr>
            <w:tcW w:w="7652" w:type="dxa"/>
            <w:shd w:val="clear" w:color="auto" w:fill="auto"/>
            <w:vAlign w:val="center"/>
          </w:tcPr>
          <w:p w14:paraId="18B5A71C"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Otorga autoridad </w:t>
            </w:r>
            <w:r w:rsidRPr="00BB0B05">
              <w:rPr>
                <w:sz w:val="22"/>
                <w:szCs w:val="22"/>
              </w:rPr>
              <w:t>a la Comisión de Estudio 17 a fin de examinar este texto para aprobación (en cuyo caso seleccionará una de las dos opciones ⃝):</w:t>
            </w:r>
          </w:p>
          <w:p w14:paraId="0BD89872"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0F5CF488"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3F72F4F4" w14:textId="77777777" w:rsidTr="000712C6">
        <w:trPr>
          <w:trHeight w:val="747"/>
        </w:trPr>
        <w:tc>
          <w:tcPr>
            <w:tcW w:w="2067" w:type="dxa"/>
            <w:vMerge/>
            <w:shd w:val="clear" w:color="auto" w:fill="auto"/>
            <w:vAlign w:val="center"/>
          </w:tcPr>
          <w:p w14:paraId="1A3C53EF" w14:textId="77777777" w:rsidR="00690FBF" w:rsidRPr="00BB0B05" w:rsidRDefault="00690FBF" w:rsidP="00A90C00">
            <w:pPr>
              <w:keepNext/>
              <w:keepLines/>
              <w:spacing w:before="60" w:after="60"/>
              <w:jc w:val="center"/>
              <w:rPr>
                <w:b/>
                <w:bCs/>
                <w:sz w:val="22"/>
                <w:szCs w:val="22"/>
              </w:rPr>
            </w:pPr>
          </w:p>
        </w:tc>
        <w:tc>
          <w:tcPr>
            <w:tcW w:w="7652" w:type="dxa"/>
            <w:shd w:val="clear" w:color="auto" w:fill="auto"/>
            <w:vAlign w:val="center"/>
          </w:tcPr>
          <w:p w14:paraId="176CAE99" w14:textId="77777777" w:rsidR="00690FBF" w:rsidRPr="00BB0B05" w:rsidRDefault="00690FBF" w:rsidP="00A90C00">
            <w:pPr>
              <w:tabs>
                <w:tab w:val="clear" w:pos="794"/>
                <w:tab w:val="clear" w:pos="1191"/>
                <w:tab w:val="clear" w:pos="1588"/>
                <w:tab w:val="clear" w:pos="1985"/>
                <w:tab w:val="left" w:pos="250"/>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tr w:rsidR="00690FBF" w:rsidRPr="00BB0B05" w14:paraId="43305990" w14:textId="77777777" w:rsidTr="000712C6">
        <w:trPr>
          <w:trHeight w:val="748"/>
        </w:trPr>
        <w:tc>
          <w:tcPr>
            <w:tcW w:w="2067" w:type="dxa"/>
            <w:vMerge w:val="restart"/>
            <w:shd w:val="clear" w:color="auto" w:fill="auto"/>
            <w:vAlign w:val="center"/>
          </w:tcPr>
          <w:p w14:paraId="382C1885" w14:textId="227D98EF" w:rsidR="00690FBF" w:rsidRPr="00BB0B05" w:rsidRDefault="00D67D2E" w:rsidP="00A90C00">
            <w:pPr>
              <w:spacing w:before="60" w:after="60"/>
              <w:jc w:val="center"/>
              <w:rPr>
                <w:b/>
                <w:bCs/>
                <w:sz w:val="22"/>
                <w:szCs w:val="22"/>
              </w:rPr>
            </w:pPr>
            <w:r w:rsidRPr="00D67D2E">
              <w:rPr>
                <w:b/>
                <w:bCs/>
                <w:sz w:val="22"/>
                <w:szCs w:val="22"/>
              </w:rPr>
              <w:t xml:space="preserve">Proyecto de revisión </w:t>
            </w:r>
            <w:r>
              <w:rPr>
                <w:b/>
                <w:bCs/>
                <w:sz w:val="22"/>
                <w:szCs w:val="22"/>
              </w:rPr>
              <w:t xml:space="preserve">de la </w:t>
            </w:r>
            <w:r w:rsidR="00690FBF" w:rsidRPr="00BB0B05">
              <w:rPr>
                <w:b/>
                <w:bCs/>
                <w:sz w:val="22"/>
                <w:szCs w:val="22"/>
              </w:rPr>
              <w:t xml:space="preserve">Recomendación </w:t>
            </w:r>
            <w:r w:rsidR="00810653">
              <w:rPr>
                <w:b/>
                <w:bCs/>
                <w:sz w:val="22"/>
                <w:szCs w:val="22"/>
              </w:rPr>
              <w:t>UIT</w:t>
            </w:r>
            <w:r w:rsidR="00690FBF" w:rsidRPr="00BB0B05">
              <w:rPr>
                <w:b/>
                <w:bCs/>
                <w:sz w:val="22"/>
                <w:szCs w:val="22"/>
              </w:rPr>
              <w:t xml:space="preserve">-T X.1254 </w:t>
            </w:r>
          </w:p>
        </w:tc>
        <w:tc>
          <w:tcPr>
            <w:tcW w:w="7652" w:type="dxa"/>
            <w:shd w:val="clear" w:color="auto" w:fill="auto"/>
            <w:vAlign w:val="center"/>
          </w:tcPr>
          <w:p w14:paraId="0EB58507"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Otorga autoridad </w:t>
            </w:r>
            <w:r w:rsidRPr="00BB0B05">
              <w:rPr>
                <w:sz w:val="22"/>
                <w:szCs w:val="22"/>
              </w:rPr>
              <w:t>a la Comisión de Estudio 17 a fin de examinar este texto para aprobación (en cuyo caso seleccionará una de las dos opciones ⃝):</w:t>
            </w:r>
          </w:p>
          <w:p w14:paraId="64BD27CC"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47AC972C"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48B9D631" w14:textId="77777777" w:rsidTr="000712C6">
        <w:trPr>
          <w:trHeight w:val="748"/>
        </w:trPr>
        <w:tc>
          <w:tcPr>
            <w:tcW w:w="2067" w:type="dxa"/>
            <w:vMerge/>
            <w:shd w:val="clear" w:color="auto" w:fill="auto"/>
            <w:vAlign w:val="center"/>
          </w:tcPr>
          <w:p w14:paraId="30E8B657" w14:textId="77777777" w:rsidR="00690FBF" w:rsidRPr="00BB0B05" w:rsidRDefault="00690FBF" w:rsidP="00A90C00">
            <w:pPr>
              <w:spacing w:before="60" w:after="60"/>
              <w:jc w:val="center"/>
              <w:rPr>
                <w:b/>
                <w:bCs/>
                <w:sz w:val="22"/>
                <w:szCs w:val="22"/>
              </w:rPr>
            </w:pPr>
          </w:p>
        </w:tc>
        <w:tc>
          <w:tcPr>
            <w:tcW w:w="7652" w:type="dxa"/>
            <w:shd w:val="clear" w:color="auto" w:fill="auto"/>
            <w:vAlign w:val="center"/>
          </w:tcPr>
          <w:p w14:paraId="6AA7F6F4"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tr w:rsidR="00690FBF" w:rsidRPr="00BB0B05" w14:paraId="6048B6C1" w14:textId="77777777" w:rsidTr="00627003">
        <w:trPr>
          <w:trHeight w:val="748"/>
        </w:trPr>
        <w:tc>
          <w:tcPr>
            <w:tcW w:w="2067" w:type="dxa"/>
            <w:vMerge w:val="restart"/>
            <w:shd w:val="clear" w:color="auto" w:fill="auto"/>
            <w:vAlign w:val="center"/>
          </w:tcPr>
          <w:p w14:paraId="1C5AF0B1" w14:textId="41798148" w:rsidR="00690FBF" w:rsidRPr="00BB0B05" w:rsidRDefault="00D67D2E" w:rsidP="00D67D2E">
            <w:pPr>
              <w:spacing w:before="60" w:after="60"/>
              <w:jc w:val="center"/>
              <w:rPr>
                <w:b/>
                <w:bCs/>
                <w:sz w:val="22"/>
                <w:szCs w:val="22"/>
              </w:rPr>
            </w:pPr>
            <w:bookmarkStart w:id="39" w:name="_Hlk37931239"/>
            <w:r w:rsidRPr="00BB0B05">
              <w:rPr>
                <w:b/>
                <w:bCs/>
                <w:sz w:val="22"/>
                <w:szCs w:val="22"/>
              </w:rPr>
              <w:t xml:space="preserve">Proyecto de </w:t>
            </w:r>
            <w:r>
              <w:rPr>
                <w:b/>
                <w:bCs/>
                <w:sz w:val="22"/>
                <w:szCs w:val="22"/>
              </w:rPr>
              <w:t xml:space="preserve">nueva </w:t>
            </w:r>
            <w:r w:rsidR="00690FBF" w:rsidRPr="00BB0B05">
              <w:rPr>
                <w:b/>
                <w:bCs/>
                <w:sz w:val="22"/>
                <w:szCs w:val="22"/>
              </w:rPr>
              <w:t xml:space="preserve">Recomendación </w:t>
            </w:r>
            <w:r w:rsidR="00810653">
              <w:rPr>
                <w:b/>
                <w:bCs/>
                <w:sz w:val="22"/>
                <w:szCs w:val="22"/>
              </w:rPr>
              <w:t>UIT</w:t>
            </w:r>
            <w:r w:rsidR="00690FBF" w:rsidRPr="00BB0B05">
              <w:rPr>
                <w:b/>
                <w:bCs/>
                <w:sz w:val="22"/>
                <w:szCs w:val="22"/>
              </w:rPr>
              <w:t>-T X.1279 (</w:t>
            </w:r>
            <w:proofErr w:type="spellStart"/>
            <w:r w:rsidR="00690FBF" w:rsidRPr="00BB0B05">
              <w:rPr>
                <w:b/>
                <w:bCs/>
                <w:sz w:val="22"/>
                <w:szCs w:val="22"/>
              </w:rPr>
              <w:t>X.eaasd</w:t>
            </w:r>
            <w:proofErr w:type="spellEnd"/>
            <w:r w:rsidR="00690FBF" w:rsidRPr="00BB0B05">
              <w:rPr>
                <w:b/>
                <w:bCs/>
                <w:sz w:val="22"/>
                <w:szCs w:val="22"/>
              </w:rPr>
              <w:t>)</w:t>
            </w:r>
          </w:p>
        </w:tc>
        <w:tc>
          <w:tcPr>
            <w:tcW w:w="7652" w:type="dxa"/>
            <w:shd w:val="clear" w:color="auto" w:fill="auto"/>
            <w:vAlign w:val="center"/>
          </w:tcPr>
          <w:p w14:paraId="67D07670"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Otorga autoridad </w:t>
            </w:r>
            <w:r w:rsidRPr="00BB0B05">
              <w:rPr>
                <w:sz w:val="22"/>
                <w:szCs w:val="22"/>
              </w:rPr>
              <w:t>a la Comisión de Estudio 17 a fin de examinar este texto para aprobación (en cuyo caso seleccionará una de las dos opciones ⃝):</w:t>
            </w:r>
          </w:p>
          <w:p w14:paraId="435C931C"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51846CA4"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6E34E6C8" w14:textId="77777777" w:rsidTr="00627003">
        <w:trPr>
          <w:trHeight w:val="748"/>
        </w:trPr>
        <w:tc>
          <w:tcPr>
            <w:tcW w:w="2067" w:type="dxa"/>
            <w:vMerge/>
            <w:shd w:val="clear" w:color="auto" w:fill="auto"/>
            <w:vAlign w:val="center"/>
          </w:tcPr>
          <w:p w14:paraId="6097E885" w14:textId="77777777" w:rsidR="00690FBF" w:rsidRPr="00BB0B05" w:rsidRDefault="00690FBF" w:rsidP="00A90C00">
            <w:pPr>
              <w:spacing w:before="60" w:after="60"/>
              <w:jc w:val="center"/>
              <w:rPr>
                <w:b/>
                <w:bCs/>
                <w:sz w:val="22"/>
                <w:szCs w:val="22"/>
              </w:rPr>
            </w:pPr>
          </w:p>
        </w:tc>
        <w:tc>
          <w:tcPr>
            <w:tcW w:w="7652" w:type="dxa"/>
            <w:shd w:val="clear" w:color="auto" w:fill="auto"/>
            <w:vAlign w:val="center"/>
          </w:tcPr>
          <w:p w14:paraId="3EC0316D"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bookmarkEnd w:id="39"/>
      <w:tr w:rsidR="00690FBF" w:rsidRPr="00BB0B05" w14:paraId="79CAEA1D" w14:textId="77777777" w:rsidTr="000712C6">
        <w:trPr>
          <w:trHeight w:val="748"/>
        </w:trPr>
        <w:tc>
          <w:tcPr>
            <w:tcW w:w="2067" w:type="dxa"/>
            <w:vMerge w:val="restart"/>
            <w:shd w:val="clear" w:color="auto" w:fill="auto"/>
            <w:vAlign w:val="center"/>
          </w:tcPr>
          <w:p w14:paraId="05DFE67D" w14:textId="1A547D7B" w:rsidR="00690FBF" w:rsidRPr="00BB0B05" w:rsidRDefault="00D67D2E" w:rsidP="00627003">
            <w:pPr>
              <w:spacing w:before="60" w:after="60"/>
              <w:jc w:val="center"/>
              <w:rPr>
                <w:b/>
                <w:bCs/>
                <w:sz w:val="22"/>
                <w:szCs w:val="22"/>
              </w:rPr>
            </w:pPr>
            <w:r w:rsidRPr="00BB0B05">
              <w:rPr>
                <w:b/>
                <w:bCs/>
                <w:sz w:val="22"/>
                <w:szCs w:val="22"/>
              </w:rPr>
              <w:t xml:space="preserve">Proyecto de </w:t>
            </w:r>
            <w:r>
              <w:rPr>
                <w:b/>
                <w:bCs/>
                <w:sz w:val="22"/>
                <w:szCs w:val="22"/>
              </w:rPr>
              <w:t xml:space="preserve">nueva </w:t>
            </w:r>
            <w:r w:rsidR="00690FBF" w:rsidRPr="00BB0B05">
              <w:rPr>
                <w:b/>
                <w:bCs/>
                <w:sz w:val="22"/>
                <w:szCs w:val="22"/>
              </w:rPr>
              <w:t xml:space="preserve">Recomendación </w:t>
            </w:r>
            <w:r w:rsidR="00810653">
              <w:rPr>
                <w:b/>
                <w:bCs/>
                <w:sz w:val="22"/>
                <w:szCs w:val="22"/>
              </w:rPr>
              <w:t>UIT</w:t>
            </w:r>
            <w:r w:rsidR="00690FBF" w:rsidRPr="00BB0B05">
              <w:rPr>
                <w:b/>
                <w:bCs/>
                <w:sz w:val="22"/>
                <w:szCs w:val="22"/>
              </w:rPr>
              <w:t>-T X.1366 (</w:t>
            </w:r>
            <w:proofErr w:type="spellStart"/>
            <w:r w:rsidR="00690FBF" w:rsidRPr="00BB0B05">
              <w:rPr>
                <w:b/>
                <w:bCs/>
                <w:sz w:val="22"/>
                <w:szCs w:val="22"/>
              </w:rPr>
              <w:t>X.amas-iot</w:t>
            </w:r>
            <w:proofErr w:type="spellEnd"/>
            <w:r w:rsidR="00690FBF" w:rsidRPr="00BB0B05">
              <w:rPr>
                <w:b/>
                <w:bCs/>
                <w:sz w:val="22"/>
                <w:szCs w:val="22"/>
              </w:rPr>
              <w:t>)</w:t>
            </w:r>
          </w:p>
        </w:tc>
        <w:tc>
          <w:tcPr>
            <w:tcW w:w="7652" w:type="dxa"/>
            <w:shd w:val="clear" w:color="auto" w:fill="auto"/>
            <w:vAlign w:val="center"/>
          </w:tcPr>
          <w:p w14:paraId="7999FF21"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Otorga autoridad </w:t>
            </w:r>
            <w:r w:rsidRPr="00BB0B05">
              <w:rPr>
                <w:sz w:val="22"/>
                <w:szCs w:val="22"/>
              </w:rPr>
              <w:t>a la Comisión de Estudio 17 a fin de examinar este texto para aprobación (en cuyo caso seleccionará una de las dos opciones ⃝):</w:t>
            </w:r>
          </w:p>
          <w:p w14:paraId="23DD9E42"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080D1AD4" w14:textId="77777777" w:rsidR="00690FBF" w:rsidRPr="00BB0B05" w:rsidRDefault="00690FBF" w:rsidP="00627003">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5BB58EFE" w14:textId="77777777" w:rsidTr="000712C6">
        <w:trPr>
          <w:trHeight w:val="748"/>
        </w:trPr>
        <w:tc>
          <w:tcPr>
            <w:tcW w:w="2067" w:type="dxa"/>
            <w:vMerge/>
            <w:shd w:val="clear" w:color="auto" w:fill="auto"/>
            <w:vAlign w:val="center"/>
          </w:tcPr>
          <w:p w14:paraId="78845617" w14:textId="77777777" w:rsidR="00690FBF" w:rsidRPr="00BB0B05" w:rsidRDefault="00690FBF" w:rsidP="00A90C00">
            <w:pPr>
              <w:spacing w:before="60" w:after="60"/>
              <w:jc w:val="center"/>
              <w:rPr>
                <w:b/>
                <w:bCs/>
                <w:sz w:val="22"/>
                <w:szCs w:val="22"/>
              </w:rPr>
            </w:pPr>
          </w:p>
        </w:tc>
        <w:tc>
          <w:tcPr>
            <w:tcW w:w="7652" w:type="dxa"/>
            <w:shd w:val="clear" w:color="auto" w:fill="auto"/>
            <w:vAlign w:val="center"/>
          </w:tcPr>
          <w:p w14:paraId="07E79E6E"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tr w:rsidR="00690FBF" w:rsidRPr="00BB0B05" w14:paraId="4DFB13BD" w14:textId="77777777" w:rsidTr="000712C6">
        <w:trPr>
          <w:trHeight w:val="748"/>
        </w:trPr>
        <w:tc>
          <w:tcPr>
            <w:tcW w:w="2067" w:type="dxa"/>
            <w:vMerge w:val="restart"/>
            <w:shd w:val="clear" w:color="auto" w:fill="auto"/>
            <w:vAlign w:val="center"/>
          </w:tcPr>
          <w:p w14:paraId="5F3B867B" w14:textId="6E5C6585" w:rsidR="00690FBF" w:rsidRPr="00BB0B05" w:rsidRDefault="00D67D2E" w:rsidP="00A90C00">
            <w:pPr>
              <w:spacing w:before="60" w:after="60"/>
              <w:jc w:val="center"/>
              <w:rPr>
                <w:b/>
                <w:bCs/>
                <w:sz w:val="22"/>
                <w:szCs w:val="22"/>
              </w:rPr>
            </w:pPr>
            <w:r w:rsidRPr="00BB0B05">
              <w:rPr>
                <w:b/>
                <w:bCs/>
                <w:sz w:val="22"/>
                <w:szCs w:val="22"/>
              </w:rPr>
              <w:t xml:space="preserve">Proyecto de </w:t>
            </w:r>
            <w:r>
              <w:rPr>
                <w:b/>
                <w:bCs/>
                <w:sz w:val="22"/>
                <w:szCs w:val="22"/>
              </w:rPr>
              <w:t xml:space="preserve">nueva </w:t>
            </w:r>
            <w:r w:rsidR="00690FBF" w:rsidRPr="00BB0B05">
              <w:rPr>
                <w:b/>
                <w:bCs/>
                <w:sz w:val="22"/>
                <w:szCs w:val="22"/>
              </w:rPr>
              <w:t xml:space="preserve">Recomendación </w:t>
            </w:r>
            <w:r w:rsidR="00810653">
              <w:rPr>
                <w:b/>
                <w:bCs/>
                <w:sz w:val="22"/>
                <w:szCs w:val="22"/>
              </w:rPr>
              <w:t>UIT</w:t>
            </w:r>
            <w:r w:rsidR="00690FBF" w:rsidRPr="00BB0B05">
              <w:rPr>
                <w:b/>
                <w:bCs/>
                <w:sz w:val="22"/>
                <w:szCs w:val="22"/>
              </w:rPr>
              <w:t>-T X.1367 (</w:t>
            </w:r>
            <w:proofErr w:type="spellStart"/>
            <w:r w:rsidR="00690FBF" w:rsidRPr="00BB0B05">
              <w:rPr>
                <w:b/>
                <w:bCs/>
                <w:sz w:val="22"/>
                <w:szCs w:val="22"/>
              </w:rPr>
              <w:t>X.elf</w:t>
            </w:r>
            <w:r w:rsidR="00690FBF" w:rsidRPr="00BB0B05">
              <w:rPr>
                <w:b/>
                <w:bCs/>
                <w:sz w:val="22"/>
                <w:szCs w:val="22"/>
              </w:rPr>
              <w:noBreakHyphen/>
              <w:t>iot</w:t>
            </w:r>
            <w:proofErr w:type="spellEnd"/>
            <w:r w:rsidR="00690FBF" w:rsidRPr="00BB0B05">
              <w:rPr>
                <w:b/>
                <w:bCs/>
                <w:sz w:val="22"/>
                <w:szCs w:val="22"/>
              </w:rPr>
              <w:t>)</w:t>
            </w:r>
          </w:p>
        </w:tc>
        <w:tc>
          <w:tcPr>
            <w:tcW w:w="7652" w:type="dxa"/>
            <w:shd w:val="clear" w:color="auto" w:fill="auto"/>
            <w:vAlign w:val="center"/>
          </w:tcPr>
          <w:p w14:paraId="09A2FF38"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Otorga autoridad </w:t>
            </w:r>
            <w:r w:rsidRPr="00BB0B05">
              <w:rPr>
                <w:sz w:val="22"/>
                <w:szCs w:val="22"/>
              </w:rPr>
              <w:t>a la Comisión de Estudio 17 a fin de examinar este texto para aprobación (en cuyo caso seleccionará una de las dos opciones ⃝):</w:t>
            </w:r>
          </w:p>
          <w:p w14:paraId="4D25B559"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3AAB0567"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260F0D40" w14:textId="77777777" w:rsidTr="000712C6">
        <w:trPr>
          <w:trHeight w:val="748"/>
        </w:trPr>
        <w:tc>
          <w:tcPr>
            <w:tcW w:w="2067" w:type="dxa"/>
            <w:vMerge/>
            <w:shd w:val="clear" w:color="auto" w:fill="auto"/>
            <w:vAlign w:val="center"/>
          </w:tcPr>
          <w:p w14:paraId="343112E7" w14:textId="77777777" w:rsidR="00690FBF" w:rsidRPr="00BB0B05" w:rsidRDefault="00690FBF" w:rsidP="00A90C00">
            <w:pPr>
              <w:spacing w:before="60" w:after="60"/>
              <w:jc w:val="center"/>
              <w:rPr>
                <w:b/>
                <w:bCs/>
                <w:sz w:val="22"/>
                <w:szCs w:val="22"/>
              </w:rPr>
            </w:pPr>
          </w:p>
        </w:tc>
        <w:tc>
          <w:tcPr>
            <w:tcW w:w="7652" w:type="dxa"/>
            <w:shd w:val="clear" w:color="auto" w:fill="auto"/>
            <w:vAlign w:val="center"/>
          </w:tcPr>
          <w:p w14:paraId="59AEE835"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tr w:rsidR="00690FBF" w:rsidRPr="00BB0B05" w14:paraId="2E839F44" w14:textId="77777777" w:rsidTr="000712C6">
        <w:trPr>
          <w:trHeight w:val="748"/>
        </w:trPr>
        <w:tc>
          <w:tcPr>
            <w:tcW w:w="2067" w:type="dxa"/>
            <w:vMerge w:val="restart"/>
            <w:shd w:val="clear" w:color="auto" w:fill="auto"/>
            <w:vAlign w:val="center"/>
          </w:tcPr>
          <w:p w14:paraId="2A7C1B7B" w14:textId="370FC762" w:rsidR="00690FBF" w:rsidRPr="00BB0B05" w:rsidRDefault="00D67D2E" w:rsidP="00A90C00">
            <w:pPr>
              <w:spacing w:before="60" w:after="60"/>
              <w:jc w:val="center"/>
              <w:rPr>
                <w:b/>
                <w:bCs/>
                <w:sz w:val="22"/>
                <w:szCs w:val="22"/>
              </w:rPr>
            </w:pPr>
            <w:r w:rsidRPr="00BB0B05">
              <w:rPr>
                <w:b/>
                <w:bCs/>
                <w:sz w:val="22"/>
                <w:szCs w:val="22"/>
              </w:rPr>
              <w:t xml:space="preserve">Proyecto de </w:t>
            </w:r>
            <w:r>
              <w:rPr>
                <w:b/>
                <w:bCs/>
                <w:sz w:val="22"/>
                <w:szCs w:val="22"/>
              </w:rPr>
              <w:t xml:space="preserve">nueva </w:t>
            </w:r>
            <w:r w:rsidR="00690FBF" w:rsidRPr="00BB0B05">
              <w:rPr>
                <w:b/>
                <w:bCs/>
                <w:sz w:val="22"/>
                <w:szCs w:val="22"/>
              </w:rPr>
              <w:t xml:space="preserve">Recomendación </w:t>
            </w:r>
            <w:r w:rsidR="00810653">
              <w:rPr>
                <w:b/>
                <w:bCs/>
                <w:sz w:val="22"/>
                <w:szCs w:val="22"/>
              </w:rPr>
              <w:t>UIT</w:t>
            </w:r>
            <w:r w:rsidR="00690FBF" w:rsidRPr="00BB0B05">
              <w:rPr>
                <w:b/>
                <w:bCs/>
                <w:sz w:val="22"/>
                <w:szCs w:val="22"/>
              </w:rPr>
              <w:t>-T X.1403 (</w:t>
            </w:r>
            <w:proofErr w:type="spellStart"/>
            <w:r w:rsidR="00690FBF" w:rsidRPr="00BB0B05">
              <w:rPr>
                <w:b/>
                <w:bCs/>
                <w:sz w:val="22"/>
                <w:szCs w:val="22"/>
              </w:rPr>
              <w:t>X.dlt</w:t>
            </w:r>
            <w:r w:rsidR="00690FBF" w:rsidRPr="00BB0B05">
              <w:rPr>
                <w:b/>
                <w:bCs/>
                <w:sz w:val="22"/>
                <w:szCs w:val="22"/>
              </w:rPr>
              <w:noBreakHyphen/>
              <w:t>sec</w:t>
            </w:r>
            <w:proofErr w:type="spellEnd"/>
            <w:r w:rsidR="00690FBF" w:rsidRPr="00BB0B05">
              <w:rPr>
                <w:b/>
                <w:bCs/>
                <w:sz w:val="22"/>
                <w:szCs w:val="22"/>
              </w:rPr>
              <w:t>)</w:t>
            </w:r>
          </w:p>
        </w:tc>
        <w:tc>
          <w:tcPr>
            <w:tcW w:w="7652" w:type="dxa"/>
            <w:shd w:val="clear" w:color="auto" w:fill="auto"/>
            <w:vAlign w:val="center"/>
          </w:tcPr>
          <w:p w14:paraId="7636FF3E"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Otorga autoridad </w:t>
            </w:r>
            <w:r w:rsidRPr="00BB0B05">
              <w:rPr>
                <w:sz w:val="22"/>
                <w:szCs w:val="22"/>
              </w:rPr>
              <w:t>a la Comisión de Estudio 17 a fin de examinar este texto para aprobación (en cuyo caso seleccionará una de las dos opciones ⃝):</w:t>
            </w:r>
          </w:p>
          <w:p w14:paraId="36EAEB41"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6D4FEEA8"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1E7A84CF" w14:textId="77777777" w:rsidTr="000712C6">
        <w:trPr>
          <w:trHeight w:val="748"/>
        </w:trPr>
        <w:tc>
          <w:tcPr>
            <w:tcW w:w="2067" w:type="dxa"/>
            <w:vMerge/>
            <w:shd w:val="clear" w:color="auto" w:fill="auto"/>
            <w:vAlign w:val="center"/>
          </w:tcPr>
          <w:p w14:paraId="0A81AD7A" w14:textId="77777777" w:rsidR="00690FBF" w:rsidRPr="00BB0B05" w:rsidRDefault="00690FBF" w:rsidP="00A90C00">
            <w:pPr>
              <w:spacing w:before="60" w:after="60"/>
              <w:jc w:val="center"/>
              <w:rPr>
                <w:b/>
                <w:bCs/>
                <w:sz w:val="22"/>
                <w:szCs w:val="22"/>
              </w:rPr>
            </w:pPr>
          </w:p>
        </w:tc>
        <w:tc>
          <w:tcPr>
            <w:tcW w:w="7652" w:type="dxa"/>
            <w:shd w:val="clear" w:color="auto" w:fill="auto"/>
            <w:vAlign w:val="center"/>
          </w:tcPr>
          <w:p w14:paraId="2BE8D685"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tr w:rsidR="00690FBF" w:rsidRPr="00BB0B05" w14:paraId="4F4ED3B8" w14:textId="77777777" w:rsidTr="000712C6">
        <w:trPr>
          <w:trHeight w:val="748"/>
        </w:trPr>
        <w:tc>
          <w:tcPr>
            <w:tcW w:w="2067" w:type="dxa"/>
            <w:vMerge w:val="restart"/>
            <w:shd w:val="clear" w:color="auto" w:fill="auto"/>
            <w:vAlign w:val="center"/>
          </w:tcPr>
          <w:p w14:paraId="5D45C088" w14:textId="264DDD3E" w:rsidR="00690FBF" w:rsidRPr="00BB0B05" w:rsidRDefault="00D67D2E" w:rsidP="00A90C00">
            <w:pPr>
              <w:spacing w:before="60" w:after="60"/>
              <w:jc w:val="center"/>
              <w:rPr>
                <w:b/>
                <w:bCs/>
                <w:sz w:val="22"/>
                <w:szCs w:val="22"/>
              </w:rPr>
            </w:pPr>
            <w:r w:rsidRPr="00BB0B05">
              <w:rPr>
                <w:b/>
                <w:bCs/>
                <w:sz w:val="22"/>
                <w:szCs w:val="22"/>
              </w:rPr>
              <w:t xml:space="preserve">Proyecto de </w:t>
            </w:r>
            <w:r>
              <w:rPr>
                <w:b/>
                <w:bCs/>
                <w:sz w:val="22"/>
                <w:szCs w:val="22"/>
              </w:rPr>
              <w:t xml:space="preserve">nueva </w:t>
            </w:r>
            <w:r w:rsidR="00690FBF" w:rsidRPr="00BB0B05">
              <w:rPr>
                <w:b/>
                <w:bCs/>
                <w:sz w:val="22"/>
                <w:szCs w:val="22"/>
              </w:rPr>
              <w:t xml:space="preserve">Recomendación </w:t>
            </w:r>
            <w:r w:rsidR="00810653">
              <w:rPr>
                <w:b/>
                <w:bCs/>
                <w:sz w:val="22"/>
                <w:szCs w:val="22"/>
              </w:rPr>
              <w:t>UIT</w:t>
            </w:r>
            <w:r w:rsidR="00690FBF" w:rsidRPr="00BB0B05">
              <w:rPr>
                <w:b/>
                <w:bCs/>
                <w:sz w:val="22"/>
                <w:szCs w:val="22"/>
              </w:rPr>
              <w:t>-T X.1606 (</w:t>
            </w:r>
            <w:proofErr w:type="spellStart"/>
            <w:r w:rsidR="00690FBF" w:rsidRPr="00BB0B05">
              <w:rPr>
                <w:b/>
                <w:bCs/>
                <w:sz w:val="22"/>
                <w:szCs w:val="22"/>
              </w:rPr>
              <w:t>X.SRCaaS</w:t>
            </w:r>
            <w:proofErr w:type="spellEnd"/>
            <w:r w:rsidR="00690FBF" w:rsidRPr="00BB0B05">
              <w:rPr>
                <w:b/>
                <w:bCs/>
                <w:sz w:val="22"/>
                <w:szCs w:val="22"/>
              </w:rPr>
              <w:t>)</w:t>
            </w:r>
          </w:p>
        </w:tc>
        <w:tc>
          <w:tcPr>
            <w:tcW w:w="7652" w:type="dxa"/>
            <w:shd w:val="clear" w:color="auto" w:fill="auto"/>
            <w:vAlign w:val="center"/>
          </w:tcPr>
          <w:p w14:paraId="57F7F83F" w14:textId="77777777" w:rsidR="00690FBF" w:rsidRPr="00BB0B05" w:rsidRDefault="00690FBF" w:rsidP="00A90C00">
            <w:pPr>
              <w:pStyle w:val="Tabletext0"/>
              <w:tabs>
                <w:tab w:val="clear" w:pos="284"/>
                <w:tab w:val="left" w:pos="656"/>
              </w:tabs>
              <w:ind w:left="567" w:hanging="567"/>
              <w:rPr>
                <w:szCs w:val="22"/>
              </w:rPr>
            </w:pPr>
            <w:r w:rsidRPr="00BB0B05">
              <w:rPr>
                <w:szCs w:val="22"/>
              </w:rPr>
              <w:fldChar w:fldCharType="begin">
                <w:ffData>
                  <w:name w:val="Check1"/>
                  <w:enabled/>
                  <w:calcOnExit w:val="0"/>
                  <w:checkBox>
                    <w:sizeAuto/>
                    <w:default w:val="0"/>
                  </w:checkBox>
                </w:ffData>
              </w:fldChar>
            </w:r>
            <w:r w:rsidRPr="00BB0B05">
              <w:rPr>
                <w:szCs w:val="22"/>
              </w:rPr>
              <w:instrText xml:space="preserve"> FORMCHECKBOX </w:instrText>
            </w:r>
            <w:r w:rsidR="000A28E1">
              <w:rPr>
                <w:szCs w:val="22"/>
              </w:rPr>
            </w:r>
            <w:r w:rsidR="000A28E1">
              <w:rPr>
                <w:szCs w:val="22"/>
              </w:rPr>
              <w:fldChar w:fldCharType="separate"/>
            </w:r>
            <w:r w:rsidRPr="00BB0B05">
              <w:rPr>
                <w:szCs w:val="22"/>
              </w:rPr>
              <w:fldChar w:fldCharType="end"/>
            </w:r>
            <w:r w:rsidRPr="00BB0B05">
              <w:rPr>
                <w:szCs w:val="22"/>
              </w:rPr>
              <w:tab/>
            </w:r>
            <w:r w:rsidRPr="00BB0B05">
              <w:rPr>
                <w:b/>
                <w:bCs/>
                <w:szCs w:val="22"/>
              </w:rPr>
              <w:t xml:space="preserve">Otorga autoridad </w:t>
            </w:r>
            <w:r w:rsidRPr="00BB0B05">
              <w:rPr>
                <w:szCs w:val="22"/>
              </w:rPr>
              <w:t>a la Comisión de Estudio 17 a fin de examinar este texto para aprobación (en cuyo caso seleccionará una de las dos opciones ⃝):</w:t>
            </w:r>
          </w:p>
          <w:p w14:paraId="5EFB76BB"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7006C8B6"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3FAABB38" w14:textId="77777777" w:rsidTr="000712C6">
        <w:trPr>
          <w:trHeight w:val="748"/>
        </w:trPr>
        <w:tc>
          <w:tcPr>
            <w:tcW w:w="2067" w:type="dxa"/>
            <w:vMerge/>
            <w:shd w:val="clear" w:color="auto" w:fill="auto"/>
            <w:vAlign w:val="center"/>
          </w:tcPr>
          <w:p w14:paraId="1E1D1F60" w14:textId="77777777" w:rsidR="00690FBF" w:rsidRPr="00BB0B05" w:rsidRDefault="00690FBF" w:rsidP="00A90C00">
            <w:pPr>
              <w:spacing w:before="60" w:after="60"/>
              <w:jc w:val="center"/>
              <w:rPr>
                <w:b/>
                <w:bCs/>
                <w:sz w:val="22"/>
                <w:szCs w:val="22"/>
              </w:rPr>
            </w:pPr>
          </w:p>
        </w:tc>
        <w:tc>
          <w:tcPr>
            <w:tcW w:w="7652" w:type="dxa"/>
            <w:shd w:val="clear" w:color="auto" w:fill="auto"/>
            <w:vAlign w:val="center"/>
          </w:tcPr>
          <w:p w14:paraId="5E495E12"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tr w:rsidR="00690FBF" w:rsidRPr="00BB0B05" w14:paraId="67732BC3" w14:textId="77777777" w:rsidTr="000712C6">
        <w:trPr>
          <w:trHeight w:val="748"/>
        </w:trPr>
        <w:tc>
          <w:tcPr>
            <w:tcW w:w="2067" w:type="dxa"/>
            <w:vMerge w:val="restart"/>
            <w:shd w:val="clear" w:color="auto" w:fill="auto"/>
            <w:vAlign w:val="center"/>
          </w:tcPr>
          <w:p w14:paraId="13DD35A7" w14:textId="595841FD" w:rsidR="00690FBF" w:rsidRPr="00BB0B05" w:rsidRDefault="00D67D2E" w:rsidP="00A90C00">
            <w:pPr>
              <w:spacing w:before="60" w:after="60"/>
              <w:jc w:val="center"/>
              <w:rPr>
                <w:b/>
                <w:bCs/>
                <w:sz w:val="22"/>
                <w:szCs w:val="22"/>
              </w:rPr>
            </w:pPr>
            <w:r w:rsidRPr="00BB0B05">
              <w:rPr>
                <w:b/>
                <w:bCs/>
                <w:sz w:val="22"/>
                <w:szCs w:val="22"/>
              </w:rPr>
              <w:t xml:space="preserve">Proyecto de </w:t>
            </w:r>
            <w:r>
              <w:rPr>
                <w:b/>
                <w:bCs/>
                <w:sz w:val="22"/>
                <w:szCs w:val="22"/>
              </w:rPr>
              <w:t>nueva</w:t>
            </w:r>
            <w:r w:rsidR="00690FBF" w:rsidRPr="00BB0B05">
              <w:rPr>
                <w:b/>
                <w:bCs/>
                <w:sz w:val="22"/>
                <w:szCs w:val="22"/>
              </w:rPr>
              <w:br/>
              <w:t xml:space="preserve">Recomendación </w:t>
            </w:r>
            <w:r w:rsidR="00810653">
              <w:rPr>
                <w:b/>
                <w:bCs/>
                <w:sz w:val="22"/>
                <w:szCs w:val="22"/>
              </w:rPr>
              <w:t>UIT</w:t>
            </w:r>
            <w:r w:rsidR="00690FBF" w:rsidRPr="00BB0B05">
              <w:rPr>
                <w:b/>
                <w:bCs/>
                <w:sz w:val="22"/>
                <w:szCs w:val="22"/>
              </w:rPr>
              <w:t>-T X.1750 (</w:t>
            </w:r>
            <w:proofErr w:type="spellStart"/>
            <w:r w:rsidR="00690FBF" w:rsidRPr="00BB0B05">
              <w:rPr>
                <w:b/>
                <w:bCs/>
                <w:sz w:val="22"/>
                <w:szCs w:val="22"/>
              </w:rPr>
              <w:t>X.GSBDaaS</w:t>
            </w:r>
            <w:proofErr w:type="spellEnd"/>
            <w:r w:rsidR="00690FBF" w:rsidRPr="00BB0B05">
              <w:rPr>
                <w:b/>
                <w:bCs/>
                <w:sz w:val="22"/>
                <w:szCs w:val="22"/>
              </w:rPr>
              <w:t>)</w:t>
            </w:r>
          </w:p>
        </w:tc>
        <w:tc>
          <w:tcPr>
            <w:tcW w:w="7652" w:type="dxa"/>
            <w:shd w:val="clear" w:color="auto" w:fill="auto"/>
            <w:vAlign w:val="center"/>
          </w:tcPr>
          <w:p w14:paraId="28600722" w14:textId="77777777" w:rsidR="00690FBF" w:rsidRPr="00BB0B05" w:rsidRDefault="00690FBF" w:rsidP="00A90C00">
            <w:pPr>
              <w:pStyle w:val="Tabletext0"/>
              <w:tabs>
                <w:tab w:val="clear" w:pos="284"/>
                <w:tab w:val="left" w:pos="656"/>
              </w:tabs>
              <w:ind w:left="567" w:hanging="567"/>
              <w:rPr>
                <w:szCs w:val="22"/>
              </w:rPr>
            </w:pPr>
            <w:r w:rsidRPr="00BB0B05">
              <w:rPr>
                <w:szCs w:val="22"/>
              </w:rPr>
              <w:fldChar w:fldCharType="begin">
                <w:ffData>
                  <w:name w:val="Check1"/>
                  <w:enabled/>
                  <w:calcOnExit w:val="0"/>
                  <w:checkBox>
                    <w:sizeAuto/>
                    <w:default w:val="0"/>
                  </w:checkBox>
                </w:ffData>
              </w:fldChar>
            </w:r>
            <w:r w:rsidRPr="00BB0B05">
              <w:rPr>
                <w:szCs w:val="22"/>
              </w:rPr>
              <w:instrText xml:space="preserve"> FORMCHECKBOX </w:instrText>
            </w:r>
            <w:r w:rsidR="000A28E1">
              <w:rPr>
                <w:szCs w:val="22"/>
              </w:rPr>
            </w:r>
            <w:r w:rsidR="000A28E1">
              <w:rPr>
                <w:szCs w:val="22"/>
              </w:rPr>
              <w:fldChar w:fldCharType="separate"/>
            </w:r>
            <w:r w:rsidRPr="00BB0B05">
              <w:rPr>
                <w:szCs w:val="22"/>
              </w:rPr>
              <w:fldChar w:fldCharType="end"/>
            </w:r>
            <w:r w:rsidRPr="00BB0B05">
              <w:rPr>
                <w:szCs w:val="22"/>
              </w:rPr>
              <w:tab/>
            </w:r>
            <w:r w:rsidRPr="00BB0B05">
              <w:rPr>
                <w:b/>
                <w:bCs/>
                <w:szCs w:val="22"/>
              </w:rPr>
              <w:t xml:space="preserve">Otorga autoridad </w:t>
            </w:r>
            <w:r w:rsidRPr="00BB0B05">
              <w:rPr>
                <w:szCs w:val="22"/>
              </w:rPr>
              <w:t>a la Comisión de Estudio 17 a fin de examinar este texto para aprobación (en cuyo caso seleccionará una de las dos opciones ⃝):</w:t>
            </w:r>
          </w:p>
          <w:p w14:paraId="06FE776D"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6B383C6E"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7C71B792" w14:textId="77777777" w:rsidTr="000712C6">
        <w:trPr>
          <w:trHeight w:val="748"/>
        </w:trPr>
        <w:tc>
          <w:tcPr>
            <w:tcW w:w="2067" w:type="dxa"/>
            <w:vMerge/>
            <w:shd w:val="clear" w:color="auto" w:fill="auto"/>
            <w:vAlign w:val="center"/>
          </w:tcPr>
          <w:p w14:paraId="4862D5F2" w14:textId="77777777" w:rsidR="00690FBF" w:rsidRPr="00BB0B05" w:rsidRDefault="00690FBF" w:rsidP="00A90C00">
            <w:pPr>
              <w:spacing w:before="60" w:after="60"/>
              <w:jc w:val="center"/>
              <w:rPr>
                <w:b/>
                <w:bCs/>
                <w:sz w:val="22"/>
                <w:szCs w:val="22"/>
              </w:rPr>
            </w:pPr>
          </w:p>
        </w:tc>
        <w:tc>
          <w:tcPr>
            <w:tcW w:w="7652" w:type="dxa"/>
            <w:shd w:val="clear" w:color="auto" w:fill="auto"/>
            <w:vAlign w:val="center"/>
          </w:tcPr>
          <w:p w14:paraId="12B6734B"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tr w:rsidR="00690FBF" w:rsidRPr="00BB0B05" w14:paraId="5D806176" w14:textId="77777777" w:rsidTr="000712C6">
        <w:trPr>
          <w:trHeight w:val="748"/>
        </w:trPr>
        <w:tc>
          <w:tcPr>
            <w:tcW w:w="2067" w:type="dxa"/>
            <w:vMerge w:val="restart"/>
            <w:shd w:val="clear" w:color="auto" w:fill="auto"/>
            <w:vAlign w:val="center"/>
          </w:tcPr>
          <w:p w14:paraId="319C4624" w14:textId="478F797F" w:rsidR="00690FBF" w:rsidRPr="00BB0B05" w:rsidRDefault="00D67D2E" w:rsidP="00A90C00">
            <w:pPr>
              <w:spacing w:before="60" w:after="60"/>
              <w:jc w:val="center"/>
              <w:rPr>
                <w:b/>
                <w:bCs/>
                <w:sz w:val="22"/>
                <w:szCs w:val="22"/>
              </w:rPr>
            </w:pPr>
            <w:r w:rsidRPr="00BB0B05">
              <w:rPr>
                <w:b/>
                <w:bCs/>
                <w:sz w:val="22"/>
                <w:szCs w:val="22"/>
              </w:rPr>
              <w:t xml:space="preserve">Proyecto de </w:t>
            </w:r>
            <w:r>
              <w:rPr>
                <w:b/>
                <w:bCs/>
                <w:sz w:val="22"/>
                <w:szCs w:val="22"/>
              </w:rPr>
              <w:t xml:space="preserve">nueva </w:t>
            </w:r>
            <w:r w:rsidR="00690FBF" w:rsidRPr="00BB0B05">
              <w:rPr>
                <w:b/>
                <w:bCs/>
                <w:sz w:val="22"/>
                <w:szCs w:val="22"/>
              </w:rPr>
              <w:t xml:space="preserve">Recomendación </w:t>
            </w:r>
            <w:r w:rsidR="00810653">
              <w:rPr>
                <w:b/>
                <w:bCs/>
                <w:sz w:val="22"/>
                <w:szCs w:val="22"/>
              </w:rPr>
              <w:t>UIT</w:t>
            </w:r>
            <w:r w:rsidR="00690FBF" w:rsidRPr="00BB0B05">
              <w:rPr>
                <w:b/>
                <w:bCs/>
                <w:sz w:val="22"/>
                <w:szCs w:val="22"/>
              </w:rPr>
              <w:t>-T X.1751 (</w:t>
            </w:r>
            <w:proofErr w:type="spellStart"/>
            <w:r w:rsidR="00690FBF" w:rsidRPr="00BB0B05">
              <w:rPr>
                <w:b/>
                <w:bCs/>
                <w:sz w:val="22"/>
                <w:szCs w:val="22"/>
              </w:rPr>
              <w:t>X.sgtBD</w:t>
            </w:r>
            <w:proofErr w:type="spellEnd"/>
            <w:r w:rsidR="00690FBF" w:rsidRPr="00BB0B05">
              <w:rPr>
                <w:b/>
                <w:bCs/>
                <w:sz w:val="22"/>
                <w:szCs w:val="22"/>
              </w:rPr>
              <w:t>)</w:t>
            </w:r>
          </w:p>
        </w:tc>
        <w:tc>
          <w:tcPr>
            <w:tcW w:w="7652" w:type="dxa"/>
            <w:shd w:val="clear" w:color="auto" w:fill="auto"/>
            <w:vAlign w:val="center"/>
          </w:tcPr>
          <w:p w14:paraId="533B8E58" w14:textId="77777777" w:rsidR="00690FBF" w:rsidRPr="00BB0B05" w:rsidRDefault="00690FBF" w:rsidP="00A90C00">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Otorga autoridad </w:t>
            </w:r>
            <w:r w:rsidRPr="00BB0B05">
              <w:rPr>
                <w:sz w:val="22"/>
                <w:szCs w:val="22"/>
              </w:rPr>
              <w:t>a la Comisión de Estudio 17 a fin de examinar este texto para aprobación (en cuyo caso seleccionará una de las dos opciones ⃝):</w:t>
            </w:r>
          </w:p>
          <w:p w14:paraId="2ED0B9CF"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Sin comentarios o cambios sugeridos</w:t>
            </w:r>
          </w:p>
          <w:p w14:paraId="18750CFF" w14:textId="77777777" w:rsidR="00690FBF" w:rsidRPr="00BB0B05" w:rsidRDefault="00690FBF" w:rsidP="00A90C00">
            <w:pPr>
              <w:pStyle w:val="Tabletext0"/>
              <w:tabs>
                <w:tab w:val="clear" w:pos="851"/>
                <w:tab w:val="left" w:pos="940"/>
              </w:tabs>
              <w:ind w:left="567"/>
              <w:rPr>
                <w:szCs w:val="22"/>
              </w:rPr>
            </w:pPr>
            <w:r w:rsidRPr="00BB0B05">
              <w:rPr>
                <w:szCs w:val="22"/>
              </w:rPr>
              <w:t>⃝</w:t>
            </w:r>
            <w:r w:rsidRPr="00BB0B05">
              <w:rPr>
                <w:szCs w:val="22"/>
              </w:rPr>
              <w:tab/>
              <w:t>Se adjuntan los comentarios o cambios sugeridos</w:t>
            </w:r>
          </w:p>
        </w:tc>
      </w:tr>
      <w:tr w:rsidR="00690FBF" w:rsidRPr="00BB0B05" w14:paraId="3A2A9C2D" w14:textId="77777777" w:rsidTr="00887459">
        <w:trPr>
          <w:trHeight w:val="748"/>
        </w:trPr>
        <w:tc>
          <w:tcPr>
            <w:tcW w:w="2067" w:type="dxa"/>
            <w:vMerge/>
            <w:shd w:val="clear" w:color="auto" w:fill="auto"/>
            <w:vAlign w:val="center"/>
          </w:tcPr>
          <w:p w14:paraId="2127C901" w14:textId="77777777" w:rsidR="00690FBF" w:rsidRPr="00BB0B05" w:rsidRDefault="00690FBF" w:rsidP="00627003">
            <w:pPr>
              <w:spacing w:before="60" w:after="60"/>
              <w:jc w:val="center"/>
              <w:rPr>
                <w:b/>
              </w:rPr>
            </w:pPr>
          </w:p>
        </w:tc>
        <w:tc>
          <w:tcPr>
            <w:tcW w:w="7652" w:type="dxa"/>
            <w:shd w:val="clear" w:color="auto" w:fill="auto"/>
            <w:vAlign w:val="center"/>
          </w:tcPr>
          <w:p w14:paraId="0E56FCBD" w14:textId="77777777" w:rsidR="00690FBF" w:rsidRPr="00BB0B05" w:rsidRDefault="00690FBF" w:rsidP="00627003">
            <w:pPr>
              <w:tabs>
                <w:tab w:val="clear" w:pos="794"/>
                <w:tab w:val="clear" w:pos="1191"/>
                <w:tab w:val="clear" w:pos="1588"/>
                <w:tab w:val="clear" w:pos="1985"/>
              </w:tabs>
              <w:spacing w:before="60" w:after="60"/>
              <w:ind w:left="459" w:hanging="459"/>
              <w:rPr>
                <w:sz w:val="22"/>
                <w:szCs w:val="22"/>
              </w:rPr>
            </w:pPr>
            <w:r w:rsidRPr="00BB0B05">
              <w:rPr>
                <w:sz w:val="22"/>
                <w:szCs w:val="22"/>
              </w:rPr>
              <w:fldChar w:fldCharType="begin">
                <w:ffData>
                  <w:name w:val="Check1"/>
                  <w:enabled/>
                  <w:calcOnExit w:val="0"/>
                  <w:checkBox>
                    <w:sizeAuto/>
                    <w:default w:val="0"/>
                  </w:checkBox>
                </w:ffData>
              </w:fldChar>
            </w:r>
            <w:r w:rsidRPr="00BB0B05">
              <w:rPr>
                <w:sz w:val="22"/>
                <w:szCs w:val="22"/>
              </w:rPr>
              <w:instrText xml:space="preserve"> FORMCHECKBOX </w:instrText>
            </w:r>
            <w:r w:rsidR="000A28E1">
              <w:rPr>
                <w:sz w:val="22"/>
                <w:szCs w:val="22"/>
              </w:rPr>
            </w:r>
            <w:r w:rsidR="000A28E1">
              <w:rPr>
                <w:sz w:val="22"/>
                <w:szCs w:val="22"/>
              </w:rPr>
              <w:fldChar w:fldCharType="separate"/>
            </w:r>
            <w:r w:rsidRPr="00BB0B05">
              <w:rPr>
                <w:sz w:val="22"/>
                <w:szCs w:val="22"/>
              </w:rPr>
              <w:fldChar w:fldCharType="end"/>
            </w:r>
            <w:r w:rsidRPr="00BB0B05">
              <w:rPr>
                <w:sz w:val="22"/>
                <w:szCs w:val="22"/>
              </w:rPr>
              <w:tab/>
            </w:r>
            <w:r w:rsidRPr="00BB0B05">
              <w:rPr>
                <w:b/>
                <w:bCs/>
                <w:sz w:val="22"/>
                <w:szCs w:val="22"/>
              </w:rPr>
              <w:t xml:space="preserve">No otorga autoridad </w:t>
            </w:r>
            <w:r w:rsidRPr="00BB0B05">
              <w:rPr>
                <w:sz w:val="22"/>
                <w:szCs w:val="22"/>
              </w:rPr>
              <w:t>a la Comisión de Estudio 17 a fin de examinar este texto para aprobación (se adjuntan los motivos en que se fundamenta esta opinión y las modificaciones que podrían permitir el proseguimiento de los trabajos)</w:t>
            </w:r>
          </w:p>
        </w:tc>
      </w:tr>
    </w:tbl>
    <w:p w14:paraId="0FB6490F" w14:textId="77777777" w:rsidR="00690FBF" w:rsidRPr="00BB0B05" w:rsidRDefault="00690FBF" w:rsidP="00A90C00"/>
    <w:p w14:paraId="5F1D8EB4" w14:textId="77777777" w:rsidR="00690FBF" w:rsidRPr="00BB0B05" w:rsidRDefault="00690FBF" w:rsidP="00A90C00">
      <w:pPr>
        <w:pStyle w:val="Normalaftertitle"/>
      </w:pPr>
      <w:r w:rsidRPr="00BB0B05">
        <w:t>Atentamente,</w:t>
      </w:r>
    </w:p>
    <w:p w14:paraId="0BF86975" w14:textId="155E484D" w:rsidR="00690FBF" w:rsidRDefault="00690FBF" w:rsidP="00A90C00">
      <w:r w:rsidRPr="00BB0B05">
        <w:rPr>
          <w:highlight w:val="green"/>
        </w:rPr>
        <w:t>[Nombre]</w:t>
      </w:r>
      <w:r w:rsidRPr="00BB0B05">
        <w:rPr>
          <w:highlight w:val="green"/>
        </w:rPr>
        <w:br/>
        <w:t>[Cargo oficial/Título]</w:t>
      </w:r>
      <w:r w:rsidRPr="00BB0B05">
        <w:br/>
        <w:t xml:space="preserve">Administración de </w:t>
      </w:r>
      <w:r w:rsidRPr="00BB0B05">
        <w:rPr>
          <w:highlight w:val="green"/>
        </w:rPr>
        <w:t>[Estado Miembro]</w:t>
      </w:r>
    </w:p>
    <w:p w14:paraId="5D08739C" w14:textId="77777777" w:rsidR="00887459" w:rsidRPr="00BB0B05" w:rsidRDefault="00887459" w:rsidP="00A90C00">
      <w:pPr>
        <w:rPr>
          <w:szCs w:val="24"/>
        </w:rPr>
      </w:pPr>
    </w:p>
    <w:p w14:paraId="53F26DB7" w14:textId="77777777" w:rsidR="00690FBF" w:rsidRPr="00BB0B05" w:rsidRDefault="00690FBF" w:rsidP="00A90C00">
      <w:pPr>
        <w:jc w:val="center"/>
      </w:pPr>
      <w:r w:rsidRPr="00BB0B05">
        <w:t>________________</w:t>
      </w:r>
    </w:p>
    <w:sectPr w:rsidR="00690FBF" w:rsidRPr="00BB0B05" w:rsidSect="00B87E9E">
      <w:headerReference w:type="default" r:id="rId25"/>
      <w:footerReference w:type="first" r:id="rId2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617A4" w14:textId="77777777" w:rsidR="00562B02" w:rsidRDefault="00562B02">
      <w:r>
        <w:separator/>
      </w:r>
    </w:p>
  </w:endnote>
  <w:endnote w:type="continuationSeparator" w:id="0">
    <w:p w14:paraId="62D6D7D0" w14:textId="77777777" w:rsidR="00562B02" w:rsidRDefault="0056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FA9F" w14:textId="77777777" w:rsidR="0014464D" w:rsidRPr="0055719E" w:rsidRDefault="0014464D" w:rsidP="00FC416A">
    <w:pPr>
      <w:pStyle w:val="FirstFooter"/>
      <w:ind w:left="-397" w:right="-397"/>
      <w:jc w:val="center"/>
      <w:rPr>
        <w:szCs w:val="18"/>
        <w:lang w:val="es-ES"/>
      </w:rPr>
    </w:pPr>
    <w:r w:rsidRPr="004A711A">
      <w:rPr>
        <w:color w:val="0070C0"/>
        <w:szCs w:val="18"/>
        <w:lang w:val="es-ES"/>
      </w:rPr>
      <w:t xml:space="preserve">Unión Internacional de Telecomunicaciones • Place des </w:t>
    </w:r>
    <w:proofErr w:type="spellStart"/>
    <w:r w:rsidRPr="004A711A">
      <w:rPr>
        <w:color w:val="0070C0"/>
        <w:szCs w:val="18"/>
        <w:lang w:val="es-ES"/>
      </w:rPr>
      <w:t>Nations</w:t>
    </w:r>
    <w:proofErr w:type="spellEnd"/>
    <w:r w:rsidRPr="004A711A">
      <w:rPr>
        <w:color w:val="0070C0"/>
        <w:szCs w:val="18"/>
        <w:lang w:val="es-ES"/>
      </w:rPr>
      <w:t>, CH</w:t>
    </w:r>
    <w:r w:rsidRPr="004A711A">
      <w:rPr>
        <w:color w:val="0070C0"/>
        <w:szCs w:val="18"/>
        <w:lang w:val="es-ES"/>
      </w:rPr>
      <w:noBreakHyphen/>
      <w:t xml:space="preserve">1211 Ginebra 20, Suiza </w:t>
    </w:r>
    <w:r w:rsidRPr="004A711A">
      <w:rPr>
        <w:color w:val="0070C0"/>
        <w:szCs w:val="18"/>
        <w:lang w:val="es-ES"/>
      </w:rPr>
      <w:br/>
      <w:t xml:space="preserve">Tel: +41 22 730 5111 • Fax: +41 22 733 7256 • Correo-e: </w:t>
    </w:r>
    <w:hyperlink r:id="rId1" w:history="1">
      <w:r w:rsidRPr="004A711A">
        <w:rPr>
          <w:rStyle w:val="Hyperlink"/>
          <w:color w:val="0070C0"/>
          <w:lang w:val="es-ES"/>
        </w:rPr>
        <w:t>itumail@itu.int</w:t>
      </w:r>
    </w:hyperlink>
    <w:r w:rsidRPr="004A711A">
      <w:rPr>
        <w:color w:val="0070C0"/>
        <w:szCs w:val="18"/>
        <w:lang w:val="es-ES"/>
      </w:rPr>
      <w:t xml:space="preserve"> • </w:t>
    </w:r>
    <w:hyperlink r:id="rId2" w:history="1">
      <w:r w:rsidRPr="004A711A">
        <w:rPr>
          <w:rStyle w:val="Hyperlink"/>
          <w:color w:val="0070C0"/>
          <w:lang w:val="es-ES"/>
        </w:rPr>
        <w:t>www.itu.int</w:t>
      </w:r>
    </w:hyperlink>
    <w:r w:rsidRPr="004A711A">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1AA49" w14:textId="77777777" w:rsidR="00562B02" w:rsidRDefault="00562B02">
      <w:r>
        <w:t>____________________</w:t>
      </w:r>
    </w:p>
  </w:footnote>
  <w:footnote w:type="continuationSeparator" w:id="0">
    <w:p w14:paraId="295EDFA6" w14:textId="77777777" w:rsidR="00562B02" w:rsidRDefault="0056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D1D77" w14:textId="099F6767" w:rsidR="00690FBF" w:rsidRDefault="00690FBF" w:rsidP="00690FBF">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887459">
      <w:rPr>
        <w:rStyle w:val="PageNumber"/>
        <w:noProof/>
        <w:sz w:val="18"/>
        <w:szCs w:val="18"/>
      </w:rPr>
      <w:t>10</w:t>
    </w:r>
    <w:r w:rsidRPr="00303D62">
      <w:rPr>
        <w:rStyle w:val="PageNumber"/>
        <w:sz w:val="18"/>
        <w:szCs w:val="18"/>
      </w:rPr>
      <w:fldChar w:fldCharType="end"/>
    </w:r>
    <w:r w:rsidRPr="00303D62">
      <w:rPr>
        <w:rStyle w:val="PageNumber"/>
        <w:sz w:val="18"/>
        <w:szCs w:val="18"/>
      </w:rPr>
      <w:t xml:space="preserve"> -</w:t>
    </w:r>
  </w:p>
  <w:p w14:paraId="11A86BED" w14:textId="351B2996" w:rsidR="006969B4" w:rsidRPr="00303D62" w:rsidRDefault="00690FBF" w:rsidP="00690FBF">
    <w:pPr>
      <w:pStyle w:val="Header"/>
      <w:rPr>
        <w:sz w:val="18"/>
        <w:szCs w:val="18"/>
      </w:rPr>
    </w:pPr>
    <w:r>
      <w:rPr>
        <w:rFonts w:ascii="Calibri" w:hAnsi="Calibri"/>
        <w:noProof/>
        <w:sz w:val="18"/>
        <w:lang w:val="en-GB"/>
      </w:rPr>
      <w:t>Circular TSB 246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184E2D"/>
    <w:multiLevelType w:val="hybridMultilevel"/>
    <w:tmpl w:val="DA4AED4C"/>
    <w:lvl w:ilvl="0" w:tplc="208AD216">
      <w:start w:val="1"/>
      <w:numFmt w:val="decimal"/>
      <w:lvlText w:val="%1"/>
      <w:lvlJc w:val="left"/>
      <w:pPr>
        <w:ind w:left="789" w:hanging="789"/>
      </w:pPr>
      <w:rPr>
        <w:rFonts w:hint="default"/>
      </w:rPr>
    </w:lvl>
    <w:lvl w:ilvl="1" w:tplc="22322B9E" w:tentative="1">
      <w:start w:val="1"/>
      <w:numFmt w:val="lowerLetter"/>
      <w:lvlText w:val="%2."/>
      <w:lvlJc w:val="left"/>
      <w:pPr>
        <w:ind w:left="1080" w:hanging="360"/>
      </w:pPr>
    </w:lvl>
    <w:lvl w:ilvl="2" w:tplc="B31238F6" w:tentative="1">
      <w:start w:val="1"/>
      <w:numFmt w:val="lowerRoman"/>
      <w:lvlText w:val="%3."/>
      <w:lvlJc w:val="right"/>
      <w:pPr>
        <w:ind w:left="1800" w:hanging="180"/>
      </w:pPr>
    </w:lvl>
    <w:lvl w:ilvl="3" w:tplc="BDFAA5C2" w:tentative="1">
      <w:start w:val="1"/>
      <w:numFmt w:val="decimal"/>
      <w:lvlText w:val="%4."/>
      <w:lvlJc w:val="left"/>
      <w:pPr>
        <w:ind w:left="2520" w:hanging="360"/>
      </w:pPr>
    </w:lvl>
    <w:lvl w:ilvl="4" w:tplc="82DEDC7C" w:tentative="1">
      <w:start w:val="1"/>
      <w:numFmt w:val="lowerLetter"/>
      <w:lvlText w:val="%5."/>
      <w:lvlJc w:val="left"/>
      <w:pPr>
        <w:ind w:left="3240" w:hanging="360"/>
      </w:pPr>
    </w:lvl>
    <w:lvl w:ilvl="5" w:tplc="197E3F2A" w:tentative="1">
      <w:start w:val="1"/>
      <w:numFmt w:val="lowerRoman"/>
      <w:lvlText w:val="%6."/>
      <w:lvlJc w:val="right"/>
      <w:pPr>
        <w:ind w:left="3960" w:hanging="180"/>
      </w:pPr>
    </w:lvl>
    <w:lvl w:ilvl="6" w:tplc="775684BE" w:tentative="1">
      <w:start w:val="1"/>
      <w:numFmt w:val="decimal"/>
      <w:lvlText w:val="%7."/>
      <w:lvlJc w:val="left"/>
      <w:pPr>
        <w:ind w:left="4680" w:hanging="360"/>
      </w:pPr>
    </w:lvl>
    <w:lvl w:ilvl="7" w:tplc="D9508320" w:tentative="1">
      <w:start w:val="1"/>
      <w:numFmt w:val="lowerLetter"/>
      <w:lvlText w:val="%8."/>
      <w:lvlJc w:val="left"/>
      <w:pPr>
        <w:ind w:left="5400" w:hanging="360"/>
      </w:pPr>
    </w:lvl>
    <w:lvl w:ilvl="8" w:tplc="CFD24F5C" w:tentative="1">
      <w:start w:val="1"/>
      <w:numFmt w:val="lowerRoman"/>
      <w:lvlText w:val="%9."/>
      <w:lvlJc w:val="right"/>
      <w:pPr>
        <w:ind w:left="612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5A"/>
    <w:rsid w:val="00002529"/>
    <w:rsid w:val="00002AA2"/>
    <w:rsid w:val="0000549E"/>
    <w:rsid w:val="00025908"/>
    <w:rsid w:val="00055FD6"/>
    <w:rsid w:val="000767D0"/>
    <w:rsid w:val="00085662"/>
    <w:rsid w:val="000A28E1"/>
    <w:rsid w:val="000C382F"/>
    <w:rsid w:val="00102B35"/>
    <w:rsid w:val="001173CC"/>
    <w:rsid w:val="00144296"/>
    <w:rsid w:val="0014464D"/>
    <w:rsid w:val="0018459C"/>
    <w:rsid w:val="00187E09"/>
    <w:rsid w:val="001910EA"/>
    <w:rsid w:val="001A54CC"/>
    <w:rsid w:val="001E1D3D"/>
    <w:rsid w:val="00210E8A"/>
    <w:rsid w:val="0023112D"/>
    <w:rsid w:val="00235476"/>
    <w:rsid w:val="00257FB4"/>
    <w:rsid w:val="00262B1E"/>
    <w:rsid w:val="002A6CAA"/>
    <w:rsid w:val="002E496E"/>
    <w:rsid w:val="00303D62"/>
    <w:rsid w:val="003101DC"/>
    <w:rsid w:val="00335367"/>
    <w:rsid w:val="00351F65"/>
    <w:rsid w:val="00370C2D"/>
    <w:rsid w:val="003C4201"/>
    <w:rsid w:val="003D1E8D"/>
    <w:rsid w:val="003D673B"/>
    <w:rsid w:val="003E27BE"/>
    <w:rsid w:val="003F2855"/>
    <w:rsid w:val="003F7FB7"/>
    <w:rsid w:val="00400045"/>
    <w:rsid w:val="00401C20"/>
    <w:rsid w:val="00423E0D"/>
    <w:rsid w:val="00443A1E"/>
    <w:rsid w:val="0047176F"/>
    <w:rsid w:val="004855D0"/>
    <w:rsid w:val="00485B9E"/>
    <w:rsid w:val="004914A7"/>
    <w:rsid w:val="004A711A"/>
    <w:rsid w:val="004A7957"/>
    <w:rsid w:val="004C4144"/>
    <w:rsid w:val="004D3F8C"/>
    <w:rsid w:val="004E0087"/>
    <w:rsid w:val="004E6E02"/>
    <w:rsid w:val="00510502"/>
    <w:rsid w:val="00521FCF"/>
    <w:rsid w:val="005268CB"/>
    <w:rsid w:val="005312E0"/>
    <w:rsid w:val="0055719E"/>
    <w:rsid w:val="00562B02"/>
    <w:rsid w:val="0057585A"/>
    <w:rsid w:val="005F0DDF"/>
    <w:rsid w:val="006123B2"/>
    <w:rsid w:val="00627003"/>
    <w:rsid w:val="00644A1B"/>
    <w:rsid w:val="0065582C"/>
    <w:rsid w:val="00661402"/>
    <w:rsid w:val="00662E95"/>
    <w:rsid w:val="006646BC"/>
    <w:rsid w:val="00671C46"/>
    <w:rsid w:val="0067383A"/>
    <w:rsid w:val="00684B15"/>
    <w:rsid w:val="00690FBF"/>
    <w:rsid w:val="006969B4"/>
    <w:rsid w:val="006B058F"/>
    <w:rsid w:val="006E4F7B"/>
    <w:rsid w:val="006E70BA"/>
    <w:rsid w:val="007006E4"/>
    <w:rsid w:val="007011DA"/>
    <w:rsid w:val="0070363E"/>
    <w:rsid w:val="00710D5A"/>
    <w:rsid w:val="007115BA"/>
    <w:rsid w:val="00711884"/>
    <w:rsid w:val="007126A8"/>
    <w:rsid w:val="00781E2A"/>
    <w:rsid w:val="007933A2"/>
    <w:rsid w:val="007977C5"/>
    <w:rsid w:val="007A776A"/>
    <w:rsid w:val="007B4A04"/>
    <w:rsid w:val="007B6316"/>
    <w:rsid w:val="007C1D86"/>
    <w:rsid w:val="007F1AAF"/>
    <w:rsid w:val="007F578C"/>
    <w:rsid w:val="00810653"/>
    <w:rsid w:val="00814503"/>
    <w:rsid w:val="008258C2"/>
    <w:rsid w:val="0083181A"/>
    <w:rsid w:val="008505BD"/>
    <w:rsid w:val="00850C78"/>
    <w:rsid w:val="00864187"/>
    <w:rsid w:val="00874104"/>
    <w:rsid w:val="00876165"/>
    <w:rsid w:val="00884D12"/>
    <w:rsid w:val="00885B91"/>
    <w:rsid w:val="00887459"/>
    <w:rsid w:val="008C17AD"/>
    <w:rsid w:val="008C3CB7"/>
    <w:rsid w:val="008D02CD"/>
    <w:rsid w:val="008E0C7C"/>
    <w:rsid w:val="008E3092"/>
    <w:rsid w:val="008F3F06"/>
    <w:rsid w:val="00900D4A"/>
    <w:rsid w:val="0091370C"/>
    <w:rsid w:val="00923B3C"/>
    <w:rsid w:val="009315EC"/>
    <w:rsid w:val="00936EAB"/>
    <w:rsid w:val="009474B3"/>
    <w:rsid w:val="0095172A"/>
    <w:rsid w:val="00953CB2"/>
    <w:rsid w:val="00955CCB"/>
    <w:rsid w:val="00970372"/>
    <w:rsid w:val="0097058C"/>
    <w:rsid w:val="00992126"/>
    <w:rsid w:val="00995336"/>
    <w:rsid w:val="009A0BA0"/>
    <w:rsid w:val="009A41C6"/>
    <w:rsid w:val="009C5208"/>
    <w:rsid w:val="009F770F"/>
    <w:rsid w:val="00A54E47"/>
    <w:rsid w:val="00A85AE0"/>
    <w:rsid w:val="00A90C00"/>
    <w:rsid w:val="00AB6050"/>
    <w:rsid w:val="00AB6E3A"/>
    <w:rsid w:val="00AB757F"/>
    <w:rsid w:val="00AC5BA8"/>
    <w:rsid w:val="00AE7093"/>
    <w:rsid w:val="00AF10C1"/>
    <w:rsid w:val="00B11783"/>
    <w:rsid w:val="00B1186C"/>
    <w:rsid w:val="00B142DB"/>
    <w:rsid w:val="00B165AD"/>
    <w:rsid w:val="00B422BC"/>
    <w:rsid w:val="00B43F77"/>
    <w:rsid w:val="00B546DC"/>
    <w:rsid w:val="00B55A3E"/>
    <w:rsid w:val="00B819DA"/>
    <w:rsid w:val="00B87E9E"/>
    <w:rsid w:val="00B95F0A"/>
    <w:rsid w:val="00B96180"/>
    <w:rsid w:val="00BB0B05"/>
    <w:rsid w:val="00BB0CBA"/>
    <w:rsid w:val="00BB7979"/>
    <w:rsid w:val="00BD305E"/>
    <w:rsid w:val="00C06C81"/>
    <w:rsid w:val="00C116FE"/>
    <w:rsid w:val="00C17AC0"/>
    <w:rsid w:val="00C34772"/>
    <w:rsid w:val="00C5465A"/>
    <w:rsid w:val="00C74F34"/>
    <w:rsid w:val="00C86CD7"/>
    <w:rsid w:val="00CD0F5A"/>
    <w:rsid w:val="00CE4B22"/>
    <w:rsid w:val="00D100D2"/>
    <w:rsid w:val="00D21AC6"/>
    <w:rsid w:val="00D2792C"/>
    <w:rsid w:val="00D4248E"/>
    <w:rsid w:val="00D54642"/>
    <w:rsid w:val="00D67D2E"/>
    <w:rsid w:val="00DA40BF"/>
    <w:rsid w:val="00DD77C9"/>
    <w:rsid w:val="00DF3538"/>
    <w:rsid w:val="00DF5E97"/>
    <w:rsid w:val="00E255F2"/>
    <w:rsid w:val="00E31086"/>
    <w:rsid w:val="00E74410"/>
    <w:rsid w:val="00E839B0"/>
    <w:rsid w:val="00E86A67"/>
    <w:rsid w:val="00E919BE"/>
    <w:rsid w:val="00E92C09"/>
    <w:rsid w:val="00E9300B"/>
    <w:rsid w:val="00EA7492"/>
    <w:rsid w:val="00EF1BCB"/>
    <w:rsid w:val="00F011FB"/>
    <w:rsid w:val="00F14380"/>
    <w:rsid w:val="00F27643"/>
    <w:rsid w:val="00F3507E"/>
    <w:rsid w:val="00F56669"/>
    <w:rsid w:val="00F6461F"/>
    <w:rsid w:val="00F7585C"/>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7ABC84"/>
  <w15:docId w15:val="{2E00F095-6E34-4350-8F72-088D142D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title0">
    <w:name w:val="Annex_title"/>
    <w:basedOn w:val="Normal"/>
    <w:next w:val="Normal"/>
    <w:rsid w:val="00690FBF"/>
    <w:pPr>
      <w:keepNext/>
      <w:keepLines/>
      <w:spacing w:before="240" w:after="280"/>
      <w:jc w:val="center"/>
    </w:pPr>
    <w:rPr>
      <w:rFonts w:ascii="Calibri" w:hAnsi="Calibri"/>
      <w:b/>
      <w:sz w:val="28"/>
      <w:lang w:val="en-GB"/>
    </w:rPr>
  </w:style>
  <w:style w:type="character" w:customStyle="1" w:styleId="Heading1Char">
    <w:name w:val="Heading 1 Char"/>
    <w:basedOn w:val="DefaultParagraphFont"/>
    <w:link w:val="Heading1"/>
    <w:rsid w:val="00690FBF"/>
    <w:rPr>
      <w:rFonts w:asciiTheme="minorHAnsi" w:hAnsiTheme="minorHAnsi"/>
      <w:b/>
      <w:sz w:val="24"/>
      <w:lang w:val="es-ES_tradnl" w:eastAsia="en-US"/>
    </w:rPr>
  </w:style>
  <w:style w:type="character" w:customStyle="1" w:styleId="enumlev1Char">
    <w:name w:val="enumlev1 Char"/>
    <w:link w:val="enumlev1"/>
    <w:rsid w:val="00690FBF"/>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71741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17-R-0060" TargetMode="External"/><Relationship Id="rId18" Type="http://schemas.openxmlformats.org/officeDocument/2006/relationships/hyperlink" Target="https://www.itu.int/md/T17-SG17-R-005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T17-SG17-R-0062" TargetMode="External"/><Relationship Id="rId7" Type="http://schemas.openxmlformats.org/officeDocument/2006/relationships/endnotes" Target="endnotes.xml"/><Relationship Id="rId12" Type="http://schemas.openxmlformats.org/officeDocument/2006/relationships/hyperlink" Target="https://www.itu.int/md/T17-SG17-R-0056" TargetMode="External"/><Relationship Id="rId17" Type="http://schemas.openxmlformats.org/officeDocument/2006/relationships/hyperlink" Target="https://www.itu.int/md/T17-SG17-R-0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T17-SG17-R-0065" TargetMode="External"/><Relationship Id="rId20" Type="http://schemas.openxmlformats.org/officeDocument/2006/relationships/hyperlink" Target="https://www.itu.int/md/T17-SG17-R-0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tsbdir@itu.int" TargetMode="External"/><Relationship Id="rId5" Type="http://schemas.openxmlformats.org/officeDocument/2006/relationships/webSettings" Target="webSettings.xml"/><Relationship Id="rId15" Type="http://schemas.openxmlformats.org/officeDocument/2006/relationships/hyperlink" Target="https://www.itu.int/md/T17-SG17-R-0064" TargetMode="External"/><Relationship Id="rId23" Type="http://schemas.openxmlformats.org/officeDocument/2006/relationships/hyperlink" Target="https://www.itu.int/md/T17-SG17-R-0063" TargetMode="External"/><Relationship Id="rId28" Type="http://schemas.openxmlformats.org/officeDocument/2006/relationships/theme" Target="theme/theme1.xml"/><Relationship Id="rId10" Type="http://schemas.openxmlformats.org/officeDocument/2006/relationships/hyperlink" Target="http://www.itu.int/ipr/" TargetMode="External"/><Relationship Id="rId19" Type="http://schemas.openxmlformats.org/officeDocument/2006/relationships/hyperlink" Target="https://www.itu.int/md/T17-SG17-R-0059"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17-SG17-R-0057" TargetMode="External"/><Relationship Id="rId22" Type="http://schemas.openxmlformats.org/officeDocument/2006/relationships/hyperlink" Target="https://www.itu.int/md/T17-SG17-R-006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60CE-9515-4C49-BD7C-4F39316D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7</TotalTime>
  <Pages>10</Pages>
  <Words>3368</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23158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Casellas, Mercedes</dc:creator>
  <cp:lastModifiedBy>Braud, Olivia</cp:lastModifiedBy>
  <cp:revision>4</cp:revision>
  <cp:lastPrinted>2020-04-30T12:50:00Z</cp:lastPrinted>
  <dcterms:created xsi:type="dcterms:W3CDTF">2020-04-27T16:34:00Z</dcterms:created>
  <dcterms:modified xsi:type="dcterms:W3CDTF">2020-04-30T12:51:00Z</dcterms:modified>
</cp:coreProperties>
</file>