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FC2A0FE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0DFB2B79" w14:textId="77777777" w:rsidR="00590119" w:rsidRPr="0055099D" w:rsidRDefault="00826B5B" w:rsidP="0036112E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B0E51F" wp14:editId="4052CD8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77BF88E3" w14:textId="77777777" w:rsidR="006B463C" w:rsidRPr="0055099D" w:rsidRDefault="006B463C" w:rsidP="0036112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9F354B2" w14:textId="77777777" w:rsidR="00590119" w:rsidRPr="0055099D" w:rsidRDefault="006B463C" w:rsidP="0036112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5704D740" w14:textId="77777777" w:rsidR="00590119" w:rsidRPr="0055099D" w:rsidRDefault="00590119" w:rsidP="0036112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258F387E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18A71BF3" w14:textId="77777777" w:rsidR="00F346AB" w:rsidRPr="00F334EC" w:rsidRDefault="00F346AB" w:rsidP="0036112E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DE7ED80" w14:textId="4CA3761F" w:rsidR="00F346AB" w:rsidRPr="00F334EC" w:rsidRDefault="00CE13B6" w:rsidP="0036112E">
            <w:pPr>
              <w:spacing w:before="0"/>
              <w:ind w:left="993" w:hanging="993"/>
              <w:rPr>
                <w:rFonts w:cstheme="minorHAnsi"/>
                <w:sz w:val="18"/>
                <w:szCs w:val="18"/>
                <w:lang w:val="en-US" w:eastAsia="zh-CN"/>
              </w:rPr>
            </w:pPr>
            <w:r w:rsidRPr="00F334EC">
              <w:rPr>
                <w:rFonts w:cstheme="minorHAnsi"/>
              </w:rPr>
              <w:t>20</w:t>
            </w:r>
            <w:r w:rsidR="0092003B" w:rsidRPr="00F334EC">
              <w:rPr>
                <w:rFonts w:cstheme="minorHAnsi"/>
              </w:rPr>
              <w:t>20</w:t>
            </w:r>
            <w:r w:rsidR="00113BC0" w:rsidRPr="00F334EC">
              <w:rPr>
                <w:rFonts w:cstheme="minorHAnsi"/>
                <w:lang w:eastAsia="zh-CN"/>
              </w:rPr>
              <w:t>年</w:t>
            </w:r>
            <w:r w:rsidR="0092003B" w:rsidRPr="00F334EC">
              <w:rPr>
                <w:rFonts w:cstheme="minorHAnsi"/>
                <w:lang w:eastAsia="zh-CN"/>
              </w:rPr>
              <w:t>5</w:t>
            </w:r>
            <w:r w:rsidR="00113BC0" w:rsidRPr="00F334EC">
              <w:rPr>
                <w:rFonts w:cstheme="minorHAnsi"/>
                <w:lang w:eastAsia="zh-CN"/>
              </w:rPr>
              <w:t>月</w:t>
            </w:r>
            <w:r w:rsidR="008F3374" w:rsidRPr="00F334EC">
              <w:rPr>
                <w:rFonts w:cstheme="minorHAnsi"/>
              </w:rPr>
              <w:t>1</w:t>
            </w:r>
            <w:r w:rsidR="0092003B" w:rsidRPr="00F334EC">
              <w:rPr>
                <w:rFonts w:cstheme="minorHAnsi"/>
              </w:rPr>
              <w:t>2</w:t>
            </w:r>
            <w:r w:rsidR="00113BC0" w:rsidRPr="00F334EC">
              <w:rPr>
                <w:rFonts w:cstheme="minorHAnsi"/>
                <w:lang w:eastAsia="zh-CN"/>
              </w:rPr>
              <w:t>日，日内瓦</w:t>
            </w:r>
          </w:p>
        </w:tc>
      </w:tr>
      <w:tr w:rsidR="00113BC0" w:rsidRPr="0055099D" w14:paraId="715B26B4" w14:textId="77777777" w:rsidTr="006D6DBA">
        <w:trPr>
          <w:cantSplit/>
          <w:trHeight w:val="715"/>
        </w:trPr>
        <w:tc>
          <w:tcPr>
            <w:tcW w:w="1276" w:type="dxa"/>
          </w:tcPr>
          <w:p w14:paraId="02771052" w14:textId="77777777" w:rsidR="00113BC0" w:rsidRPr="00F334EC" w:rsidRDefault="00113BC0" w:rsidP="0036112E">
            <w:pPr>
              <w:tabs>
                <w:tab w:val="right" w:pos="8732"/>
              </w:tabs>
              <w:spacing w:before="40" w:after="40"/>
              <w:rPr>
                <w:rFonts w:cstheme="minorHAnsi"/>
                <w:b/>
                <w:bCs/>
                <w:iCs/>
                <w:szCs w:val="24"/>
              </w:rPr>
            </w:pPr>
            <w:r w:rsidRPr="00F334EC">
              <w:rPr>
                <w:rFonts w:cstheme="minorHAnsi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253D85B0" w14:textId="5916A404" w:rsidR="0092003B" w:rsidRPr="00F334EC" w:rsidRDefault="00017004" w:rsidP="0036112E">
            <w:pPr>
              <w:tabs>
                <w:tab w:val="right" w:pos="8732"/>
              </w:tabs>
              <w:spacing w:before="40" w:after="40"/>
              <w:ind w:left="142"/>
              <w:rPr>
                <w:rFonts w:cstheme="minorHAnsi"/>
                <w:b/>
                <w:bCs/>
                <w:lang w:eastAsia="zh-CN"/>
              </w:rPr>
            </w:pPr>
            <w:r w:rsidRPr="00F334EC">
              <w:rPr>
                <w:rFonts w:cstheme="minorHAnsi"/>
                <w:b/>
                <w:bCs/>
                <w:lang w:eastAsia="zh-CN"/>
              </w:rPr>
              <w:t>电信标准化局第</w:t>
            </w:r>
            <w:r w:rsidR="0092003B" w:rsidRPr="00F334EC">
              <w:rPr>
                <w:rFonts w:cstheme="minorHAnsi"/>
                <w:b/>
                <w:bCs/>
                <w:lang w:eastAsia="zh-CN"/>
              </w:rPr>
              <w:t>249</w:t>
            </w:r>
            <w:r w:rsidRPr="00F334EC">
              <w:rPr>
                <w:rFonts w:cstheme="minorHAnsi"/>
                <w:b/>
                <w:bCs/>
                <w:lang w:eastAsia="zh-CN"/>
              </w:rPr>
              <w:t>号通函</w:t>
            </w:r>
          </w:p>
          <w:p w14:paraId="2CB9C566" w14:textId="28C50FD1" w:rsidR="00CB091E" w:rsidRPr="00F334EC" w:rsidRDefault="0092003B" w:rsidP="0092003B">
            <w:pPr>
              <w:tabs>
                <w:tab w:val="right" w:pos="8732"/>
              </w:tabs>
              <w:spacing w:before="40" w:after="40"/>
              <w:ind w:left="142"/>
              <w:rPr>
                <w:rFonts w:cstheme="minorHAnsi"/>
                <w:lang w:eastAsia="zh-CN"/>
              </w:rPr>
            </w:pPr>
            <w:bookmarkStart w:id="1" w:name="lt_pId022"/>
            <w:r w:rsidRPr="00F334EC">
              <w:rPr>
                <w:rFonts w:cstheme="minorHAnsi"/>
                <w:lang w:eastAsia="zh-CN"/>
              </w:rPr>
              <w:t>SG2/RC</w:t>
            </w:r>
            <w:bookmarkEnd w:id="1"/>
            <w:r w:rsidR="00CB091E" w:rsidRPr="00F334EC">
              <w:rPr>
                <w:rFonts w:cstheme="minorHAnsi"/>
                <w:b/>
                <w:bCs/>
                <w:lang w:eastAsia="zh-CN"/>
              </w:rPr>
              <w:br/>
            </w:r>
          </w:p>
        </w:tc>
        <w:tc>
          <w:tcPr>
            <w:tcW w:w="3969" w:type="dxa"/>
            <w:gridSpan w:val="2"/>
            <w:vMerge w:val="restart"/>
          </w:tcPr>
          <w:p w14:paraId="6DD6A8F4" w14:textId="77777777" w:rsidR="00113BC0" w:rsidRPr="00F334EC" w:rsidRDefault="00113BC0" w:rsidP="0036112E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F334EC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5F1C93BF" w14:textId="77777777" w:rsidR="00113BC0" w:rsidRPr="00F334EC" w:rsidRDefault="00A372A1" w:rsidP="0036112E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val="en-US"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proofErr w:type="gramStart"/>
            <w:r w:rsidR="00223861" w:rsidRPr="00F334EC">
              <w:rPr>
                <w:rFonts w:eastAsia="SimSun" w:cstheme="minorHAnsi"/>
                <w:lang w:eastAsia="zh-CN"/>
              </w:rPr>
              <w:t>国际电联各成员国主管部门</w:t>
            </w:r>
            <w:r w:rsidR="00B31069" w:rsidRPr="00F334EC">
              <w:rPr>
                <w:rFonts w:eastAsia="SimSun" w:cstheme="minorHAnsi"/>
                <w:lang w:eastAsia="zh-CN"/>
              </w:rPr>
              <w:t>；</w:t>
            </w:r>
            <w:proofErr w:type="gramEnd"/>
          </w:p>
          <w:p w14:paraId="665CF102" w14:textId="77777777" w:rsidR="00834349" w:rsidRPr="00F334EC" w:rsidRDefault="008F066A" w:rsidP="0036112E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val="en-US"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r w:rsidRPr="00F334EC">
              <w:rPr>
                <w:rFonts w:eastAsia="SimSun" w:cstheme="minorHAnsi"/>
                <w:lang w:eastAsia="zh-CN"/>
              </w:rPr>
              <w:t>ITU-</w:t>
            </w:r>
            <w:proofErr w:type="gramStart"/>
            <w:r w:rsidRPr="00F334EC">
              <w:rPr>
                <w:rFonts w:eastAsia="SimSun" w:cstheme="minorHAnsi"/>
                <w:lang w:eastAsia="zh-CN"/>
              </w:rPr>
              <w:t>T</w:t>
            </w:r>
            <w:r w:rsidRPr="00F334EC">
              <w:rPr>
                <w:rFonts w:eastAsia="SimSun" w:cstheme="minorHAnsi"/>
                <w:lang w:eastAsia="zh-CN"/>
              </w:rPr>
              <w:t>部门成员</w:t>
            </w:r>
            <w:r w:rsidR="00B31069" w:rsidRPr="00F334EC">
              <w:rPr>
                <w:rFonts w:eastAsia="SimSun" w:cstheme="minorHAnsi"/>
                <w:lang w:val="en-US" w:eastAsia="zh-CN"/>
              </w:rPr>
              <w:t>；</w:t>
            </w:r>
            <w:proofErr w:type="gramEnd"/>
          </w:p>
          <w:p w14:paraId="1696C5C7" w14:textId="77777777" w:rsidR="008F066A" w:rsidRPr="00F334EC" w:rsidRDefault="008F066A" w:rsidP="0036112E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r w:rsidRPr="00F334EC">
              <w:rPr>
                <w:rFonts w:eastAsia="SimSun" w:cstheme="minorHAnsi"/>
                <w:lang w:eastAsia="zh-CN"/>
              </w:rPr>
              <w:t>ITU-</w:t>
            </w:r>
            <w:proofErr w:type="gramStart"/>
            <w:r w:rsidRPr="00F334EC">
              <w:rPr>
                <w:rFonts w:eastAsia="SimSun" w:cstheme="minorHAnsi"/>
                <w:lang w:eastAsia="zh-CN"/>
              </w:rPr>
              <w:t>T</w:t>
            </w:r>
            <w:r w:rsidR="00B03378" w:rsidRPr="00F334EC">
              <w:rPr>
                <w:rFonts w:eastAsia="SimSun" w:cstheme="minorHAnsi"/>
                <w:lang w:eastAsia="zh-CN"/>
              </w:rPr>
              <w:t>部门</w:t>
            </w:r>
            <w:r w:rsidRPr="00F334EC">
              <w:rPr>
                <w:rFonts w:eastAsia="SimSun" w:cstheme="minorHAnsi"/>
                <w:lang w:eastAsia="zh-CN"/>
              </w:rPr>
              <w:t>准成员</w:t>
            </w:r>
            <w:r w:rsidR="00B31069" w:rsidRPr="00F334EC">
              <w:rPr>
                <w:rFonts w:eastAsia="SimSun" w:cstheme="minorHAnsi"/>
                <w:lang w:eastAsia="zh-CN"/>
              </w:rPr>
              <w:t>；</w:t>
            </w:r>
            <w:proofErr w:type="gramEnd"/>
            <w:r w:rsidRPr="00F334EC">
              <w:rPr>
                <w:rFonts w:eastAsia="SimSun" w:cstheme="minorHAnsi"/>
                <w:lang w:eastAsia="zh-CN"/>
              </w:rPr>
              <w:t xml:space="preserve"> </w:t>
            </w:r>
          </w:p>
          <w:p w14:paraId="312E13EC" w14:textId="77777777" w:rsidR="008F066A" w:rsidRPr="00F334EC" w:rsidRDefault="008F066A" w:rsidP="0036112E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r w:rsidRPr="00F334EC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4FBF1A27" w14:textId="77777777" w:rsidR="008F066A" w:rsidRPr="00F334EC" w:rsidRDefault="008F066A" w:rsidP="0036112E">
            <w:pPr>
              <w:pStyle w:val="Tabletext"/>
              <w:spacing w:before="0" w:after="0"/>
              <w:ind w:left="283" w:hanging="283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53A49F65" w14:textId="77777777" w:rsidTr="0057420A">
        <w:trPr>
          <w:cantSplit/>
          <w:trHeight w:val="416"/>
        </w:trPr>
        <w:tc>
          <w:tcPr>
            <w:tcW w:w="1276" w:type="dxa"/>
          </w:tcPr>
          <w:p w14:paraId="50E8ADBE" w14:textId="77777777" w:rsidR="00017004" w:rsidRPr="00F334EC" w:rsidRDefault="00017004" w:rsidP="0036112E">
            <w:pPr>
              <w:pStyle w:val="Tabletext"/>
              <w:rPr>
                <w:rFonts w:eastAsia="SimSun" w:cstheme="minorHAnsi"/>
              </w:rPr>
            </w:pPr>
            <w:r w:rsidRPr="00F334EC">
              <w:rPr>
                <w:rFonts w:eastAsia="SimSun" w:cstheme="minorHAns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095E30A9" w14:textId="135B82AE" w:rsidR="00017004" w:rsidRPr="00F334EC" w:rsidRDefault="00B03378" w:rsidP="0036112E">
            <w:pPr>
              <w:pStyle w:val="Tabletext"/>
              <w:ind w:left="142"/>
              <w:rPr>
                <w:rFonts w:eastAsia="SimSun" w:cstheme="minorHAnsi"/>
                <w:b/>
              </w:rPr>
            </w:pPr>
            <w:r w:rsidRPr="00F334EC">
              <w:rPr>
                <w:rFonts w:cstheme="minorHAnsi"/>
              </w:rPr>
              <w:t xml:space="preserve">+41 22 730 </w:t>
            </w:r>
            <w:r w:rsidR="0092003B" w:rsidRPr="00F334EC">
              <w:rPr>
                <w:rFonts w:cstheme="minorHAnsi"/>
              </w:rPr>
              <w:t>5415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D7D86AD" w14:textId="77777777" w:rsidR="00017004" w:rsidRPr="00F334EC" w:rsidRDefault="00017004" w:rsidP="0036112E">
            <w:pPr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47F63AFE" w14:textId="77777777" w:rsidTr="0057420A">
        <w:trPr>
          <w:cantSplit/>
        </w:trPr>
        <w:tc>
          <w:tcPr>
            <w:tcW w:w="1276" w:type="dxa"/>
          </w:tcPr>
          <w:p w14:paraId="6D83CBF7" w14:textId="77777777" w:rsidR="00017004" w:rsidRPr="00F334EC" w:rsidRDefault="00017004" w:rsidP="0036112E">
            <w:pPr>
              <w:pStyle w:val="Tabletext"/>
              <w:rPr>
                <w:rFonts w:eastAsia="SimSun" w:cstheme="minorHAnsi"/>
              </w:rPr>
            </w:pPr>
            <w:r w:rsidRPr="00F334EC">
              <w:rPr>
                <w:rFonts w:eastAsia="SimSun" w:cstheme="minorHAns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7434C09B" w14:textId="77777777" w:rsidR="00017004" w:rsidRPr="00F334EC" w:rsidRDefault="00B03378" w:rsidP="0036112E">
            <w:pPr>
              <w:pStyle w:val="Tabletext"/>
              <w:ind w:left="142"/>
              <w:rPr>
                <w:rFonts w:eastAsia="SimSun" w:cstheme="minorHAnsi"/>
                <w:b/>
              </w:rPr>
            </w:pPr>
            <w:r w:rsidRPr="00F334EC">
              <w:rPr>
                <w:rFonts w:cstheme="minorHAns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6CE0082" w14:textId="77777777" w:rsidR="00017004" w:rsidRPr="00F334EC" w:rsidRDefault="00017004" w:rsidP="0036112E">
            <w:pPr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12B9338C" w14:textId="77777777" w:rsidTr="00AE02AA">
        <w:trPr>
          <w:cantSplit/>
          <w:trHeight w:val="399"/>
        </w:trPr>
        <w:tc>
          <w:tcPr>
            <w:tcW w:w="1276" w:type="dxa"/>
          </w:tcPr>
          <w:p w14:paraId="4C41EBDA" w14:textId="77777777" w:rsidR="00113BC0" w:rsidRPr="00F334EC" w:rsidRDefault="00113BC0" w:rsidP="0036112E">
            <w:pPr>
              <w:pStyle w:val="Tabletext"/>
              <w:spacing w:before="120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F334EC">
              <w:rPr>
                <w:rFonts w:eastAsia="SimSun" w:cstheme="minorHAnsi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801F246" w14:textId="601698A2" w:rsidR="00113BC0" w:rsidRPr="00F334EC" w:rsidRDefault="004F2AF0" w:rsidP="0036112E">
            <w:pPr>
              <w:pStyle w:val="Tabletext"/>
              <w:spacing w:before="120"/>
              <w:ind w:left="142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bookmarkStart w:id="2" w:name="lt_pId044"/>
              <w:r w:rsidR="0092003B" w:rsidRPr="00F334EC">
                <w:rPr>
                  <w:rStyle w:val="Hyperlink"/>
                  <w:rFonts w:cstheme="minorHAnsi"/>
                </w:rPr>
                <w:t>tsbsg2@itu.int</w:t>
              </w:r>
              <w:bookmarkEnd w:id="2"/>
            </w:hyperlink>
          </w:p>
        </w:tc>
        <w:tc>
          <w:tcPr>
            <w:tcW w:w="3969" w:type="dxa"/>
            <w:gridSpan w:val="2"/>
          </w:tcPr>
          <w:p w14:paraId="1DB8265F" w14:textId="77777777" w:rsidR="00834349" w:rsidRPr="00F334EC" w:rsidRDefault="00834349" w:rsidP="0036112E">
            <w:pPr>
              <w:tabs>
                <w:tab w:val="left" w:pos="4111"/>
              </w:tabs>
              <w:rPr>
                <w:rFonts w:cstheme="minorHAnsi"/>
                <w:b/>
                <w:lang w:eastAsia="zh-CN"/>
              </w:rPr>
            </w:pPr>
            <w:r w:rsidRPr="00F334EC">
              <w:rPr>
                <w:rFonts w:cstheme="minorHAnsi"/>
                <w:b/>
                <w:lang w:eastAsia="zh-CN"/>
              </w:rPr>
              <w:t>抄送：</w:t>
            </w:r>
          </w:p>
          <w:p w14:paraId="3CA4D42B" w14:textId="77777777" w:rsidR="00223861" w:rsidRPr="00F334EC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proofErr w:type="gramStart"/>
            <w:r w:rsidR="00C75DBD" w:rsidRPr="00F334EC">
              <w:rPr>
                <w:rFonts w:cstheme="minorHAnsi"/>
                <w:lang w:eastAsia="zh-CN"/>
              </w:rPr>
              <w:t>各</w:t>
            </w:r>
            <w:r w:rsidRPr="00F334EC">
              <w:rPr>
                <w:rFonts w:cstheme="minorHAnsi"/>
                <w:lang w:eastAsia="zh-CN"/>
              </w:rPr>
              <w:t>研究组正副主席；</w:t>
            </w:r>
            <w:proofErr w:type="gramEnd"/>
          </w:p>
          <w:p w14:paraId="1A6C3E4E" w14:textId="77777777" w:rsidR="00223861" w:rsidRPr="00F334EC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proofErr w:type="gramStart"/>
            <w:r w:rsidRPr="00F334EC">
              <w:rPr>
                <w:rFonts w:cstheme="minorHAnsi"/>
                <w:lang w:eastAsia="zh-CN"/>
              </w:rPr>
              <w:t>电信发展局主任；</w:t>
            </w:r>
            <w:proofErr w:type="gramEnd"/>
          </w:p>
          <w:p w14:paraId="459EF128" w14:textId="77777777" w:rsidR="00113BC0" w:rsidRPr="00F334EC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F334EC">
              <w:rPr>
                <w:rFonts w:cstheme="minorHAnsi"/>
                <w:lang w:eastAsia="zh-CN"/>
              </w:rPr>
              <w:t>-</w:t>
            </w:r>
            <w:r w:rsidRPr="00F334EC">
              <w:rPr>
                <w:rFonts w:cstheme="minorHAnsi"/>
                <w:lang w:eastAsia="zh-CN"/>
              </w:rPr>
              <w:tab/>
            </w:r>
            <w:proofErr w:type="gramStart"/>
            <w:r w:rsidRPr="00F334EC">
              <w:rPr>
                <w:rFonts w:cstheme="minorHAnsi"/>
                <w:lang w:eastAsia="zh-CN"/>
              </w:rPr>
              <w:t>无线电通信局主任</w:t>
            </w:r>
            <w:r w:rsidR="00C75DBD" w:rsidRPr="00F334EC">
              <w:rPr>
                <w:rFonts w:cstheme="minorHAnsi"/>
                <w:lang w:eastAsia="zh-CN"/>
              </w:rPr>
              <w:t>；</w:t>
            </w:r>
            <w:proofErr w:type="gramEnd"/>
          </w:p>
          <w:p w14:paraId="0B5D3A7A" w14:textId="6158609F" w:rsidR="00C75DBD" w:rsidRPr="00F334EC" w:rsidRDefault="00C75DBD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</w:p>
          <w:p w14:paraId="1299009D" w14:textId="77777777" w:rsidR="00714A1B" w:rsidRPr="00F334EC" w:rsidRDefault="00714A1B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</w:p>
        </w:tc>
      </w:tr>
      <w:tr w:rsidR="00113BC0" w:rsidRPr="0055099D" w14:paraId="14C1954E" w14:textId="77777777" w:rsidTr="0057420A">
        <w:trPr>
          <w:cantSplit/>
          <w:trHeight w:val="433"/>
        </w:trPr>
        <w:tc>
          <w:tcPr>
            <w:tcW w:w="1276" w:type="dxa"/>
          </w:tcPr>
          <w:p w14:paraId="65FB3149" w14:textId="77777777" w:rsidR="00113BC0" w:rsidRPr="00F334EC" w:rsidRDefault="00113BC0" w:rsidP="0036112E">
            <w:pPr>
              <w:tabs>
                <w:tab w:val="right" w:pos="8732"/>
              </w:tabs>
              <w:spacing w:before="240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F334EC">
              <w:rPr>
                <w:rFonts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09EBCE5" w14:textId="702553C3" w:rsidR="00113BC0" w:rsidRPr="00A00F1F" w:rsidRDefault="00734602" w:rsidP="00A00F1F">
            <w:pPr>
              <w:tabs>
                <w:tab w:val="left" w:pos="4111"/>
              </w:tabs>
              <w:spacing w:before="240"/>
              <w:ind w:left="57" w:right="28"/>
              <w:rPr>
                <w:rFonts w:cstheme="minorHAnsi"/>
                <w:b/>
                <w:bCs/>
                <w:szCs w:val="24"/>
                <w:lang w:val="en-US" w:eastAsia="zh-CN"/>
              </w:rPr>
            </w:pPr>
            <w:r w:rsidRPr="00F334EC">
              <w:rPr>
                <w:rFonts w:cstheme="minorHAnsi"/>
                <w:b/>
                <w:bCs/>
                <w:color w:val="222222"/>
                <w:szCs w:val="24"/>
                <w:shd w:val="clear" w:color="auto" w:fill="F8F9FA"/>
                <w:lang w:eastAsia="zh-CN"/>
              </w:rPr>
              <w:t>用于欧洲</w:t>
            </w:r>
            <w:proofErr w:type="spellStart"/>
            <w:r w:rsidRPr="00F334EC">
              <w:rPr>
                <w:rFonts w:cstheme="minorHAnsi"/>
                <w:b/>
                <w:bCs/>
                <w:color w:val="222222"/>
                <w:szCs w:val="24"/>
                <w:shd w:val="clear" w:color="auto" w:fill="F8F9FA"/>
                <w:lang w:eastAsia="zh-CN"/>
              </w:rPr>
              <w:t>eCall</w:t>
            </w:r>
            <w:proofErr w:type="spellEnd"/>
            <w:r w:rsidRPr="00F334EC">
              <w:rPr>
                <w:rFonts w:cstheme="minorHAnsi"/>
                <w:b/>
                <w:bCs/>
                <w:color w:val="222222"/>
                <w:szCs w:val="24"/>
                <w:shd w:val="clear" w:color="auto" w:fill="F8F9FA"/>
                <w:lang w:eastAsia="zh-CN"/>
              </w:rPr>
              <w:t>服务</w:t>
            </w:r>
            <w:r w:rsidRPr="00F334EC">
              <w:rPr>
                <w:rFonts w:cstheme="minorHAnsi"/>
                <w:b/>
                <w:bCs/>
                <w:szCs w:val="24"/>
                <w:shd w:val="clear" w:color="auto" w:fill="F8F9FA"/>
                <w:lang w:eastAsia="zh-CN"/>
              </w:rPr>
              <w:t>之类车内</w:t>
            </w:r>
            <w:r w:rsidRPr="00F334EC">
              <w:rPr>
                <w:rFonts w:cstheme="minorHAnsi"/>
                <w:b/>
                <w:bCs/>
                <w:color w:val="222222"/>
                <w:szCs w:val="24"/>
                <w:shd w:val="clear" w:color="auto" w:fill="F8F9FA"/>
                <w:lang w:eastAsia="zh-CN"/>
              </w:rPr>
              <w:t>应急服务的全球号码</w:t>
            </w:r>
          </w:p>
        </w:tc>
      </w:tr>
    </w:tbl>
    <w:p w14:paraId="61898B67" w14:textId="77777777" w:rsidR="00017004" w:rsidRPr="00DD5635" w:rsidRDefault="00017004" w:rsidP="0036112E">
      <w:pPr>
        <w:spacing w:before="7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070A0F38" w14:textId="32013CB0" w:rsidR="00734602" w:rsidRPr="00F334EC" w:rsidRDefault="00734602" w:rsidP="00F334EC">
      <w:pPr>
        <w:spacing w:before="360"/>
        <w:ind w:firstLineChars="200" w:firstLine="480"/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</w:pPr>
      <w:bookmarkStart w:id="4" w:name="_Hlk40194591"/>
      <w:bookmarkStart w:id="5" w:name="lt_pId054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非地理国家代码下的多个号码范围用于</w:t>
      </w:r>
      <w:bookmarkStart w:id="6" w:name="_Hlk40295350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车</w:t>
      </w:r>
      <w:r w:rsidR="00B20CD2"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内应</w:t>
      </w:r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急呼叫</w:t>
      </w:r>
      <w:bookmarkEnd w:id="6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，</w:t>
      </w:r>
      <w:bookmarkStart w:id="7" w:name="_Hlk40277590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例如</w:t>
      </w:r>
      <w:proofErr w:type="spellStart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，</w:t>
      </w:r>
      <w:r w:rsidR="00C971E1"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即，</w:t>
      </w:r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泛欧车辆应急</w:t>
      </w:r>
      <w:r w:rsidR="00C971E1"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呼叫</w:t>
      </w:r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系统</w:t>
      </w:r>
      <w:bookmarkEnd w:id="7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。这些号码已由</w:t>
      </w:r>
      <w:r w:rsidR="00014DD4"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分配，可与</w:t>
      </w:r>
      <w:proofErr w:type="spellStart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服务等车内</w:t>
      </w:r>
      <w:r w:rsidR="00014DD4"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应</w:t>
      </w:r>
      <w:r w:rsidRPr="00F334EC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急服务结合使用。</w:t>
      </w:r>
    </w:p>
    <w:p w14:paraId="12F36385" w14:textId="7F9EA467" w:rsidR="00014DD4" w:rsidRPr="00F334EC" w:rsidRDefault="00014DD4" w:rsidP="004D2026">
      <w:pPr>
        <w:ind w:firstLineChars="200" w:firstLine="480"/>
        <w:rPr>
          <w:rFonts w:eastAsia="Microsoft YaHei" w:cstheme="minorHAnsi"/>
          <w:color w:val="222222"/>
          <w:szCs w:val="24"/>
          <w:shd w:val="clear" w:color="auto" w:fill="F8F9FA"/>
          <w:lang w:eastAsia="zh-CN"/>
        </w:rPr>
      </w:pP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在事故发生时，设备（例如车辆）会自动呼叫应急号码，这些国际电</w:t>
      </w:r>
      <w:proofErr w:type="gram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联分配</w:t>
      </w:r>
      <w:proofErr w:type="gram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的号码将用作呼叫方号码。它们通常使用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15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位格式。从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2018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年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3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月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31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日</w:t>
      </w:r>
      <w:r w:rsidR="00DD4BE0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起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，在欧洲销售的所有新车</w:t>
      </w:r>
      <w:r w:rsidR="00DD4BE0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均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必须具有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功能</w:t>
      </w:r>
      <w:r w:rsidRPr="00F334EC">
        <w:rPr>
          <w:rFonts w:eastAsia="Microsoft YaHei" w:cstheme="minorHAnsi"/>
          <w:color w:val="222222"/>
          <w:szCs w:val="24"/>
          <w:shd w:val="clear" w:color="auto" w:fill="F8F9FA"/>
          <w:lang w:eastAsia="zh-CN"/>
        </w:rPr>
        <w:t>。</w:t>
      </w:r>
    </w:p>
    <w:p w14:paraId="4B224FFF" w14:textId="748D0AE0" w:rsidR="00DD4BE0" w:rsidRPr="00F334EC" w:rsidRDefault="00DD4BE0" w:rsidP="004D2026">
      <w:pPr>
        <w:ind w:firstLineChars="200" w:firstLine="480"/>
        <w:rPr>
          <w:rFonts w:cstheme="minorHAnsi"/>
          <w:szCs w:val="24"/>
          <w:lang w:val="en-US" w:eastAsia="zh-CN"/>
        </w:rPr>
      </w:pP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为了使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系统或类似的车内应急服务正常运行，并且使应急服务（例如，呼叫中心和干预团队）回拨此类系统使用的电话号码，至关重要的是，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相关的国际电</w:t>
      </w:r>
      <w:proofErr w:type="gramStart"/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分配</w:t>
      </w:r>
      <w:proofErr w:type="gramEnd"/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的范围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在所有网络中都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被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打开，并且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这些呼叫的呼叫线路识别（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CLI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）以正确且可拨打的格式，根据相关的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ITU-T</w:t>
      </w:r>
      <w:r w:rsidR="004275B8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建议书在运营商之间传送</w:t>
      </w:r>
      <w:r w:rsidRPr="00F334EC">
        <w:rPr>
          <w:rFonts w:eastAsia="Microsoft YaHei" w:cstheme="minorHAnsi"/>
          <w:color w:val="222222"/>
          <w:szCs w:val="24"/>
          <w:shd w:val="clear" w:color="auto" w:fill="F8F9FA"/>
          <w:lang w:eastAsia="zh-CN"/>
        </w:rPr>
        <w:t>。</w:t>
      </w:r>
    </w:p>
    <w:bookmarkEnd w:id="4"/>
    <w:bookmarkEnd w:id="5"/>
    <w:p w14:paraId="3EB16AAA" w14:textId="3C7A70FF" w:rsidR="0092003B" w:rsidRPr="00F334EC" w:rsidRDefault="0063658D" w:rsidP="004D2026">
      <w:pPr>
        <w:ind w:firstLineChars="200" w:firstLine="480"/>
        <w:rPr>
          <w:rFonts w:cstheme="minorHAnsi"/>
          <w:szCs w:val="24"/>
          <w:lang w:val="en-US" w:eastAsia="zh-CN"/>
        </w:rPr>
      </w:pP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考虑到服务的重要性，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大力提倡各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国主管部门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、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监管机构和网络运营商确保将这些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</w:t>
      </w:r>
      <w:proofErr w:type="gramStart"/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分配</w:t>
      </w:r>
      <w:proofErr w:type="gram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的号码在公共网络上开放和路由。从实际的角度来看，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这些范围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应该在公共安全应答点（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PSAP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）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和对于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来自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PSAP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的呼叫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进行路由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的国家电话服务提供商中提供。适用的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收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费不应超</w:t>
      </w:r>
      <w:r w:rsidR="00CB6D9A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出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拨打国际移动电话</w:t>
      </w:r>
      <w:r w:rsidR="00F937CC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传统呼叫的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费用</w:t>
      </w:r>
      <w:r w:rsidRPr="00F334EC">
        <w:rPr>
          <w:rFonts w:eastAsia="Microsoft YaHei" w:cstheme="minorHAnsi"/>
          <w:color w:val="222222"/>
          <w:szCs w:val="24"/>
          <w:shd w:val="clear" w:color="auto" w:fill="F8F9FA"/>
          <w:lang w:eastAsia="zh-CN"/>
        </w:rPr>
        <w:t>。</w:t>
      </w:r>
    </w:p>
    <w:p w14:paraId="3815DA53" w14:textId="77777777" w:rsidR="00F334EC" w:rsidRDefault="00F334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color w:val="222222"/>
          <w:szCs w:val="24"/>
          <w:shd w:val="clear" w:color="auto" w:fill="F8F9FA"/>
          <w:lang w:eastAsia="zh-CN"/>
        </w:rPr>
      </w:pPr>
      <w:r>
        <w:rPr>
          <w:rFonts w:cstheme="minorHAnsi"/>
          <w:color w:val="222222"/>
          <w:szCs w:val="24"/>
          <w:shd w:val="clear" w:color="auto" w:fill="F8F9FA"/>
          <w:lang w:eastAsia="zh-CN"/>
        </w:rPr>
        <w:br w:type="page"/>
      </w:r>
    </w:p>
    <w:p w14:paraId="2E4F680C" w14:textId="383DDB61" w:rsidR="0063658D" w:rsidRPr="00F334EC" w:rsidRDefault="0063658D" w:rsidP="004D2026">
      <w:pPr>
        <w:ind w:firstLineChars="200" w:firstLine="480"/>
        <w:rPr>
          <w:rFonts w:cstheme="minorHAnsi"/>
          <w:szCs w:val="24"/>
          <w:lang w:val="en-US" w:eastAsia="zh-CN"/>
        </w:rPr>
      </w:pP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已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经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通知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，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系统正在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使用以下范围：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883 130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、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882 39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和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882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 xml:space="preserve"> 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37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。请其他使用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分配的全球资源进行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或类似的车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内应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急服务的运营商要求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公开此信息。</w:t>
      </w:r>
      <w:bookmarkStart w:id="8" w:name="_Hlk40300715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与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eCall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类似的私人和公共车载自动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急呼叫系统</w:t>
      </w:r>
      <w:bookmarkEnd w:id="8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也正在欧洲以外的区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域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部署，其中一些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区域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使用相同的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分配的号码范围。因此，鼓励这些国家的国家主管部门</w:t>
      </w:r>
      <w:r w:rsidR="00036CDB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、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监管机构和网络运营商采取类似行动</w:t>
      </w:r>
      <w:r w:rsidRPr="00F334EC">
        <w:rPr>
          <w:rFonts w:eastAsia="Microsoft YaHei" w:cstheme="minorHAnsi"/>
          <w:color w:val="222222"/>
          <w:szCs w:val="24"/>
          <w:shd w:val="clear" w:color="auto" w:fill="F8F9FA"/>
          <w:lang w:eastAsia="zh-CN"/>
        </w:rPr>
        <w:t>。</w:t>
      </w:r>
    </w:p>
    <w:p w14:paraId="3755E33C" w14:textId="78A6C31E" w:rsidR="0092003B" w:rsidRPr="00F334EC" w:rsidRDefault="00D20F81" w:rsidP="004D2026">
      <w:pPr>
        <w:ind w:firstLineChars="200" w:firstLine="480"/>
        <w:rPr>
          <w:rFonts w:cstheme="minorHAnsi"/>
          <w:lang w:val="en-US"/>
        </w:rPr>
      </w:pPr>
      <w:bookmarkStart w:id="9" w:name="lt_pId061"/>
      <w:proofErr w:type="spellStart"/>
      <w:r w:rsidRPr="00F334EC">
        <w:rPr>
          <w:rFonts w:cstheme="minorHAnsi"/>
          <w:color w:val="222222"/>
          <w:szCs w:val="24"/>
          <w:shd w:val="clear" w:color="auto" w:fill="F8F9FA"/>
        </w:rPr>
        <w:t>有关此类电话号码的联系方式，请参见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</w:rPr>
        <w:t>《</w:t>
      </w:r>
      <w:r w:rsidR="004433E6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操作</w:t>
      </w:r>
      <w:proofErr w:type="spellStart"/>
      <w:r w:rsidRPr="00F334EC">
        <w:rPr>
          <w:rFonts w:cstheme="minorHAnsi"/>
          <w:color w:val="222222"/>
          <w:szCs w:val="24"/>
          <w:shd w:val="clear" w:color="auto" w:fill="F8F9FA"/>
        </w:rPr>
        <w:t>公报》第</w:t>
      </w:r>
      <w:proofErr w:type="spellEnd"/>
      <w:r w:rsidRPr="00F334EC">
        <w:rPr>
          <w:rFonts w:cstheme="minorHAnsi"/>
          <w:color w:val="222222"/>
          <w:szCs w:val="24"/>
          <w:shd w:val="clear" w:color="auto" w:fill="F8F9FA"/>
        </w:rPr>
        <w:t>1155</w:t>
      </w:r>
      <w:r w:rsidR="004433E6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期</w:t>
      </w:r>
      <w:r w:rsidRPr="00F334EC">
        <w:rPr>
          <w:rFonts w:cstheme="minorHAnsi"/>
          <w:color w:val="222222"/>
          <w:szCs w:val="24"/>
          <w:shd w:val="clear" w:color="auto" w:fill="F8F9FA"/>
        </w:rPr>
        <w:t>（</w:t>
      </w:r>
      <w:r w:rsidRPr="00F334EC">
        <w:rPr>
          <w:rFonts w:cstheme="minorHAnsi"/>
          <w:color w:val="222222"/>
          <w:szCs w:val="24"/>
          <w:shd w:val="clear" w:color="auto" w:fill="F8F9FA"/>
        </w:rPr>
        <w:t>1.IX.2018</w:t>
      </w:r>
      <w:r w:rsidRPr="00F334EC">
        <w:rPr>
          <w:rFonts w:eastAsia="Microsoft YaHei" w:cstheme="minorHAnsi"/>
          <w:color w:val="222222"/>
          <w:szCs w:val="24"/>
          <w:shd w:val="clear" w:color="auto" w:fill="F8F9FA"/>
        </w:rPr>
        <w:t>）</w:t>
      </w:r>
      <w:hyperlink r:id="rId10" w:history="1">
        <w:r w:rsidR="0092003B" w:rsidRPr="00F334EC">
          <w:rPr>
            <w:rStyle w:val="Hyperlink"/>
            <w:rFonts w:cstheme="minorHAnsi"/>
            <w:lang w:val="en-US"/>
          </w:rPr>
          <w:t>https://www.itu.int/pub/T-SP-OB.1155-2018</w:t>
        </w:r>
      </w:hyperlink>
      <w:bookmarkEnd w:id="9"/>
      <w:r w:rsidR="009E0D49">
        <w:rPr>
          <w:rFonts w:cstheme="minorHAnsi" w:hint="eastAsia"/>
          <w:lang w:val="en-US" w:eastAsia="zh-CN"/>
        </w:rPr>
        <w:t>。</w:t>
      </w:r>
    </w:p>
    <w:p w14:paraId="74FB48B7" w14:textId="05189B0F" w:rsidR="0092003B" w:rsidRPr="00CF36FA" w:rsidRDefault="00CB6D9A" w:rsidP="004D2026">
      <w:pPr>
        <w:ind w:firstLineChars="200" w:firstLine="480"/>
        <w:rPr>
          <w:lang w:eastAsia="zh-CN"/>
        </w:rPr>
      </w:pPr>
      <w:bookmarkStart w:id="10" w:name="lt_pId062"/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国际电联在</w:t>
      </w:r>
      <w:proofErr w:type="spellStart"/>
      <w:r w:rsidRPr="00F334EC">
        <w:rPr>
          <w:rFonts w:cstheme="minorHAnsi"/>
          <w:szCs w:val="24"/>
          <w:lang w:val="en-US" w:eastAsia="zh-CN"/>
        </w:rPr>
        <w:t>ecall</w:t>
      </w:r>
      <w:proofErr w:type="spellEnd"/>
      <w:r w:rsidR="00D20F81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服务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方面</w:t>
      </w:r>
      <w:r w:rsidR="00D20F81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的范围问题也是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《</w:t>
      </w:r>
      <w:r w:rsidR="00D20F81"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国际电联</w:t>
      </w:r>
      <w:r w:rsidRPr="00F334EC">
        <w:rPr>
          <w:rFonts w:cstheme="minorHAnsi"/>
          <w:color w:val="222222"/>
          <w:szCs w:val="24"/>
          <w:shd w:val="clear" w:color="auto" w:fill="F8F9FA"/>
          <w:lang w:eastAsia="zh-CN"/>
        </w:rPr>
        <w:t>新闻》新近一篇文章的议题，见：</w:t>
      </w:r>
      <w:hyperlink r:id="rId11" w:history="1">
        <w:r w:rsidR="0092003B" w:rsidRPr="00F334EC">
          <w:rPr>
            <w:rStyle w:val="Hyperlink"/>
            <w:rFonts w:cstheme="minorHAnsi"/>
            <w:lang w:eastAsia="zh-CN"/>
          </w:rPr>
          <w:t>https://news.itu.int/why-itu-assigned-numbering-ranges-are-critical-to-road-safety/</w:t>
        </w:r>
      </w:hyperlink>
      <w:r w:rsidR="00D20F81" w:rsidRPr="00F334EC">
        <w:rPr>
          <w:rFonts w:cstheme="minorHAnsi"/>
          <w:lang w:eastAsia="zh-CN"/>
        </w:rPr>
        <w:t>以及</w:t>
      </w:r>
      <w:r w:rsidR="00D20F81" w:rsidRPr="00F334EC">
        <w:rPr>
          <w:rFonts w:cstheme="minorHAnsi"/>
          <w:lang w:val="en-US" w:eastAsia="zh-CN"/>
        </w:rPr>
        <w:t>此处：</w:t>
      </w:r>
      <w:hyperlink r:id="rId12" w:history="1">
        <w:r w:rsidR="0092003B" w:rsidRPr="00F334EC">
          <w:rPr>
            <w:rStyle w:val="Hyperlink"/>
            <w:rFonts w:cstheme="minorHAnsi"/>
            <w:lang w:eastAsia="zh-CN"/>
          </w:rPr>
          <w:t>https://youtu.be/VhA2S2ScJrw</w:t>
        </w:r>
      </w:hyperlink>
      <w:bookmarkEnd w:id="10"/>
      <w:r w:rsidR="00D20F81" w:rsidRPr="00F334EC">
        <w:rPr>
          <w:rFonts w:cstheme="minorHAnsi"/>
          <w:lang w:eastAsia="zh-CN"/>
        </w:rPr>
        <w:t>的视频采访。</w:t>
      </w:r>
    </w:p>
    <w:p w14:paraId="1FCA1A8D" w14:textId="261BF9A9" w:rsidR="00B37BD9" w:rsidRDefault="00B37BD9" w:rsidP="0092003B">
      <w:pPr>
        <w:tabs>
          <w:tab w:val="clear" w:pos="1588"/>
          <w:tab w:val="clear" w:pos="1985"/>
          <w:tab w:val="center" w:pos="4819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  <w:r w:rsidR="0092003B">
        <w:rPr>
          <w:lang w:eastAsia="zh-CN"/>
        </w:rPr>
        <w:tab/>
      </w:r>
    </w:p>
    <w:p w14:paraId="0FEC0E9F" w14:textId="37D156EA" w:rsidR="00714A1B" w:rsidRPr="00714A1B" w:rsidRDefault="004F2AF0" w:rsidP="00A00F1F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5001E0E" wp14:editId="239F3D47">
            <wp:simplePos x="0" y="0"/>
            <wp:positionH relativeFrom="column">
              <wp:posOffset>13970</wp:posOffset>
            </wp:positionH>
            <wp:positionV relativeFrom="paragraph">
              <wp:posOffset>117475</wp:posOffset>
            </wp:positionV>
            <wp:extent cx="914400" cy="343505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>
        <w:rPr>
          <w:rFonts w:hint="eastAsia"/>
          <w:lang w:eastAsia="zh-CN"/>
        </w:rPr>
        <w:t>电信标准化局主任</w:t>
      </w:r>
    </w:p>
    <w:p w14:paraId="6DF99DE9" w14:textId="14647813" w:rsidR="00B37BD9" w:rsidRDefault="00B37BD9" w:rsidP="0036112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1C2BDDAC" w14:textId="013A5A30" w:rsidR="00C75DBD" w:rsidRDefault="00C75DBD" w:rsidP="0036112E">
      <w:pPr>
        <w:spacing w:before="0"/>
        <w:rPr>
          <w:lang w:eastAsia="zh-CN"/>
        </w:rPr>
      </w:pPr>
    </w:p>
    <w:p w14:paraId="59E3C3DC" w14:textId="3207CACF" w:rsidR="00C75DBD" w:rsidRDefault="00C75DBD" w:rsidP="0036112E">
      <w:pPr>
        <w:spacing w:before="0"/>
        <w:rPr>
          <w:lang w:eastAsia="zh-CN"/>
        </w:rPr>
      </w:pPr>
    </w:p>
    <w:sectPr w:rsidR="00C75DBD" w:rsidSect="00B37BD9">
      <w:headerReference w:type="even" r:id="rId14"/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4CB4F" w14:textId="77777777" w:rsidR="00F133AF" w:rsidRDefault="00F133AF">
      <w:r>
        <w:separator/>
      </w:r>
    </w:p>
  </w:endnote>
  <w:endnote w:type="continuationSeparator" w:id="0">
    <w:p w14:paraId="17211C52" w14:textId="77777777" w:rsidR="00F133AF" w:rsidRDefault="00F1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0673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544B" w14:textId="77777777" w:rsidR="00F133AF" w:rsidRDefault="00F133AF">
      <w:r>
        <w:separator/>
      </w:r>
    </w:p>
  </w:footnote>
  <w:footnote w:type="continuationSeparator" w:id="0">
    <w:p w14:paraId="1EF41BCC" w14:textId="77777777" w:rsidR="00F133AF" w:rsidRDefault="00F1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A836" w14:textId="77777777" w:rsidR="002C2EDC" w:rsidRPr="002C2EDC" w:rsidRDefault="004F2AF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0EF9D6FE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8508" w14:textId="77777777" w:rsidR="0099096C" w:rsidRPr="002C2EDC" w:rsidRDefault="004F2AF0" w:rsidP="0099096C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  <w:lang w:eastAsia="zh-CN"/>
          </w:rPr>
          <w:t>-</w:t>
        </w:r>
        <w:r w:rsidR="0099096C" w:rsidRPr="002C2EDC">
          <w:rPr>
            <w:rFonts w:ascii="Calibri" w:eastAsia="Times New Roman" w:hAnsi="Calibri"/>
            <w:sz w:val="18"/>
            <w:lang w:eastAsia="zh-CN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  <w:lang w:eastAsia="zh-CN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782283">
          <w:rPr>
            <w:rFonts w:ascii="Calibri" w:eastAsia="Times New Roman" w:hAnsi="Calibri"/>
            <w:noProof/>
            <w:sz w:val="18"/>
            <w:lang w:eastAsia="zh-CN"/>
          </w:rPr>
          <w:t>3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1641659E" w14:textId="3B585E75" w:rsidR="00682EF6" w:rsidRDefault="0099096C" w:rsidP="009E0D49">
    <w:pPr>
      <w:spacing w:before="0" w:after="24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92003B">
      <w:rPr>
        <w:rFonts w:eastAsiaTheme="minorEastAsia" w:cs="Microsoft YaHei"/>
        <w:noProof/>
        <w:sz w:val="18"/>
        <w:lang w:eastAsia="zh-CN"/>
      </w:rPr>
      <w:t>249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4DD4"/>
    <w:rsid w:val="00017004"/>
    <w:rsid w:val="00024D31"/>
    <w:rsid w:val="00027EE3"/>
    <w:rsid w:val="00036CDB"/>
    <w:rsid w:val="00041121"/>
    <w:rsid w:val="00053301"/>
    <w:rsid w:val="00057CFB"/>
    <w:rsid w:val="00061B9B"/>
    <w:rsid w:val="00062F47"/>
    <w:rsid w:val="000652F9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551B"/>
    <w:rsid w:val="000A6A3A"/>
    <w:rsid w:val="000B5B42"/>
    <w:rsid w:val="000C07B5"/>
    <w:rsid w:val="000C12B1"/>
    <w:rsid w:val="000C4F7A"/>
    <w:rsid w:val="000D1DA5"/>
    <w:rsid w:val="000D205A"/>
    <w:rsid w:val="000D22C5"/>
    <w:rsid w:val="000E5C1F"/>
    <w:rsid w:val="000F67FA"/>
    <w:rsid w:val="000F7CEA"/>
    <w:rsid w:val="00107C89"/>
    <w:rsid w:val="00113BC0"/>
    <w:rsid w:val="001154A8"/>
    <w:rsid w:val="00117471"/>
    <w:rsid w:val="0012280C"/>
    <w:rsid w:val="001314B5"/>
    <w:rsid w:val="001421CF"/>
    <w:rsid w:val="001448EC"/>
    <w:rsid w:val="00160A43"/>
    <w:rsid w:val="00163AA5"/>
    <w:rsid w:val="001815CA"/>
    <w:rsid w:val="00185441"/>
    <w:rsid w:val="00186E9B"/>
    <w:rsid w:val="001A2B93"/>
    <w:rsid w:val="001A641B"/>
    <w:rsid w:val="001B0375"/>
    <w:rsid w:val="001B7130"/>
    <w:rsid w:val="001B750E"/>
    <w:rsid w:val="001B7C08"/>
    <w:rsid w:val="001C4D23"/>
    <w:rsid w:val="001C5996"/>
    <w:rsid w:val="001D6E70"/>
    <w:rsid w:val="001D737E"/>
    <w:rsid w:val="001E6C28"/>
    <w:rsid w:val="001F731A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C4B66"/>
    <w:rsid w:val="002C506A"/>
    <w:rsid w:val="002D3D14"/>
    <w:rsid w:val="002E05E3"/>
    <w:rsid w:val="002E42A1"/>
    <w:rsid w:val="002E6F22"/>
    <w:rsid w:val="002F2B59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6112E"/>
    <w:rsid w:val="00372530"/>
    <w:rsid w:val="0038372D"/>
    <w:rsid w:val="003860AE"/>
    <w:rsid w:val="003A4FDB"/>
    <w:rsid w:val="003B0056"/>
    <w:rsid w:val="003B125A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13C88"/>
    <w:rsid w:val="004203B0"/>
    <w:rsid w:val="00422060"/>
    <w:rsid w:val="00422E08"/>
    <w:rsid w:val="004275B8"/>
    <w:rsid w:val="00433B71"/>
    <w:rsid w:val="00442B64"/>
    <w:rsid w:val="004433E6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C1BCC"/>
    <w:rsid w:val="004D1ACD"/>
    <w:rsid w:val="004D2026"/>
    <w:rsid w:val="004F0EAF"/>
    <w:rsid w:val="004F2AF0"/>
    <w:rsid w:val="004F5BA9"/>
    <w:rsid w:val="004F72BB"/>
    <w:rsid w:val="00533EE6"/>
    <w:rsid w:val="00535C4E"/>
    <w:rsid w:val="005476D3"/>
    <w:rsid w:val="0055099D"/>
    <w:rsid w:val="00556001"/>
    <w:rsid w:val="00561B75"/>
    <w:rsid w:val="00565B9F"/>
    <w:rsid w:val="00567360"/>
    <w:rsid w:val="0057420A"/>
    <w:rsid w:val="005803D9"/>
    <w:rsid w:val="00590119"/>
    <w:rsid w:val="0059471D"/>
    <w:rsid w:val="00594CFE"/>
    <w:rsid w:val="00597BE4"/>
    <w:rsid w:val="005B0E7C"/>
    <w:rsid w:val="005B44B0"/>
    <w:rsid w:val="005C04FD"/>
    <w:rsid w:val="005C26FD"/>
    <w:rsid w:val="005C7FDF"/>
    <w:rsid w:val="005D2D7B"/>
    <w:rsid w:val="005D5A45"/>
    <w:rsid w:val="005E74BB"/>
    <w:rsid w:val="005F0821"/>
    <w:rsid w:val="005F48A4"/>
    <w:rsid w:val="006024E6"/>
    <w:rsid w:val="00610326"/>
    <w:rsid w:val="00621618"/>
    <w:rsid w:val="00626613"/>
    <w:rsid w:val="00627AE8"/>
    <w:rsid w:val="00632133"/>
    <w:rsid w:val="0063445E"/>
    <w:rsid w:val="0063658D"/>
    <w:rsid w:val="0064758E"/>
    <w:rsid w:val="006652D4"/>
    <w:rsid w:val="006677B7"/>
    <w:rsid w:val="00682EF6"/>
    <w:rsid w:val="0068734E"/>
    <w:rsid w:val="006945DD"/>
    <w:rsid w:val="00695567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4602"/>
    <w:rsid w:val="0073574A"/>
    <w:rsid w:val="00740C2A"/>
    <w:rsid w:val="00751490"/>
    <w:rsid w:val="00752C9E"/>
    <w:rsid w:val="007568DA"/>
    <w:rsid w:val="007742E1"/>
    <w:rsid w:val="00782283"/>
    <w:rsid w:val="00790867"/>
    <w:rsid w:val="0079350C"/>
    <w:rsid w:val="007959A4"/>
    <w:rsid w:val="00796E70"/>
    <w:rsid w:val="007A1E12"/>
    <w:rsid w:val="007A1EF6"/>
    <w:rsid w:val="007A4CF9"/>
    <w:rsid w:val="007C2AB0"/>
    <w:rsid w:val="007E2DA1"/>
    <w:rsid w:val="007E6AE2"/>
    <w:rsid w:val="007E6EE4"/>
    <w:rsid w:val="00817C99"/>
    <w:rsid w:val="00825A1B"/>
    <w:rsid w:val="00826B5B"/>
    <w:rsid w:val="00833A21"/>
    <w:rsid w:val="00834349"/>
    <w:rsid w:val="008375AF"/>
    <w:rsid w:val="00841612"/>
    <w:rsid w:val="0084436D"/>
    <w:rsid w:val="0085525D"/>
    <w:rsid w:val="00865B8E"/>
    <w:rsid w:val="0087102F"/>
    <w:rsid w:val="00875758"/>
    <w:rsid w:val="0087618D"/>
    <w:rsid w:val="0087678D"/>
    <w:rsid w:val="008801D7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052BD"/>
    <w:rsid w:val="009128F1"/>
    <w:rsid w:val="00916EFE"/>
    <w:rsid w:val="0092003B"/>
    <w:rsid w:val="009424FC"/>
    <w:rsid w:val="00943D67"/>
    <w:rsid w:val="00955904"/>
    <w:rsid w:val="00956D38"/>
    <w:rsid w:val="00960659"/>
    <w:rsid w:val="00963113"/>
    <w:rsid w:val="009727EA"/>
    <w:rsid w:val="00974486"/>
    <w:rsid w:val="0099096C"/>
    <w:rsid w:val="00997B88"/>
    <w:rsid w:val="009B1D2B"/>
    <w:rsid w:val="009B3065"/>
    <w:rsid w:val="009B43F5"/>
    <w:rsid w:val="009C001F"/>
    <w:rsid w:val="009C2792"/>
    <w:rsid w:val="009C2FF6"/>
    <w:rsid w:val="009C6159"/>
    <w:rsid w:val="009C664E"/>
    <w:rsid w:val="009D173C"/>
    <w:rsid w:val="009E0D49"/>
    <w:rsid w:val="009E2379"/>
    <w:rsid w:val="009E7857"/>
    <w:rsid w:val="009F6486"/>
    <w:rsid w:val="009F74E9"/>
    <w:rsid w:val="00A00F1F"/>
    <w:rsid w:val="00A02958"/>
    <w:rsid w:val="00A07212"/>
    <w:rsid w:val="00A1090D"/>
    <w:rsid w:val="00A16AB0"/>
    <w:rsid w:val="00A1745B"/>
    <w:rsid w:val="00A20931"/>
    <w:rsid w:val="00A23834"/>
    <w:rsid w:val="00A372A1"/>
    <w:rsid w:val="00A465E1"/>
    <w:rsid w:val="00A504DB"/>
    <w:rsid w:val="00A55D76"/>
    <w:rsid w:val="00A576E2"/>
    <w:rsid w:val="00A62E79"/>
    <w:rsid w:val="00A773E7"/>
    <w:rsid w:val="00A81FCE"/>
    <w:rsid w:val="00A821E4"/>
    <w:rsid w:val="00A827A2"/>
    <w:rsid w:val="00A82933"/>
    <w:rsid w:val="00A848BB"/>
    <w:rsid w:val="00A85FAD"/>
    <w:rsid w:val="00A903D4"/>
    <w:rsid w:val="00A93999"/>
    <w:rsid w:val="00AA35BE"/>
    <w:rsid w:val="00AA4BD8"/>
    <w:rsid w:val="00AC441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03378"/>
    <w:rsid w:val="00B046BC"/>
    <w:rsid w:val="00B1445A"/>
    <w:rsid w:val="00B20CD2"/>
    <w:rsid w:val="00B235FA"/>
    <w:rsid w:val="00B31069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A5C3D"/>
    <w:rsid w:val="00BB334C"/>
    <w:rsid w:val="00BB4840"/>
    <w:rsid w:val="00BB5392"/>
    <w:rsid w:val="00BC0103"/>
    <w:rsid w:val="00BC4B2B"/>
    <w:rsid w:val="00BC5271"/>
    <w:rsid w:val="00BC7AEE"/>
    <w:rsid w:val="00BD100F"/>
    <w:rsid w:val="00BD56AF"/>
    <w:rsid w:val="00BE182F"/>
    <w:rsid w:val="00BE339D"/>
    <w:rsid w:val="00BE49E3"/>
    <w:rsid w:val="00BE6BF5"/>
    <w:rsid w:val="00BF5BE3"/>
    <w:rsid w:val="00BF7334"/>
    <w:rsid w:val="00BF783B"/>
    <w:rsid w:val="00C03E87"/>
    <w:rsid w:val="00C04472"/>
    <w:rsid w:val="00C22100"/>
    <w:rsid w:val="00C25508"/>
    <w:rsid w:val="00C4772D"/>
    <w:rsid w:val="00C55DE8"/>
    <w:rsid w:val="00C6016A"/>
    <w:rsid w:val="00C7008A"/>
    <w:rsid w:val="00C732FF"/>
    <w:rsid w:val="00C75DBD"/>
    <w:rsid w:val="00C83817"/>
    <w:rsid w:val="00C916ED"/>
    <w:rsid w:val="00C971E1"/>
    <w:rsid w:val="00CB091E"/>
    <w:rsid w:val="00CB6D9A"/>
    <w:rsid w:val="00CC108C"/>
    <w:rsid w:val="00CC6BEC"/>
    <w:rsid w:val="00CD40D6"/>
    <w:rsid w:val="00CD7A4A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20F81"/>
    <w:rsid w:val="00D31AE5"/>
    <w:rsid w:val="00D34DEA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4BE0"/>
    <w:rsid w:val="00DD52D5"/>
    <w:rsid w:val="00DF021B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E2158"/>
    <w:rsid w:val="00EF083A"/>
    <w:rsid w:val="00F034E6"/>
    <w:rsid w:val="00F06F6A"/>
    <w:rsid w:val="00F07A3C"/>
    <w:rsid w:val="00F118B4"/>
    <w:rsid w:val="00F133AF"/>
    <w:rsid w:val="00F1605C"/>
    <w:rsid w:val="00F2245E"/>
    <w:rsid w:val="00F25B02"/>
    <w:rsid w:val="00F304AF"/>
    <w:rsid w:val="00F315BB"/>
    <w:rsid w:val="00F334EC"/>
    <w:rsid w:val="00F346AB"/>
    <w:rsid w:val="00F444AC"/>
    <w:rsid w:val="00F51310"/>
    <w:rsid w:val="00F669B8"/>
    <w:rsid w:val="00F71DCD"/>
    <w:rsid w:val="00F75381"/>
    <w:rsid w:val="00F876D6"/>
    <w:rsid w:val="00F87FF0"/>
    <w:rsid w:val="00F91BB2"/>
    <w:rsid w:val="00F937CC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61F9B0"/>
  <w15:docId w15:val="{A73FBCE9-D4A6-4ED2-8F8F-7D40F09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92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hA2S2ScJr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itu.int/why-itu-assigned-numbering-ranges-are-critical-to-road-safe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SP-OB.1155-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3905-51D1-4B94-BC22-E480D13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2</Pages>
  <Words>844</Words>
  <Characters>591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1433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7</cp:revision>
  <cp:lastPrinted>2020-05-15T08:56:00Z</cp:lastPrinted>
  <dcterms:created xsi:type="dcterms:W3CDTF">2020-05-14T06:37:00Z</dcterms:created>
  <dcterms:modified xsi:type="dcterms:W3CDTF">2020-05-15T08:57:00Z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