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8156446" w14:textId="77777777" w:rsidTr="00D517B2">
        <w:trPr>
          <w:cantSplit/>
          <w:trHeight w:val="1134"/>
        </w:trPr>
        <w:tc>
          <w:tcPr>
            <w:tcW w:w="798" w:type="pct"/>
          </w:tcPr>
          <w:p w14:paraId="4337582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36989F7" wp14:editId="12DE9B6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D3D901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DCD4D2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CE0F9D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A769146" w14:textId="77777777" w:rsidR="00D517B2" w:rsidRPr="00D517B2" w:rsidRDefault="00D517B2" w:rsidP="003F03F1">
            <w:pPr>
              <w:spacing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1AFF6B5" w14:textId="77777777" w:rsidR="00D517B2" w:rsidRPr="00D517B2" w:rsidRDefault="00D517B2" w:rsidP="003F03F1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6985425" w14:textId="574B8F57" w:rsidR="00D517B2" w:rsidRPr="00D517B2" w:rsidRDefault="00873469" w:rsidP="003F03F1">
            <w:pPr>
              <w:spacing w:after="12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7F099F">
              <w:rPr>
                <w:position w:val="2"/>
              </w:rPr>
              <w:t>18</w:t>
            </w:r>
            <w:r w:rsidR="007F099F">
              <w:rPr>
                <w:rFonts w:hint="cs"/>
                <w:position w:val="2"/>
                <w:rtl/>
                <w:lang w:bidi="ar-EG"/>
              </w:rPr>
              <w:t xml:space="preserve"> مايو </w:t>
            </w:r>
            <w:r w:rsidR="007F099F">
              <w:rPr>
                <w:position w:val="2"/>
                <w:lang w:bidi="ar-EG"/>
              </w:rPr>
              <w:t>2020</w:t>
            </w:r>
          </w:p>
        </w:tc>
      </w:tr>
      <w:tr w:rsidR="00E84438" w:rsidRPr="00D517B2" w14:paraId="55D52BD1" w14:textId="77777777" w:rsidTr="00CC7F81">
        <w:trPr>
          <w:cantSplit/>
          <w:trHeight w:val="340"/>
          <w:jc w:val="center"/>
        </w:trPr>
        <w:tc>
          <w:tcPr>
            <w:tcW w:w="796" w:type="pct"/>
          </w:tcPr>
          <w:p w14:paraId="6DDD843F" w14:textId="77777777" w:rsidR="00E84438" w:rsidRPr="00A9156F" w:rsidRDefault="00E84438" w:rsidP="003F03F1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627483D" w14:textId="672F11C4" w:rsidR="00E84438" w:rsidRPr="00D517B2" w:rsidRDefault="00E84438" w:rsidP="003F03F1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7F099F">
              <w:rPr>
                <w:b/>
                <w:position w:val="2"/>
              </w:rPr>
              <w:t>251</w:t>
            </w:r>
          </w:p>
        </w:tc>
        <w:tc>
          <w:tcPr>
            <w:tcW w:w="2206" w:type="pct"/>
            <w:vMerge w:val="restart"/>
          </w:tcPr>
          <w:p w14:paraId="443CB3EC" w14:textId="77777777" w:rsidR="00CC7F81" w:rsidRPr="005731DD" w:rsidRDefault="00CC7F81" w:rsidP="003F03F1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7CF36A1" w14:textId="77777777" w:rsidR="00CC7F81" w:rsidRPr="004B3B5D" w:rsidRDefault="00CC7F81" w:rsidP="003F03F1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4B3B5D">
              <w:rPr>
                <w:rFonts w:hint="cs"/>
                <w:position w:val="2"/>
                <w:rtl/>
              </w:rPr>
              <w:t>-</w:t>
            </w:r>
            <w:r w:rsidRPr="004B3B5D">
              <w:rPr>
                <w:position w:val="2"/>
                <w:rtl/>
              </w:rPr>
              <w:tab/>
            </w:r>
            <w:r w:rsidRPr="004B3B5D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36FACC9" w14:textId="77777777" w:rsidR="00CC7F81" w:rsidRPr="004B3B5D" w:rsidRDefault="00CC7F81" w:rsidP="003F03F1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4B3B5D">
              <w:rPr>
                <w:rFonts w:hint="cs"/>
                <w:position w:val="2"/>
                <w:rtl/>
              </w:rPr>
              <w:t>-</w:t>
            </w:r>
            <w:r w:rsidRPr="004B3B5D">
              <w:rPr>
                <w:position w:val="2"/>
                <w:rtl/>
              </w:rPr>
              <w:tab/>
            </w:r>
            <w:r w:rsidRPr="004B3B5D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E445CE2" w14:textId="6B63CB75" w:rsidR="00CC7F81" w:rsidRPr="004B3B5D" w:rsidRDefault="00CC7F81" w:rsidP="003F03F1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4B3B5D">
              <w:rPr>
                <w:rFonts w:hint="cs"/>
                <w:position w:val="2"/>
                <w:rtl/>
              </w:rPr>
              <w:t>-</w:t>
            </w:r>
            <w:r w:rsidRPr="004B3B5D">
              <w:rPr>
                <w:position w:val="2"/>
                <w:rtl/>
              </w:rPr>
              <w:tab/>
            </w:r>
            <w:r w:rsidRPr="004B3B5D">
              <w:rPr>
                <w:rFonts w:hint="cs"/>
                <w:position w:val="2"/>
                <w:rtl/>
              </w:rPr>
              <w:t>المنتسبين إلى قطاع تقييس الاتصالات</w:t>
            </w:r>
            <w:r w:rsidR="00801601">
              <w:rPr>
                <w:rFonts w:hint="cs"/>
                <w:position w:val="2"/>
                <w:rtl/>
              </w:rPr>
              <w:t xml:space="preserve"> بالاتحاد</w:t>
            </w:r>
            <w:r w:rsidRPr="004B3B5D">
              <w:rPr>
                <w:rFonts w:hint="cs"/>
                <w:position w:val="2"/>
                <w:rtl/>
              </w:rPr>
              <w:t>؛</w:t>
            </w:r>
          </w:p>
          <w:p w14:paraId="5FAC16FA" w14:textId="77777777" w:rsidR="00CC7F81" w:rsidRPr="004B3B5D" w:rsidRDefault="00CC7F81" w:rsidP="003F03F1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4B3B5D">
              <w:rPr>
                <w:rFonts w:hint="cs"/>
                <w:position w:val="2"/>
                <w:rtl/>
              </w:rPr>
              <w:t>-</w:t>
            </w:r>
            <w:r w:rsidRPr="004B3B5D">
              <w:rPr>
                <w:position w:val="2"/>
                <w:rtl/>
              </w:rPr>
              <w:tab/>
            </w:r>
            <w:r w:rsidRPr="004B3B5D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B3B5D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67FA5C98" w14:textId="77777777" w:rsidR="00CC7F81" w:rsidRPr="004B3B5D" w:rsidRDefault="00CC7F81" w:rsidP="003F03F1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4B3B5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ABF2304" w14:textId="6E814A67" w:rsidR="00CC7F81" w:rsidRPr="00537863" w:rsidRDefault="00CC7F81" w:rsidP="003F03F1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4B3B5D">
              <w:rPr>
                <w:rFonts w:hint="cs"/>
                <w:position w:val="2"/>
                <w:rtl/>
              </w:rPr>
              <w:t>-</w:t>
            </w:r>
            <w:r w:rsidRPr="004B3B5D">
              <w:rPr>
                <w:position w:val="2"/>
                <w:rtl/>
              </w:rPr>
              <w:tab/>
            </w:r>
            <w:r w:rsidRPr="00537863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رؤساء لجان الدراسات</w:t>
            </w:r>
            <w:r w:rsidRPr="00537863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ونوابهم</w:t>
            </w:r>
            <w:r w:rsidRPr="00537863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61AF043A" w14:textId="77777777" w:rsidR="00CC7F81" w:rsidRPr="004B3B5D" w:rsidRDefault="00CC7F81" w:rsidP="003F03F1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4B3B5D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B3B5D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4B3B5D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4B3B5D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4B3B5D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02DBDBF" w14:textId="1242129E" w:rsidR="00E84438" w:rsidRPr="00D517B2" w:rsidRDefault="00CC7F81" w:rsidP="003F03F1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  <w:r w:rsidRPr="004B3B5D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4B3B5D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18C9252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DFECC30" w14:textId="77777777" w:rsidR="00D517B2" w:rsidRPr="00A9156F" w:rsidRDefault="00D517B2" w:rsidP="003F03F1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2EC306A" w14:textId="79DF597B" w:rsidR="00D517B2" w:rsidRPr="00D517B2" w:rsidRDefault="00D517B2" w:rsidP="003F03F1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7F440E">
              <w:rPr>
                <w:position w:val="2"/>
              </w:rPr>
              <w:t>5415</w:t>
            </w:r>
          </w:p>
        </w:tc>
        <w:tc>
          <w:tcPr>
            <w:tcW w:w="2206" w:type="pct"/>
            <w:vMerge/>
          </w:tcPr>
          <w:p w14:paraId="1A0A50C4" w14:textId="77777777" w:rsidR="00D517B2" w:rsidRPr="00D517B2" w:rsidRDefault="00D517B2" w:rsidP="003F03F1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0FF23A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7A31A9D" w14:textId="77777777" w:rsidR="00D517B2" w:rsidRPr="00A9156F" w:rsidRDefault="00D517B2" w:rsidP="003F03F1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740E3E2" w14:textId="77777777" w:rsidR="00D517B2" w:rsidRPr="00D517B2" w:rsidRDefault="00D517B2" w:rsidP="003F03F1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F732FD8" w14:textId="77777777" w:rsidR="00D517B2" w:rsidRPr="00D517B2" w:rsidRDefault="00D517B2" w:rsidP="003F03F1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F108900" w14:textId="77777777" w:rsidTr="005F5561">
        <w:trPr>
          <w:cantSplit/>
          <w:trHeight w:val="1830"/>
          <w:jc w:val="center"/>
        </w:trPr>
        <w:tc>
          <w:tcPr>
            <w:tcW w:w="796" w:type="pct"/>
          </w:tcPr>
          <w:p w14:paraId="77084BC8" w14:textId="77777777" w:rsidR="00D517B2" w:rsidRPr="00A9156F" w:rsidRDefault="00D517B2" w:rsidP="003F03F1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45030BE" w14:textId="16C1AB6F" w:rsidR="00D517B2" w:rsidRPr="00D517B2" w:rsidRDefault="00A322EB" w:rsidP="003F03F1">
            <w:pPr>
              <w:spacing w:before="80" w:after="60" w:line="280" w:lineRule="exact"/>
              <w:jc w:val="left"/>
              <w:rPr>
                <w:position w:val="2"/>
              </w:rPr>
            </w:pPr>
            <w:hyperlink r:id="rId9" w:history="1">
              <w:bookmarkStart w:id="0" w:name="lt_pId039"/>
              <w:r w:rsidR="007F440E" w:rsidRPr="004566F1">
                <w:rPr>
                  <w:rStyle w:val="Hyperlink"/>
                  <w:szCs w:val="18"/>
                </w:rPr>
                <w:t>tsbaap@itu.int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636AB0E1" w14:textId="77777777" w:rsidR="00D517B2" w:rsidRPr="00D517B2" w:rsidRDefault="00D517B2" w:rsidP="003F03F1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35A39CE" w14:textId="77777777" w:rsidTr="00D517B2">
        <w:trPr>
          <w:cantSplit/>
          <w:jc w:val="center"/>
        </w:trPr>
        <w:tc>
          <w:tcPr>
            <w:tcW w:w="796" w:type="pct"/>
          </w:tcPr>
          <w:p w14:paraId="14F07AC3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8A23F10" w14:textId="1746A5F2" w:rsidR="00D517B2" w:rsidRPr="008F065F" w:rsidRDefault="008F065F" w:rsidP="00C12B45">
            <w:pPr>
              <w:spacing w:before="80" w:after="60" w:line="300" w:lineRule="exact"/>
              <w:jc w:val="left"/>
              <w:rPr>
                <w:position w:val="2"/>
                <w:highlight w:val="cyan"/>
                <w:rtl/>
              </w:rPr>
            </w:pPr>
            <w:r w:rsidRPr="00801601">
              <w:rPr>
                <w:rFonts w:hint="cs"/>
                <w:b/>
                <w:bCs/>
                <w:position w:val="2"/>
                <w:rtl/>
              </w:rPr>
              <w:t>تعيين جهات اتصال</w:t>
            </w:r>
            <w:r w:rsidR="00C12B45" w:rsidRPr="0080160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82702D">
              <w:rPr>
                <w:rFonts w:hint="cs"/>
                <w:b/>
                <w:bCs/>
                <w:position w:val="2"/>
                <w:rtl/>
              </w:rPr>
              <w:t>بشأن</w:t>
            </w:r>
            <w:r w:rsidR="00C12B45" w:rsidRPr="00801601">
              <w:rPr>
                <w:rFonts w:hint="cs"/>
                <w:b/>
                <w:bCs/>
                <w:position w:val="2"/>
                <w:rtl/>
              </w:rPr>
              <w:t xml:space="preserve"> عملية الموافقة البديلة </w:t>
            </w:r>
            <w:r w:rsidR="00C12B45" w:rsidRPr="00801601">
              <w:rPr>
                <w:b/>
                <w:bCs/>
                <w:position w:val="2"/>
              </w:rPr>
              <w:t>(AAP)</w:t>
            </w:r>
          </w:p>
        </w:tc>
      </w:tr>
    </w:tbl>
    <w:p w14:paraId="215FBF22" w14:textId="77777777" w:rsidR="00D517B2" w:rsidRPr="00D517B2" w:rsidRDefault="00D517B2" w:rsidP="008F065F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1344F9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EDD742B" w14:textId="1AEB5352" w:rsidR="00D517B2" w:rsidRDefault="008A2E3E" w:rsidP="009858B2">
      <w:pPr>
        <w:rPr>
          <w:rtl/>
          <w:lang w:bidi="ar-EG"/>
        </w:rPr>
      </w:pPr>
      <w:r w:rsidRPr="008A2E3E">
        <w:rPr>
          <w:rFonts w:hint="cs"/>
          <w:rtl/>
          <w:lang w:bidi="ar-EG"/>
        </w:rPr>
        <w:t xml:space="preserve">عملية الموافقة البديلة </w:t>
      </w:r>
      <w:r w:rsidRPr="008A2E3E">
        <w:rPr>
          <w:lang w:bidi="ar-SY"/>
        </w:rPr>
        <w:t>(AAP)</w:t>
      </w:r>
      <w:r w:rsidRPr="008A2E3E">
        <w:rPr>
          <w:rFonts w:hint="cs"/>
          <w:rtl/>
          <w:lang w:bidi="ar-EG"/>
        </w:rPr>
        <w:t xml:space="preserve"> هي عملية </w:t>
      </w:r>
      <w:r w:rsidR="002554A9">
        <w:rPr>
          <w:rFonts w:hint="cs"/>
          <w:rtl/>
          <w:lang w:bidi="ar-EG"/>
        </w:rPr>
        <w:t xml:space="preserve">موافقة </w:t>
      </w:r>
      <w:r w:rsidRPr="008A2E3E">
        <w:rPr>
          <w:rFonts w:hint="cs"/>
          <w:rtl/>
          <w:lang w:bidi="ar-EG"/>
        </w:rPr>
        <w:t>إلكتروني</w:t>
      </w:r>
      <w:r w:rsidR="00337A92">
        <w:rPr>
          <w:rFonts w:hint="cs"/>
          <w:rtl/>
        </w:rPr>
        <w:t>ة سريعة</w:t>
      </w:r>
      <w:r w:rsidRPr="008A2E3E">
        <w:rPr>
          <w:rFonts w:hint="cs"/>
          <w:rtl/>
          <w:lang w:bidi="ar-EG"/>
        </w:rPr>
        <w:t xml:space="preserve"> </w:t>
      </w:r>
      <w:r w:rsidR="000D169F">
        <w:rPr>
          <w:rFonts w:hint="cs"/>
          <w:rtl/>
          <w:lang w:bidi="ar-EG"/>
        </w:rPr>
        <w:t>محددة</w:t>
      </w:r>
      <w:r w:rsidRPr="008A2E3E">
        <w:rPr>
          <w:rFonts w:hint="cs"/>
          <w:rtl/>
          <w:lang w:bidi="ar-EG"/>
        </w:rPr>
        <w:t xml:space="preserve"> في </w:t>
      </w:r>
      <w:hyperlink r:id="rId10" w:history="1">
        <w:r w:rsidRPr="009858B2">
          <w:rPr>
            <w:rStyle w:val="Hyperlink"/>
            <w:rFonts w:hint="cs"/>
            <w:rtl/>
          </w:rPr>
          <w:t>التوصية</w:t>
        </w:r>
        <w:r w:rsidR="009858B2" w:rsidRPr="009858B2">
          <w:rPr>
            <w:rStyle w:val="Hyperlink"/>
            <w:rFonts w:hint="cs"/>
            <w:rtl/>
          </w:rPr>
          <w:t xml:space="preserve"> </w:t>
        </w:r>
        <w:r w:rsidRPr="009858B2">
          <w:rPr>
            <w:rStyle w:val="Hyperlink"/>
          </w:rPr>
          <w:t>ITU</w:t>
        </w:r>
        <w:r w:rsidRPr="009858B2">
          <w:rPr>
            <w:rStyle w:val="Hyperlink"/>
          </w:rPr>
          <w:noBreakHyphen/>
          <w:t>T A.8</w:t>
        </w:r>
      </w:hyperlink>
      <w:r w:rsidRPr="008A2E3E">
        <w:rPr>
          <w:rFonts w:hint="cs"/>
          <w:rtl/>
          <w:lang w:bidi="ar-EG"/>
        </w:rPr>
        <w:t xml:space="preserve">، </w:t>
      </w:r>
      <w:r w:rsidR="00535195">
        <w:rPr>
          <w:rFonts w:hint="cs"/>
          <w:rtl/>
          <w:lang w:bidi="ar-EG"/>
        </w:rPr>
        <w:t>وهي تكمِّل</w:t>
      </w:r>
      <w:r w:rsidRPr="008A2E3E">
        <w:rPr>
          <w:rFonts w:hint="cs"/>
          <w:rtl/>
          <w:lang w:bidi="ar-EG"/>
        </w:rPr>
        <w:t xml:space="preserve"> عملية الموافقة التقليدية </w:t>
      </w:r>
      <w:r w:rsidRPr="008A2E3E">
        <w:rPr>
          <w:lang w:bidi="ar-SY"/>
        </w:rPr>
        <w:t>(TAP)</w:t>
      </w:r>
      <w:r w:rsidRPr="008A2E3E">
        <w:rPr>
          <w:rFonts w:hint="cs"/>
          <w:rtl/>
          <w:lang w:bidi="ar-SY"/>
        </w:rPr>
        <w:t xml:space="preserve"> </w:t>
      </w:r>
      <w:r w:rsidR="00535195">
        <w:rPr>
          <w:rFonts w:hint="cs"/>
          <w:rtl/>
          <w:lang w:bidi="ar-SY"/>
        </w:rPr>
        <w:t>ال</w:t>
      </w:r>
      <w:r w:rsidRPr="008A2E3E">
        <w:rPr>
          <w:rFonts w:hint="cs"/>
          <w:rtl/>
          <w:lang w:bidi="ar-SY"/>
        </w:rPr>
        <w:t>وارد</w:t>
      </w:r>
      <w:r w:rsidR="00535195">
        <w:rPr>
          <w:rFonts w:hint="cs"/>
          <w:rtl/>
          <w:lang w:bidi="ar-SY"/>
        </w:rPr>
        <w:t xml:space="preserve"> وصفها</w:t>
      </w:r>
      <w:r w:rsidRPr="008A2E3E">
        <w:rPr>
          <w:rFonts w:hint="cs"/>
          <w:rtl/>
          <w:lang w:bidi="ar-SY"/>
        </w:rPr>
        <w:t xml:space="preserve"> في </w:t>
      </w:r>
      <w:r w:rsidR="00535195">
        <w:rPr>
          <w:rFonts w:hint="cs"/>
          <w:rtl/>
          <w:lang w:bidi="ar-SY"/>
        </w:rPr>
        <w:t xml:space="preserve">القسم </w:t>
      </w:r>
      <w:r w:rsidR="00535195">
        <w:rPr>
          <w:lang w:bidi="ar-SY"/>
        </w:rPr>
        <w:t>9</w:t>
      </w:r>
      <w:r w:rsidR="00535195">
        <w:rPr>
          <w:rFonts w:hint="cs"/>
          <w:rtl/>
          <w:lang w:bidi="ar-EG"/>
        </w:rPr>
        <w:t xml:space="preserve"> من </w:t>
      </w:r>
      <w:hyperlink r:id="rId11" w:history="1">
        <w:r w:rsidRPr="009858B2">
          <w:rPr>
            <w:rStyle w:val="Hyperlink"/>
            <w:rFonts w:hint="cs"/>
            <w:rtl/>
          </w:rPr>
          <w:t>القرار</w:t>
        </w:r>
        <w:r w:rsidRPr="009858B2">
          <w:rPr>
            <w:rStyle w:val="Hyperlink"/>
            <w:rFonts w:hint="eastAsia"/>
            <w:rtl/>
          </w:rPr>
          <w:t> </w:t>
        </w:r>
        <w:r w:rsidRPr="009858B2">
          <w:rPr>
            <w:rStyle w:val="Hyperlink"/>
          </w:rPr>
          <w:t>1</w:t>
        </w:r>
        <w:r w:rsidRPr="009858B2">
          <w:rPr>
            <w:rStyle w:val="Hyperlink"/>
            <w:rFonts w:hint="cs"/>
            <w:rtl/>
          </w:rPr>
          <w:t xml:space="preserve"> </w:t>
        </w:r>
        <w:r w:rsidR="00535195" w:rsidRPr="009858B2">
          <w:rPr>
            <w:rStyle w:val="Hyperlink"/>
            <w:rFonts w:hint="cs"/>
            <w:rtl/>
          </w:rPr>
          <w:t>(المراجَع في الحمامات</w:t>
        </w:r>
        <w:r w:rsidR="006C5391" w:rsidRPr="009858B2">
          <w:rPr>
            <w:rStyle w:val="Hyperlink"/>
            <w:rFonts w:hint="cs"/>
            <w:rtl/>
          </w:rPr>
          <w:t xml:space="preserve">، </w:t>
        </w:r>
        <w:r w:rsidR="006C5391" w:rsidRPr="009858B2">
          <w:rPr>
            <w:rStyle w:val="Hyperlink"/>
          </w:rPr>
          <w:t>2016</w:t>
        </w:r>
        <w:r w:rsidR="00535195" w:rsidRPr="009858B2">
          <w:rPr>
            <w:rStyle w:val="Hyperlink"/>
            <w:rFonts w:hint="cs"/>
            <w:rtl/>
          </w:rPr>
          <w:t>) ل</w:t>
        </w:r>
        <w:r w:rsidRPr="009858B2">
          <w:rPr>
            <w:rStyle w:val="Hyperlink"/>
            <w:rFonts w:hint="cs"/>
            <w:rtl/>
          </w:rPr>
          <w:t>لجمعية العالمية لتقييس</w:t>
        </w:r>
        <w:r w:rsidRPr="009858B2">
          <w:rPr>
            <w:rStyle w:val="Hyperlink"/>
            <w:rFonts w:hint="eastAsia"/>
            <w:rtl/>
          </w:rPr>
          <w:t> </w:t>
        </w:r>
        <w:r w:rsidRPr="009858B2">
          <w:rPr>
            <w:rStyle w:val="Hyperlink"/>
            <w:rFonts w:hint="cs"/>
            <w:rtl/>
          </w:rPr>
          <w:t>الاتصالات</w:t>
        </w:r>
      </w:hyperlink>
      <w:r w:rsidRPr="008A2E3E">
        <w:rPr>
          <w:rFonts w:hint="cs"/>
          <w:rtl/>
          <w:lang w:bidi="ar-EG"/>
        </w:rPr>
        <w:t>.</w:t>
      </w:r>
    </w:p>
    <w:p w14:paraId="55F49A97" w14:textId="6BFD3889" w:rsidR="008A2E3E" w:rsidRDefault="000D169F" w:rsidP="009858B2">
      <w:pPr>
        <w:rPr>
          <w:rtl/>
          <w:lang w:bidi="ar-SY"/>
        </w:rPr>
      </w:pPr>
      <w:r>
        <w:rPr>
          <w:rFonts w:hint="cs"/>
          <w:rtl/>
          <w:lang w:bidi="ar-EG"/>
        </w:rPr>
        <w:t>و</w:t>
      </w:r>
      <w:r w:rsidR="00B139EB">
        <w:rPr>
          <w:rFonts w:hint="cs"/>
          <w:rtl/>
          <w:lang w:bidi="ar-EG"/>
        </w:rPr>
        <w:t xml:space="preserve">تشمل الأداة الإلكترونية </w:t>
      </w:r>
      <w:r w:rsidR="002C6B78">
        <w:rPr>
          <w:rFonts w:hint="cs"/>
          <w:rtl/>
          <w:lang w:bidi="ar-SY"/>
        </w:rPr>
        <w:t>لعملية الموافقة البديلة</w:t>
      </w:r>
      <w:r w:rsidR="00B139EB">
        <w:rPr>
          <w:rFonts w:hint="cs"/>
          <w:rtl/>
          <w:lang w:bidi="ar-SY"/>
        </w:rPr>
        <w:t xml:space="preserve"> </w:t>
      </w:r>
      <w:r w:rsidR="002C6B78">
        <w:rPr>
          <w:rFonts w:hint="cs"/>
          <w:rtl/>
          <w:lang w:bidi="ar-SY"/>
        </w:rPr>
        <w:t>خاصية لتقديم التعليقات</w:t>
      </w:r>
      <w:r w:rsidR="00A15FD6">
        <w:rPr>
          <w:rFonts w:hint="cs"/>
          <w:rtl/>
          <w:lang w:bidi="ar-SY"/>
        </w:rPr>
        <w:t xml:space="preserve"> </w:t>
      </w:r>
      <w:r w:rsidR="00FA0A4B">
        <w:rPr>
          <w:rFonts w:hint="cs"/>
          <w:rtl/>
          <w:lang w:bidi="ar-SY"/>
        </w:rPr>
        <w:t xml:space="preserve">تستيقن </w:t>
      </w:r>
      <w:r w:rsidR="00A15FD6">
        <w:rPr>
          <w:rFonts w:hint="cs"/>
          <w:rtl/>
          <w:lang w:bidi="ar-SY"/>
        </w:rPr>
        <w:t xml:space="preserve">من </w:t>
      </w:r>
      <w:r w:rsidR="00FA0A4B">
        <w:rPr>
          <w:rFonts w:hint="cs"/>
          <w:rtl/>
          <w:lang w:bidi="ar-SY"/>
        </w:rPr>
        <w:t>المستعملين لضمان</w:t>
      </w:r>
      <w:r w:rsidR="00FA0A4B" w:rsidRPr="00FA0A4B">
        <w:rPr>
          <w:rtl/>
          <w:lang w:bidi="ar-SY"/>
        </w:rPr>
        <w:t xml:space="preserve"> ألا يقوم بتقديم التعليقات بالنيابة عن منظمة </w:t>
      </w:r>
      <w:r w:rsidR="00B37F6E">
        <w:rPr>
          <w:rFonts w:hint="cs"/>
          <w:rtl/>
          <w:lang w:bidi="ar-SY"/>
        </w:rPr>
        <w:t>مؤهلة</w:t>
      </w:r>
      <w:r w:rsidR="009555F9">
        <w:rPr>
          <w:rFonts w:hint="cs"/>
          <w:rtl/>
          <w:lang w:bidi="ar-SY"/>
        </w:rPr>
        <w:t xml:space="preserve"> لتقديم التعليقات</w:t>
      </w:r>
      <w:r w:rsidR="00FA0A4B" w:rsidRPr="00FA0A4B">
        <w:rPr>
          <w:rtl/>
          <w:lang w:bidi="ar-SY"/>
        </w:rPr>
        <w:t xml:space="preserve"> إلا </w:t>
      </w:r>
      <w:r w:rsidR="00B37F6E" w:rsidRPr="009858B2">
        <w:rPr>
          <w:rFonts w:hint="cs"/>
          <w:rtl/>
          <w:lang w:bidi="ar-SY"/>
        </w:rPr>
        <w:t>الشخص</w:t>
      </w:r>
      <w:r w:rsidR="00FA0A4B" w:rsidRPr="009858B2">
        <w:rPr>
          <w:rtl/>
          <w:lang w:bidi="ar-SY"/>
        </w:rPr>
        <w:t xml:space="preserve"> المخو</w:t>
      </w:r>
      <w:r w:rsidR="00DC0BCF">
        <w:rPr>
          <w:rFonts w:hint="cs"/>
          <w:rtl/>
          <w:lang w:bidi="ar-SY"/>
        </w:rPr>
        <w:t>َّ</w:t>
      </w:r>
      <w:r w:rsidR="00FA0A4B" w:rsidRPr="009858B2">
        <w:rPr>
          <w:rtl/>
          <w:lang w:bidi="ar-SY"/>
        </w:rPr>
        <w:t xml:space="preserve">ل </w:t>
      </w:r>
      <w:r w:rsidR="00B37F6E" w:rsidRPr="009858B2">
        <w:rPr>
          <w:rFonts w:hint="cs"/>
          <w:rtl/>
          <w:lang w:bidi="ar-SY"/>
        </w:rPr>
        <w:t>له ذلك</w:t>
      </w:r>
      <w:r w:rsidR="008A2E3E" w:rsidRPr="009858B2">
        <w:rPr>
          <w:rFonts w:hint="cs"/>
          <w:rtl/>
          <w:lang w:bidi="ar-SY"/>
        </w:rPr>
        <w:t>.</w:t>
      </w:r>
      <w:r w:rsidR="00FA0A4B" w:rsidRPr="009858B2">
        <w:rPr>
          <w:rFonts w:hint="cs"/>
          <w:rtl/>
          <w:lang w:bidi="ar-SY"/>
        </w:rPr>
        <w:t xml:space="preserve"> و</w:t>
      </w:r>
      <w:r w:rsidR="008A2E3E" w:rsidRPr="009858B2">
        <w:rPr>
          <w:rFonts w:hint="cs"/>
          <w:rtl/>
          <w:lang w:bidi="ar-EG"/>
        </w:rPr>
        <w:t xml:space="preserve">يرجى </w:t>
      </w:r>
      <w:r w:rsidR="007066AF" w:rsidRPr="009858B2">
        <w:rPr>
          <w:rFonts w:hint="cs"/>
          <w:rtl/>
          <w:lang w:bidi="ar-EG"/>
        </w:rPr>
        <w:t xml:space="preserve">أن تتذكر </w:t>
      </w:r>
      <w:r w:rsidR="008A2E3E" w:rsidRPr="009858B2">
        <w:rPr>
          <w:rFonts w:hint="cs"/>
          <w:rtl/>
          <w:lang w:bidi="ar-EG"/>
        </w:rPr>
        <w:t xml:space="preserve">الدول الأعضاء وأعضاء القطاع والمنتسبين </w:t>
      </w:r>
      <w:r w:rsidR="003E077B">
        <w:rPr>
          <w:rFonts w:hint="cs"/>
          <w:rtl/>
          <w:lang w:bidi="ar-EG"/>
        </w:rPr>
        <w:t>والمؤسسات</w:t>
      </w:r>
      <w:r w:rsidR="008A2E3E" w:rsidRPr="009858B2">
        <w:rPr>
          <w:rFonts w:hint="cs"/>
          <w:rtl/>
          <w:lang w:bidi="ar-EG"/>
        </w:rPr>
        <w:t xml:space="preserve"> الأكاديمية بأن إجراءات عملية الموافقة البديلة تتطلب </w:t>
      </w:r>
      <w:r w:rsidR="00C310AC" w:rsidRPr="009858B2">
        <w:rPr>
          <w:rFonts w:hint="cs"/>
          <w:rtl/>
          <w:lang w:bidi="ar-EG"/>
        </w:rPr>
        <w:t>تسمية</w:t>
      </w:r>
      <w:r w:rsidR="008A2E3E" w:rsidRPr="009858B2">
        <w:rPr>
          <w:rFonts w:hint="cs"/>
          <w:rtl/>
          <w:lang w:bidi="ar-EG"/>
        </w:rPr>
        <w:t xml:space="preserve"> </w:t>
      </w:r>
      <w:r w:rsidR="00717F0A" w:rsidRPr="009858B2">
        <w:rPr>
          <w:rFonts w:hint="cs"/>
          <w:rtl/>
          <w:lang w:bidi="ar-EG"/>
        </w:rPr>
        <w:t>مسؤول</w:t>
      </w:r>
      <w:r w:rsidR="00337A92" w:rsidRPr="009858B2">
        <w:rPr>
          <w:rFonts w:hint="cs"/>
          <w:rtl/>
          <w:lang w:bidi="ar-EG"/>
        </w:rPr>
        <w:t xml:space="preserve"> اتصال</w:t>
      </w:r>
      <w:r w:rsidR="008A2E3E" w:rsidRPr="009858B2">
        <w:rPr>
          <w:rFonts w:hint="cs"/>
          <w:rtl/>
          <w:lang w:bidi="ar-EG"/>
        </w:rPr>
        <w:t xml:space="preserve"> لعملية الموافقة البديلة يعمل </w:t>
      </w:r>
      <w:r w:rsidR="00937ED6" w:rsidRPr="009858B2">
        <w:rPr>
          <w:rFonts w:hint="cs"/>
          <w:rtl/>
          <w:lang w:bidi="ar-EG"/>
        </w:rPr>
        <w:t xml:space="preserve">بصفته </w:t>
      </w:r>
      <w:r w:rsidR="008A2E3E" w:rsidRPr="009858B2">
        <w:rPr>
          <w:rFonts w:hint="cs"/>
          <w:rtl/>
          <w:lang w:bidi="ar-EG"/>
        </w:rPr>
        <w:t xml:space="preserve">جهة الاتصال </w:t>
      </w:r>
      <w:r w:rsidR="007066AF" w:rsidRPr="009858B2">
        <w:rPr>
          <w:rtl/>
          <w:lang w:bidi="ar-EG"/>
        </w:rPr>
        <w:t>المخو</w:t>
      </w:r>
      <w:r w:rsidR="004D3E04">
        <w:rPr>
          <w:rFonts w:hint="cs"/>
          <w:rtl/>
          <w:lang w:bidi="ar-EG"/>
        </w:rPr>
        <w:t>َّ</w:t>
      </w:r>
      <w:r w:rsidR="007066AF" w:rsidRPr="009858B2">
        <w:rPr>
          <w:rtl/>
          <w:lang w:bidi="ar-EG"/>
        </w:rPr>
        <w:t>لة</w:t>
      </w:r>
      <w:r w:rsidR="007066AF" w:rsidRPr="009858B2">
        <w:rPr>
          <w:rFonts w:hint="cs"/>
          <w:rtl/>
          <w:lang w:bidi="ar-EG"/>
        </w:rPr>
        <w:t xml:space="preserve"> فيما يتعلق ب</w:t>
      </w:r>
      <w:r w:rsidR="008A2E3E" w:rsidRPr="009858B2">
        <w:rPr>
          <w:rFonts w:hint="cs"/>
          <w:rtl/>
          <w:lang w:bidi="ar-EG"/>
        </w:rPr>
        <w:t xml:space="preserve">المراسلات المتعلقة بعملية </w:t>
      </w:r>
      <w:r w:rsidR="00937ED6" w:rsidRPr="009858B2">
        <w:rPr>
          <w:rFonts w:hint="cs"/>
          <w:rtl/>
          <w:lang w:bidi="ar-SY"/>
        </w:rPr>
        <w:t>الموافقة البديلة</w:t>
      </w:r>
      <w:r w:rsidR="008A2E3E" w:rsidRPr="009858B2">
        <w:rPr>
          <w:rFonts w:hint="cs"/>
          <w:rtl/>
          <w:lang w:bidi="ar-EG"/>
        </w:rPr>
        <w:t>.</w:t>
      </w:r>
      <w:r w:rsidR="00A85A8B" w:rsidRPr="009858B2">
        <w:rPr>
          <w:rFonts w:hint="cs"/>
          <w:rtl/>
          <w:lang w:bidi="ar-EG"/>
        </w:rPr>
        <w:t xml:space="preserve"> </w:t>
      </w:r>
      <w:r w:rsidR="00937ED6" w:rsidRPr="009858B2">
        <w:rPr>
          <w:rFonts w:hint="cs"/>
          <w:rtl/>
          <w:lang w:bidi="ar-EG"/>
        </w:rPr>
        <w:t xml:space="preserve">وسيتم الاتصال بجهة الاتصال هذه في حال </w:t>
      </w:r>
      <w:r w:rsidR="003F535A" w:rsidRPr="009858B2">
        <w:rPr>
          <w:rFonts w:hint="cs"/>
          <w:rtl/>
          <w:lang w:bidi="ar-EG"/>
        </w:rPr>
        <w:t>حدوث أي مشاكل ذات صلة خلال عملية</w:t>
      </w:r>
      <w:r w:rsidR="003F535A">
        <w:rPr>
          <w:rFonts w:hint="cs"/>
          <w:rtl/>
          <w:lang w:bidi="ar-EG"/>
        </w:rPr>
        <w:t xml:space="preserve"> الموافقة البديلة، </w:t>
      </w:r>
      <w:r w:rsidR="000E7C9C">
        <w:rPr>
          <w:rFonts w:hint="cs"/>
          <w:rtl/>
          <w:lang w:bidi="ar-EG"/>
        </w:rPr>
        <w:t xml:space="preserve">وستبلَّغ جهة الاتصال تلقائياً عن طريق البريد الإلكتروني </w:t>
      </w:r>
      <w:r w:rsidR="003C5615">
        <w:rPr>
          <w:rFonts w:hint="cs"/>
          <w:rtl/>
          <w:lang w:bidi="ar-EG"/>
        </w:rPr>
        <w:t>عندما ي</w:t>
      </w:r>
      <w:r w:rsidR="000E7C9C">
        <w:rPr>
          <w:rFonts w:hint="cs"/>
          <w:rtl/>
          <w:lang w:bidi="ar-EG"/>
        </w:rPr>
        <w:t>قد</w:t>
      </w:r>
      <w:r w:rsidR="003C5615">
        <w:rPr>
          <w:rFonts w:hint="cs"/>
          <w:rtl/>
          <w:lang w:bidi="ar-EG"/>
        </w:rPr>
        <w:t>َّ</w:t>
      </w:r>
      <w:r w:rsidR="000E7C9C">
        <w:rPr>
          <w:rFonts w:hint="cs"/>
          <w:rtl/>
          <w:lang w:bidi="ar-EG"/>
        </w:rPr>
        <w:t xml:space="preserve">م </w:t>
      </w:r>
      <w:r w:rsidR="00C310AC">
        <w:rPr>
          <w:rFonts w:hint="cs"/>
          <w:rtl/>
          <w:lang w:bidi="ar-EG"/>
        </w:rPr>
        <w:t xml:space="preserve">بالنيابة عن منظمتها </w:t>
      </w:r>
      <w:r w:rsidR="003C5615">
        <w:rPr>
          <w:rFonts w:hint="cs"/>
          <w:rtl/>
          <w:lang w:bidi="ar-EG"/>
        </w:rPr>
        <w:t>أي تعليق في إطار عملية الموافقة البديلة.</w:t>
      </w:r>
    </w:p>
    <w:p w14:paraId="7A405389" w14:textId="01089ADC" w:rsidR="00A85A8B" w:rsidRDefault="007B606B" w:rsidP="009858B2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="00C310AC">
        <w:rPr>
          <w:rFonts w:hint="cs"/>
          <w:rtl/>
          <w:lang w:bidi="ar-EG"/>
        </w:rPr>
        <w:t>يرج</w:t>
      </w:r>
      <w:r w:rsidR="009858B2">
        <w:rPr>
          <w:rFonts w:hint="cs"/>
          <w:rtl/>
          <w:lang w:bidi="ar-EG"/>
        </w:rPr>
        <w:t>ى</w:t>
      </w:r>
      <w:r w:rsidR="00C310AC">
        <w:rPr>
          <w:rFonts w:hint="cs"/>
          <w:rtl/>
          <w:lang w:bidi="ar-EG"/>
        </w:rPr>
        <w:t xml:space="preserve"> تسمية </w:t>
      </w:r>
      <w:r w:rsidR="00EA398E">
        <w:rPr>
          <w:rFonts w:hint="cs"/>
          <w:rtl/>
          <w:lang w:bidi="ar-EG"/>
        </w:rPr>
        <w:t xml:space="preserve">أو إعادة تأكيد جهة الاتصال </w:t>
      </w:r>
      <w:r w:rsidR="00E11FC2">
        <w:rPr>
          <w:rFonts w:hint="cs"/>
          <w:rtl/>
          <w:lang w:bidi="ar-EG"/>
        </w:rPr>
        <w:t>الخاصة</w:t>
      </w:r>
      <w:r w:rsidR="00EA398E">
        <w:rPr>
          <w:rFonts w:hint="cs"/>
          <w:rtl/>
          <w:lang w:bidi="ar-EG"/>
        </w:rPr>
        <w:t xml:space="preserve"> بمنظمت</w:t>
      </w:r>
      <w:r w:rsidR="00E11FC2">
        <w:rPr>
          <w:rFonts w:hint="cs"/>
          <w:rtl/>
          <w:lang w:bidi="ar-EG"/>
        </w:rPr>
        <w:t>كم</w:t>
      </w:r>
      <w:r w:rsidR="00EA398E">
        <w:rPr>
          <w:rFonts w:hint="cs"/>
          <w:rtl/>
          <w:lang w:bidi="ar-EG"/>
        </w:rPr>
        <w:t xml:space="preserve"> </w:t>
      </w:r>
      <w:r w:rsidR="00E11FC2">
        <w:rPr>
          <w:rFonts w:hint="cs"/>
          <w:rtl/>
          <w:lang w:bidi="ar-EG"/>
        </w:rPr>
        <w:t>فيما يتعلق ب</w:t>
      </w:r>
      <w:r w:rsidR="00EA398E">
        <w:rPr>
          <w:rFonts w:hint="cs"/>
          <w:rtl/>
          <w:lang w:bidi="ar-EG"/>
        </w:rPr>
        <w:t>عملية الموافقة البديلة</w:t>
      </w:r>
      <w:r w:rsidR="00E11FC2">
        <w:rPr>
          <w:rFonts w:hint="cs"/>
          <w:rtl/>
          <w:lang w:bidi="ar-EG"/>
        </w:rPr>
        <w:t>، ب</w:t>
      </w:r>
      <w:r>
        <w:rPr>
          <w:rFonts w:hint="cs"/>
          <w:rtl/>
          <w:lang w:bidi="ar-EG"/>
        </w:rPr>
        <w:t>إرسال</w:t>
      </w:r>
      <w:r w:rsidR="00E11FC2">
        <w:rPr>
          <w:rFonts w:hint="cs"/>
          <w:rtl/>
          <w:lang w:bidi="ar-EG"/>
        </w:rPr>
        <w:t xml:space="preserve"> المعلومات التالية إلى</w:t>
      </w:r>
      <w:r>
        <w:rPr>
          <w:rFonts w:hint="cs"/>
          <w:rtl/>
          <w:lang w:bidi="ar-EG"/>
        </w:rPr>
        <w:t xml:space="preserve"> العنوان</w:t>
      </w:r>
      <w:r w:rsidR="00E11FC2">
        <w:rPr>
          <w:rFonts w:hint="cs"/>
          <w:rtl/>
          <w:lang w:bidi="ar-EG"/>
        </w:rPr>
        <w:t xml:space="preserve"> </w:t>
      </w:r>
      <w:hyperlink r:id="rId12" w:history="1">
        <w:r w:rsidR="00E11FC2" w:rsidRPr="002C53C6">
          <w:rPr>
            <w:rStyle w:val="Hyperlink"/>
          </w:rPr>
          <w:t>tsbaap@itu.int</w:t>
        </w:r>
      </w:hyperlink>
      <w:r w:rsidR="00A85A8B">
        <w:rPr>
          <w:rFonts w:hint="cs"/>
          <w:rtl/>
          <w:lang w:bidi="ar-EG"/>
        </w:rPr>
        <w:t>:</w:t>
      </w:r>
    </w:p>
    <w:p w14:paraId="00F7A5A6" w14:textId="52235CBE" w:rsidR="00A85A8B" w:rsidRDefault="009858B2" w:rsidP="001D4ADD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A85A8B">
        <w:rPr>
          <w:rtl/>
        </w:rPr>
        <w:tab/>
      </w:r>
      <w:r w:rsidR="002B3DD9">
        <w:rPr>
          <w:rFonts w:hint="cs"/>
          <w:rtl/>
        </w:rPr>
        <w:t>الاسم الشخصي والاسم العائلي.</w:t>
      </w:r>
    </w:p>
    <w:p w14:paraId="2369D2BF" w14:textId="5AD7B5C1" w:rsidR="00A85A8B" w:rsidRDefault="009858B2" w:rsidP="001D4ADD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A85A8B">
        <w:rPr>
          <w:rtl/>
        </w:rPr>
        <w:tab/>
      </w:r>
      <w:r w:rsidR="002B3DD9">
        <w:rPr>
          <w:rFonts w:hint="cs"/>
          <w:rtl/>
        </w:rPr>
        <w:t xml:space="preserve">عنوان البريد الإلكتروني و/أو اسم المستعمل </w:t>
      </w:r>
      <w:r w:rsidR="004D664C">
        <w:rPr>
          <w:rFonts w:hint="cs"/>
          <w:rtl/>
        </w:rPr>
        <w:t>في حساب المستعمل الخاص بالاتحاد</w:t>
      </w:r>
      <w:r w:rsidR="00A85A8B">
        <w:rPr>
          <w:rFonts w:hint="cs"/>
          <w:rtl/>
        </w:rPr>
        <w:t>.</w:t>
      </w:r>
    </w:p>
    <w:p w14:paraId="0915DBA0" w14:textId="4CFBA068" w:rsidR="00A85A8B" w:rsidRDefault="009858B2" w:rsidP="001D4ADD">
      <w:pPr>
        <w:pStyle w:val="enumlev1"/>
        <w:rPr>
          <w:rtl/>
        </w:rPr>
      </w:pPr>
      <w:r>
        <w:rPr>
          <w:rFonts w:hint="eastAsia"/>
          <w:rtl/>
        </w:rPr>
        <w:t>–</w:t>
      </w:r>
      <w:r w:rsidR="00A85A8B">
        <w:rPr>
          <w:rtl/>
        </w:rPr>
        <w:tab/>
      </w:r>
      <w:r w:rsidR="004D664C">
        <w:rPr>
          <w:rFonts w:hint="cs"/>
          <w:rtl/>
        </w:rPr>
        <w:t>المنظمة</w:t>
      </w:r>
      <w:r w:rsidR="00A85A8B">
        <w:rPr>
          <w:rFonts w:hint="cs"/>
          <w:rtl/>
        </w:rPr>
        <w:t>.</w:t>
      </w:r>
    </w:p>
    <w:p w14:paraId="1FC8D8D7" w14:textId="53B39A0A" w:rsidR="008A2E3E" w:rsidRDefault="004D664C" w:rsidP="008A2E3E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وفي حال عدم استلام أي رد، سيُحتفظ </w:t>
      </w:r>
      <w:r w:rsidR="007066AF">
        <w:rPr>
          <w:rFonts w:hint="cs"/>
          <w:rtl/>
          <w:lang w:bidi="ar-SY"/>
        </w:rPr>
        <w:t xml:space="preserve">بالمعلومات المسجلة حالياً </w:t>
      </w:r>
      <w:r>
        <w:rPr>
          <w:rFonts w:hint="cs"/>
          <w:rtl/>
          <w:lang w:bidi="ar-SY"/>
        </w:rPr>
        <w:t>في قاعدة البيانات</w:t>
      </w:r>
      <w:r w:rsidR="00A85A8B">
        <w:rPr>
          <w:rFonts w:hint="cs"/>
          <w:rtl/>
          <w:lang w:bidi="ar-SY"/>
        </w:rPr>
        <w:t>.</w:t>
      </w:r>
      <w:r w:rsidR="0082702D">
        <w:rPr>
          <w:rFonts w:hint="cs"/>
          <w:rtl/>
          <w:lang w:bidi="ar-SY"/>
        </w:rPr>
        <w:t xml:space="preserve"> وإذا كانت لديكم أي استفسارات بشأن هذه المسألة، يرجى </w:t>
      </w:r>
      <w:r w:rsidR="007066AF">
        <w:rPr>
          <w:rFonts w:hint="cs"/>
          <w:rtl/>
          <w:lang w:bidi="ar-SY"/>
        </w:rPr>
        <w:t>إرسالها إلى</w:t>
      </w:r>
      <w:r w:rsidR="0082702D">
        <w:rPr>
          <w:rFonts w:hint="cs"/>
          <w:rtl/>
          <w:lang w:bidi="ar-SY"/>
        </w:rPr>
        <w:t xml:space="preserve"> العنوان </w:t>
      </w:r>
      <w:hyperlink r:id="rId13" w:history="1">
        <w:r w:rsidR="0082702D" w:rsidRPr="002C53C6">
          <w:rPr>
            <w:rStyle w:val="Hyperlink"/>
          </w:rPr>
          <w:t>tsbaap@itu.int</w:t>
        </w:r>
      </w:hyperlink>
      <w:r w:rsidR="0082702D">
        <w:rPr>
          <w:rFonts w:hint="cs"/>
          <w:rtl/>
          <w:lang w:bidi="ar-SY"/>
        </w:rPr>
        <w:t>.</w:t>
      </w:r>
    </w:p>
    <w:p w14:paraId="10BE97A0" w14:textId="6E26B8DC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E1EC3C9" w14:textId="5E8EC2A3" w:rsidR="00E84438" w:rsidRPr="00D517B2" w:rsidRDefault="00A322EB" w:rsidP="005F5561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2EAA3310" wp14:editId="6CEEC24C">
            <wp:simplePos x="0" y="0"/>
            <wp:positionH relativeFrom="column">
              <wp:posOffset>5363210</wp:posOffset>
            </wp:positionH>
            <wp:positionV relativeFrom="paragraph">
              <wp:posOffset>5080</wp:posOffset>
            </wp:positionV>
            <wp:extent cx="784225" cy="542925"/>
            <wp:effectExtent l="0" t="0" r="0" b="9525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864B8F" w:rsidRPr="00864B8F">
        <w:rPr>
          <w:rFonts w:hint="cs"/>
          <w:rtl/>
          <w:lang w:bidi="ar-EG"/>
        </w:rPr>
        <w:t>مدير مكتب تقييس الاتصالات</w:t>
      </w:r>
    </w:p>
    <w:sectPr w:rsidR="00E84438" w:rsidRPr="00D517B2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406A6" w14:textId="77777777" w:rsidR="00CB444A" w:rsidRDefault="00CB444A" w:rsidP="006C3242">
      <w:pPr>
        <w:spacing w:before="0" w:line="240" w:lineRule="auto"/>
      </w:pPr>
      <w:r>
        <w:separator/>
      </w:r>
    </w:p>
  </w:endnote>
  <w:endnote w:type="continuationSeparator" w:id="0">
    <w:p w14:paraId="12C3016C" w14:textId="77777777" w:rsidR="00CB444A" w:rsidRDefault="00CB444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336F" w14:textId="65792A0F" w:rsidR="006C3242" w:rsidRPr="00A322EB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A322EB">
      <w:rPr>
        <w:sz w:val="16"/>
        <w:szCs w:val="16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322EB" w:rsidRPr="00A322EB">
      <w:rPr>
        <w:noProof/>
        <w:sz w:val="16"/>
        <w:szCs w:val="16"/>
      </w:rPr>
      <w:t>M:\OFFICE\Circ-Coll\Circular\2020\251\251A.DOCX</w:t>
    </w:r>
    <w:r w:rsidRPr="0026373E">
      <w:rPr>
        <w:sz w:val="16"/>
        <w:szCs w:val="16"/>
      </w:rPr>
      <w:fldChar w:fldCharType="end"/>
    </w:r>
    <w:proofErr w:type="gramStart"/>
    <w:r w:rsidRPr="00A322EB">
      <w:rPr>
        <w:sz w:val="16"/>
        <w:szCs w:val="16"/>
      </w:rPr>
      <w:t xml:space="preserve">   (</w:t>
    </w:r>
    <w:proofErr w:type="gramEnd"/>
    <w:r w:rsidR="00A02886" w:rsidRPr="00A322EB">
      <w:rPr>
        <w:sz w:val="16"/>
        <w:szCs w:val="16"/>
      </w:rPr>
      <w:t>471282</w:t>
    </w:r>
    <w:r w:rsidRPr="00A322EB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38E0E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951E" w14:textId="77777777" w:rsidR="00CB444A" w:rsidRDefault="00CB444A" w:rsidP="006C3242">
      <w:pPr>
        <w:spacing w:before="0" w:line="240" w:lineRule="auto"/>
      </w:pPr>
      <w:r>
        <w:separator/>
      </w:r>
    </w:p>
  </w:footnote>
  <w:footnote w:type="continuationSeparator" w:id="0">
    <w:p w14:paraId="661A40A5" w14:textId="77777777" w:rsidR="00CB444A" w:rsidRDefault="00CB444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94E1" w14:textId="276187D0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A02886">
      <w:rPr>
        <w:sz w:val="20"/>
        <w:szCs w:val="20"/>
        <w:lang w:val="en-GB"/>
      </w:rPr>
      <w:t>251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68"/>
    <w:rsid w:val="00002A63"/>
    <w:rsid w:val="0005219E"/>
    <w:rsid w:val="0006468A"/>
    <w:rsid w:val="00090574"/>
    <w:rsid w:val="000C1C0E"/>
    <w:rsid w:val="000C548A"/>
    <w:rsid w:val="000C6E2B"/>
    <w:rsid w:val="000D169F"/>
    <w:rsid w:val="000E327F"/>
    <w:rsid w:val="000E7C9C"/>
    <w:rsid w:val="00146FE2"/>
    <w:rsid w:val="001C0169"/>
    <w:rsid w:val="001D1D50"/>
    <w:rsid w:val="001D4ADD"/>
    <w:rsid w:val="001D6745"/>
    <w:rsid w:val="001E446E"/>
    <w:rsid w:val="002154EE"/>
    <w:rsid w:val="002276D2"/>
    <w:rsid w:val="0023283D"/>
    <w:rsid w:val="00245CC7"/>
    <w:rsid w:val="002554A9"/>
    <w:rsid w:val="0026373E"/>
    <w:rsid w:val="00271C43"/>
    <w:rsid w:val="00290728"/>
    <w:rsid w:val="002978F4"/>
    <w:rsid w:val="002B028D"/>
    <w:rsid w:val="002B3DD9"/>
    <w:rsid w:val="002C6B78"/>
    <w:rsid w:val="002E196B"/>
    <w:rsid w:val="002E6541"/>
    <w:rsid w:val="00334924"/>
    <w:rsid w:val="00337A92"/>
    <w:rsid w:val="003409BC"/>
    <w:rsid w:val="00357185"/>
    <w:rsid w:val="003763E7"/>
    <w:rsid w:val="00383829"/>
    <w:rsid w:val="00397A68"/>
    <w:rsid w:val="003A3046"/>
    <w:rsid w:val="003C5615"/>
    <w:rsid w:val="003E077B"/>
    <w:rsid w:val="003F03F1"/>
    <w:rsid w:val="003F4B29"/>
    <w:rsid w:val="003F535A"/>
    <w:rsid w:val="00400EC6"/>
    <w:rsid w:val="0042686F"/>
    <w:rsid w:val="004317D8"/>
    <w:rsid w:val="00434183"/>
    <w:rsid w:val="00443869"/>
    <w:rsid w:val="00447F32"/>
    <w:rsid w:val="004B3B5D"/>
    <w:rsid w:val="004D3E04"/>
    <w:rsid w:val="004D664C"/>
    <w:rsid w:val="004E11DC"/>
    <w:rsid w:val="00525DDD"/>
    <w:rsid w:val="00535195"/>
    <w:rsid w:val="00537863"/>
    <w:rsid w:val="005409AC"/>
    <w:rsid w:val="0055516A"/>
    <w:rsid w:val="005731DD"/>
    <w:rsid w:val="0058491B"/>
    <w:rsid w:val="00592EA5"/>
    <w:rsid w:val="00595B52"/>
    <w:rsid w:val="00596808"/>
    <w:rsid w:val="005A3170"/>
    <w:rsid w:val="005F5561"/>
    <w:rsid w:val="00677396"/>
    <w:rsid w:val="0069200F"/>
    <w:rsid w:val="006A65CB"/>
    <w:rsid w:val="006C1530"/>
    <w:rsid w:val="006C3242"/>
    <w:rsid w:val="006C5391"/>
    <w:rsid w:val="006C7CC0"/>
    <w:rsid w:val="006E1BAD"/>
    <w:rsid w:val="006F63F7"/>
    <w:rsid w:val="007025C7"/>
    <w:rsid w:val="007066AF"/>
    <w:rsid w:val="00706D7A"/>
    <w:rsid w:val="00717F0A"/>
    <w:rsid w:val="00722F0D"/>
    <w:rsid w:val="0074027C"/>
    <w:rsid w:val="0074420E"/>
    <w:rsid w:val="00783E26"/>
    <w:rsid w:val="007B606B"/>
    <w:rsid w:val="007C3BC7"/>
    <w:rsid w:val="007C3BCD"/>
    <w:rsid w:val="007D4ACF"/>
    <w:rsid w:val="007F0787"/>
    <w:rsid w:val="007F099F"/>
    <w:rsid w:val="007F440E"/>
    <w:rsid w:val="00801601"/>
    <w:rsid w:val="00810B7B"/>
    <w:rsid w:val="0082358A"/>
    <w:rsid w:val="008235CD"/>
    <w:rsid w:val="008247DE"/>
    <w:rsid w:val="0082702D"/>
    <w:rsid w:val="00840B10"/>
    <w:rsid w:val="0084501E"/>
    <w:rsid w:val="008513CB"/>
    <w:rsid w:val="00864B8F"/>
    <w:rsid w:val="00873469"/>
    <w:rsid w:val="008A2E3E"/>
    <w:rsid w:val="008A7F84"/>
    <w:rsid w:val="008F065F"/>
    <w:rsid w:val="0091702E"/>
    <w:rsid w:val="00923B0C"/>
    <w:rsid w:val="00937ED6"/>
    <w:rsid w:val="0094021C"/>
    <w:rsid w:val="0094432F"/>
    <w:rsid w:val="00952F86"/>
    <w:rsid w:val="009555F9"/>
    <w:rsid w:val="00980234"/>
    <w:rsid w:val="00982B28"/>
    <w:rsid w:val="009858B2"/>
    <w:rsid w:val="009D313F"/>
    <w:rsid w:val="00A02886"/>
    <w:rsid w:val="00A15FD6"/>
    <w:rsid w:val="00A322EB"/>
    <w:rsid w:val="00A47A5A"/>
    <w:rsid w:val="00A6683B"/>
    <w:rsid w:val="00A85A8B"/>
    <w:rsid w:val="00A9156F"/>
    <w:rsid w:val="00A97F94"/>
    <w:rsid w:val="00AA7EA2"/>
    <w:rsid w:val="00AF6B5C"/>
    <w:rsid w:val="00B03099"/>
    <w:rsid w:val="00B05BC8"/>
    <w:rsid w:val="00B139EB"/>
    <w:rsid w:val="00B37F6E"/>
    <w:rsid w:val="00B64B47"/>
    <w:rsid w:val="00BB0F08"/>
    <w:rsid w:val="00BB201E"/>
    <w:rsid w:val="00C002DE"/>
    <w:rsid w:val="00C12B45"/>
    <w:rsid w:val="00C310AC"/>
    <w:rsid w:val="00C53BF8"/>
    <w:rsid w:val="00C6542A"/>
    <w:rsid w:val="00C66157"/>
    <w:rsid w:val="00C674FE"/>
    <w:rsid w:val="00C67501"/>
    <w:rsid w:val="00C75633"/>
    <w:rsid w:val="00C83D8F"/>
    <w:rsid w:val="00CB444A"/>
    <w:rsid w:val="00CC7F81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0BCF"/>
    <w:rsid w:val="00DC1E02"/>
    <w:rsid w:val="00DC24B4"/>
    <w:rsid w:val="00DC5FB0"/>
    <w:rsid w:val="00DD1EBB"/>
    <w:rsid w:val="00DF16DC"/>
    <w:rsid w:val="00E11FC2"/>
    <w:rsid w:val="00E45211"/>
    <w:rsid w:val="00E473C5"/>
    <w:rsid w:val="00E84438"/>
    <w:rsid w:val="00E92863"/>
    <w:rsid w:val="00EA398E"/>
    <w:rsid w:val="00EB796D"/>
    <w:rsid w:val="00F058DC"/>
    <w:rsid w:val="00F24FC4"/>
    <w:rsid w:val="00F2676C"/>
    <w:rsid w:val="00F42FC8"/>
    <w:rsid w:val="00F52941"/>
    <w:rsid w:val="00F84366"/>
    <w:rsid w:val="00F85089"/>
    <w:rsid w:val="00F974C5"/>
    <w:rsid w:val="00FA0A4B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EEFDE"/>
  <w15:chartTrackingRefBased/>
  <w15:docId w15:val="{2B61CB62-D0F3-4580-B9F1-CAE9A42D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9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aap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aap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1-20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rec/T-REC-A.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aap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1866-5BC6-464E-9B1F-9030CC5D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Braud, Olivia</cp:lastModifiedBy>
  <cp:revision>12</cp:revision>
  <cp:lastPrinted>2020-05-28T15:43:00Z</cp:lastPrinted>
  <dcterms:created xsi:type="dcterms:W3CDTF">2020-05-22T09:03:00Z</dcterms:created>
  <dcterms:modified xsi:type="dcterms:W3CDTF">2020-05-28T15:43:00Z</dcterms:modified>
</cp:coreProperties>
</file>