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312"/>
        <w:gridCol w:w="3467"/>
        <w:gridCol w:w="5329"/>
      </w:tblGrid>
      <w:tr w:rsidR="007B6316" w:rsidRPr="00CA2B95" w14:paraId="154651C6" w14:textId="77777777" w:rsidTr="001003F9">
        <w:trPr>
          <w:cantSplit/>
          <w:trHeight w:val="340"/>
        </w:trPr>
        <w:tc>
          <w:tcPr>
            <w:tcW w:w="1560" w:type="dxa"/>
            <w:gridSpan w:val="2"/>
          </w:tcPr>
          <w:p w14:paraId="2DE9BA3A" w14:textId="77777777" w:rsidR="007B6316" w:rsidRPr="00CA2B95" w:rsidRDefault="007B6316" w:rsidP="00CA2B9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A2B95">
              <w:rPr>
                <w:noProof/>
                <w:lang w:eastAsia="zh-CN"/>
              </w:rPr>
              <w:drawing>
                <wp:inline distT="0" distB="0" distL="0" distR="0" wp14:anchorId="4489CD40" wp14:editId="7593FC3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A9A0501" w14:textId="77777777" w:rsidR="007B6316" w:rsidRPr="00CA2B95" w:rsidRDefault="007B6316" w:rsidP="00CA2B9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A2B9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1BEF193" w14:textId="77777777" w:rsidR="007B6316" w:rsidRPr="00CA2B95" w:rsidRDefault="007B6316" w:rsidP="00CA2B95">
            <w:pPr>
              <w:spacing w:before="0"/>
            </w:pPr>
            <w:r w:rsidRPr="00CA2B9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CA2B95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CA2B9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80B69" w:rsidRPr="00CA2B95" w14:paraId="29F33E0F" w14:textId="77777777" w:rsidTr="001003F9">
        <w:trPr>
          <w:cantSplit/>
          <w:trHeight w:val="340"/>
        </w:trPr>
        <w:tc>
          <w:tcPr>
            <w:tcW w:w="5027" w:type="dxa"/>
            <w:gridSpan w:val="3"/>
          </w:tcPr>
          <w:p w14:paraId="45BBC357" w14:textId="77777777" w:rsidR="00780B69" w:rsidRPr="00CA2B95" w:rsidRDefault="00780B69" w:rsidP="00CA2B95">
            <w:pPr>
              <w:ind w:left="57"/>
            </w:pPr>
          </w:p>
        </w:tc>
        <w:tc>
          <w:tcPr>
            <w:tcW w:w="5329" w:type="dxa"/>
          </w:tcPr>
          <w:p w14:paraId="4F41CA1B" w14:textId="04A1AF4A" w:rsidR="00780B69" w:rsidRPr="00CA2B95" w:rsidRDefault="00780B69" w:rsidP="00CA2B95">
            <w:pPr>
              <w:spacing w:after="120"/>
              <w:ind w:left="57"/>
            </w:pPr>
            <w:r w:rsidRPr="00CA2B95">
              <w:t xml:space="preserve">Ginebra, </w:t>
            </w:r>
            <w:r w:rsidR="00CC723C" w:rsidRPr="00CA2B95">
              <w:t>7</w:t>
            </w:r>
            <w:r w:rsidRPr="00CA2B95">
              <w:t xml:space="preserve"> de </w:t>
            </w:r>
            <w:r w:rsidR="00CC723C" w:rsidRPr="00CA2B95">
              <w:t>septiembre</w:t>
            </w:r>
            <w:r w:rsidRPr="00CA2B95">
              <w:t xml:space="preserve"> de 20</w:t>
            </w:r>
            <w:r w:rsidR="00CC723C" w:rsidRPr="00CA2B95">
              <w:t>20</w:t>
            </w:r>
          </w:p>
        </w:tc>
      </w:tr>
      <w:tr w:rsidR="007B6316" w:rsidRPr="00CA2B95" w14:paraId="4917F983" w14:textId="77777777" w:rsidTr="001003F9">
        <w:trPr>
          <w:cantSplit/>
          <w:trHeight w:val="340"/>
        </w:trPr>
        <w:tc>
          <w:tcPr>
            <w:tcW w:w="1248" w:type="dxa"/>
          </w:tcPr>
          <w:p w14:paraId="73A08D87" w14:textId="77777777" w:rsidR="007B6316" w:rsidRPr="00CA2B95" w:rsidRDefault="007B6316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Ref.:</w:t>
            </w:r>
          </w:p>
        </w:tc>
        <w:tc>
          <w:tcPr>
            <w:tcW w:w="3779" w:type="dxa"/>
            <w:gridSpan w:val="2"/>
          </w:tcPr>
          <w:p w14:paraId="71626A34" w14:textId="7331319F" w:rsidR="007B6316" w:rsidRPr="00CA2B95" w:rsidRDefault="007B6316" w:rsidP="00CA2B95">
            <w:pPr>
              <w:spacing w:before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 xml:space="preserve">Circular TSB </w:t>
            </w:r>
            <w:r w:rsidR="00CC723C" w:rsidRPr="00CA2B95">
              <w:rPr>
                <w:b/>
                <w:bCs/>
              </w:rPr>
              <w:t>265</w:t>
            </w:r>
          </w:p>
          <w:p w14:paraId="679137F6" w14:textId="77777777" w:rsidR="007B6316" w:rsidRPr="00CA2B95" w:rsidRDefault="00780B69" w:rsidP="00CA2B95">
            <w:pPr>
              <w:spacing w:before="0" w:after="40"/>
              <w:ind w:left="57"/>
            </w:pPr>
            <w:r w:rsidRPr="00CA2B95">
              <w:t>SG3/ME</w:t>
            </w:r>
          </w:p>
        </w:tc>
        <w:tc>
          <w:tcPr>
            <w:tcW w:w="5329" w:type="dxa"/>
            <w:vMerge w:val="restart"/>
          </w:tcPr>
          <w:p w14:paraId="491CC7EF" w14:textId="77777777" w:rsidR="00780B69" w:rsidRPr="00CA2B95" w:rsidRDefault="00780B69" w:rsidP="00CA2B95">
            <w:pPr>
              <w:spacing w:before="40" w:after="40"/>
              <w:ind w:left="57"/>
              <w:rPr>
                <w:b/>
                <w:bCs/>
              </w:rPr>
            </w:pPr>
            <w:bookmarkStart w:id="0" w:name="Addressee_S"/>
            <w:bookmarkEnd w:id="0"/>
            <w:r w:rsidRPr="00CA2B95">
              <w:rPr>
                <w:b/>
                <w:bCs/>
              </w:rPr>
              <w:t>A:</w:t>
            </w:r>
          </w:p>
          <w:p w14:paraId="702F076B" w14:textId="77777777" w:rsidR="007B6316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 w:rsidRPr="00CA2B95">
              <w:t>–</w:t>
            </w:r>
            <w:r w:rsidRPr="00CA2B95">
              <w:tab/>
            </w:r>
            <w:r w:rsidR="007B6316" w:rsidRPr="00CA2B95">
              <w:t>las Administraciones de los Estados Miembros de la Unión</w:t>
            </w:r>
          </w:p>
          <w:p w14:paraId="573C8DC7" w14:textId="52BBD69C" w:rsidR="00780B69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 w:rsidRPr="00CA2B95">
              <w:t>–</w:t>
            </w:r>
            <w:r w:rsidRPr="00CA2B95">
              <w:tab/>
              <w:t xml:space="preserve">los Miembros </w:t>
            </w:r>
            <w:r w:rsidR="00CA2B95" w:rsidRPr="00CA2B95">
              <w:t xml:space="preserve">de </w:t>
            </w:r>
            <w:r w:rsidRPr="00CA2B95">
              <w:t xml:space="preserve">Sector </w:t>
            </w:r>
            <w:r w:rsidR="00CA2B95" w:rsidRPr="00CA2B95">
              <w:t xml:space="preserve">del </w:t>
            </w:r>
            <w:r w:rsidRPr="00CA2B95">
              <w:t>UIT-T</w:t>
            </w:r>
          </w:p>
        </w:tc>
      </w:tr>
      <w:tr w:rsidR="007B6316" w:rsidRPr="00CA2B95" w14:paraId="5A2BE1D2" w14:textId="77777777" w:rsidTr="001003F9">
        <w:trPr>
          <w:cantSplit/>
        </w:trPr>
        <w:tc>
          <w:tcPr>
            <w:tcW w:w="1248" w:type="dxa"/>
          </w:tcPr>
          <w:p w14:paraId="37CBF7D9" w14:textId="77777777" w:rsidR="007B6316" w:rsidRPr="00CA2B95" w:rsidRDefault="007B6316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Tel.:</w:t>
            </w:r>
          </w:p>
        </w:tc>
        <w:tc>
          <w:tcPr>
            <w:tcW w:w="3779" w:type="dxa"/>
            <w:gridSpan w:val="2"/>
          </w:tcPr>
          <w:p w14:paraId="26F010D5" w14:textId="77777777" w:rsidR="007B6316" w:rsidRPr="00CA2B95" w:rsidRDefault="00780B69" w:rsidP="00CA2B95">
            <w:pPr>
              <w:spacing w:before="40" w:after="40"/>
              <w:ind w:left="57"/>
            </w:pPr>
            <w:r w:rsidRPr="00CA2B95">
              <w:t>+41 22 730 5866</w:t>
            </w:r>
          </w:p>
        </w:tc>
        <w:tc>
          <w:tcPr>
            <w:tcW w:w="5329" w:type="dxa"/>
            <w:vMerge/>
          </w:tcPr>
          <w:p w14:paraId="62C27C6A" w14:textId="77777777" w:rsidR="007B6316" w:rsidRPr="00CA2B95" w:rsidRDefault="007B6316" w:rsidP="00CA2B9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CA2B95" w14:paraId="38ECB7D1" w14:textId="77777777" w:rsidTr="001003F9">
        <w:trPr>
          <w:cantSplit/>
        </w:trPr>
        <w:tc>
          <w:tcPr>
            <w:tcW w:w="1248" w:type="dxa"/>
          </w:tcPr>
          <w:p w14:paraId="60832408" w14:textId="77777777" w:rsidR="007B6316" w:rsidRPr="00CA2B95" w:rsidRDefault="007B6316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Fax:</w:t>
            </w:r>
          </w:p>
        </w:tc>
        <w:tc>
          <w:tcPr>
            <w:tcW w:w="3779" w:type="dxa"/>
            <w:gridSpan w:val="2"/>
          </w:tcPr>
          <w:p w14:paraId="220A3295" w14:textId="77777777" w:rsidR="007B6316" w:rsidRPr="00CA2B95" w:rsidRDefault="007B6316" w:rsidP="00CA2B95">
            <w:pPr>
              <w:spacing w:before="40" w:after="40"/>
              <w:ind w:left="57"/>
            </w:pPr>
            <w:r w:rsidRPr="00CA2B95">
              <w:t>+41 22 730 5853</w:t>
            </w:r>
          </w:p>
        </w:tc>
        <w:tc>
          <w:tcPr>
            <w:tcW w:w="5329" w:type="dxa"/>
            <w:vMerge/>
          </w:tcPr>
          <w:p w14:paraId="7C433247" w14:textId="77777777" w:rsidR="007B6316" w:rsidRPr="00CA2B95" w:rsidRDefault="007B6316" w:rsidP="00CA2B9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CA2B95" w14:paraId="4CA54B93" w14:textId="77777777" w:rsidTr="001003F9">
        <w:trPr>
          <w:cantSplit/>
          <w:trHeight w:val="3148"/>
        </w:trPr>
        <w:tc>
          <w:tcPr>
            <w:tcW w:w="1248" w:type="dxa"/>
          </w:tcPr>
          <w:p w14:paraId="6C54A7A9" w14:textId="77777777" w:rsidR="00C34772" w:rsidRPr="00CA2B95" w:rsidRDefault="00C34772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Correo-e:</w:t>
            </w:r>
          </w:p>
        </w:tc>
        <w:tc>
          <w:tcPr>
            <w:tcW w:w="3779" w:type="dxa"/>
            <w:gridSpan w:val="2"/>
          </w:tcPr>
          <w:p w14:paraId="06B0FD54" w14:textId="77777777" w:rsidR="00C34772" w:rsidRPr="00CA2B95" w:rsidRDefault="008D4C7D" w:rsidP="00CA2B95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80B69" w:rsidRPr="00CA2B95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</w:tcPr>
          <w:p w14:paraId="4EF3279A" w14:textId="77777777" w:rsidR="00C34772" w:rsidRPr="00CA2B95" w:rsidRDefault="00C34772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Copia:</w:t>
            </w:r>
          </w:p>
          <w:p w14:paraId="61431F9A" w14:textId="77777777" w:rsidR="00780B69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 w:rsidRPr="00CA2B95">
              <w:t>–</w:t>
            </w:r>
            <w:r w:rsidRPr="00CA2B95">
              <w:tab/>
            </w:r>
            <w:r w:rsidR="00B803D2" w:rsidRPr="00CA2B95">
              <w:t xml:space="preserve">a los </w:t>
            </w:r>
            <w:r w:rsidRPr="00CA2B95">
              <w:t>Asociados de la Comisión de Estudio 3 del</w:t>
            </w:r>
            <w:r w:rsidR="00E40950" w:rsidRPr="00CA2B95">
              <w:t> </w:t>
            </w:r>
            <w:r w:rsidRPr="00CA2B95">
              <w:t>UIT-T;</w:t>
            </w:r>
          </w:p>
          <w:p w14:paraId="67203CEC" w14:textId="77777777" w:rsidR="00780B69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 w:rsidRPr="00CA2B95">
              <w:t>–</w:t>
            </w:r>
            <w:r w:rsidRPr="00CA2B95">
              <w:tab/>
            </w:r>
            <w:r w:rsidR="00B803D2" w:rsidRPr="00CA2B95">
              <w:t xml:space="preserve">a las </w:t>
            </w:r>
            <w:r w:rsidRPr="00CA2B95">
              <w:t>Instituciones Académicas de la UIT;</w:t>
            </w:r>
          </w:p>
          <w:p w14:paraId="5ACE0BBD" w14:textId="77777777" w:rsidR="00780B69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 w:rsidRPr="00CA2B95">
              <w:t>–</w:t>
            </w:r>
            <w:r w:rsidRPr="00CA2B95">
              <w:tab/>
            </w:r>
            <w:r w:rsidR="00B803D2" w:rsidRPr="00CA2B95">
              <w:t xml:space="preserve">al </w:t>
            </w:r>
            <w:r w:rsidRPr="00CA2B95">
              <w:t>Presidente y Vicepresidentes de la Comisión de Estudio 3 del UIT-T;</w:t>
            </w:r>
          </w:p>
          <w:p w14:paraId="2DA541FB" w14:textId="77777777" w:rsidR="00780B69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 w:rsidRPr="00CA2B95">
              <w:t>–</w:t>
            </w:r>
            <w:r w:rsidRPr="00CA2B95">
              <w:tab/>
            </w:r>
            <w:r w:rsidR="00B803D2" w:rsidRPr="00CA2B95">
              <w:t xml:space="preserve">a la </w:t>
            </w:r>
            <w:r w:rsidRPr="00CA2B95">
              <w:t>Directora de la Oficina de Desarrollo de las Telecomunicaciones;</w:t>
            </w:r>
          </w:p>
          <w:p w14:paraId="37E0F860" w14:textId="77777777" w:rsidR="00C34772" w:rsidRPr="00CA2B95" w:rsidRDefault="00780B69" w:rsidP="00CA2B95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 w:rsidRPr="00CA2B95">
              <w:t>–</w:t>
            </w:r>
            <w:r w:rsidRPr="00CA2B95">
              <w:tab/>
            </w:r>
            <w:r w:rsidR="00B803D2" w:rsidRPr="00CA2B95">
              <w:t xml:space="preserve">al </w:t>
            </w:r>
            <w:r w:rsidRPr="00CA2B95">
              <w:t>Director de la Oficina de Radiocomunicaciones</w:t>
            </w:r>
          </w:p>
        </w:tc>
      </w:tr>
      <w:tr w:rsidR="007B6316" w:rsidRPr="00CA2B95" w14:paraId="540DA283" w14:textId="77777777" w:rsidTr="001003F9">
        <w:trPr>
          <w:cantSplit/>
        </w:trPr>
        <w:tc>
          <w:tcPr>
            <w:tcW w:w="1248" w:type="dxa"/>
          </w:tcPr>
          <w:p w14:paraId="7C5111ED" w14:textId="77777777" w:rsidR="007B6316" w:rsidRPr="00CA2B95" w:rsidRDefault="007B6316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Asunto:</w:t>
            </w:r>
          </w:p>
        </w:tc>
        <w:tc>
          <w:tcPr>
            <w:tcW w:w="9108" w:type="dxa"/>
            <w:gridSpan w:val="3"/>
          </w:tcPr>
          <w:p w14:paraId="4D29B4E5" w14:textId="0D8F1A8F" w:rsidR="007B6316" w:rsidRPr="00CA2B95" w:rsidRDefault="00CC723C" w:rsidP="00CA2B95">
            <w:pPr>
              <w:spacing w:before="40" w:after="40"/>
              <w:ind w:left="57"/>
              <w:rPr>
                <w:b/>
                <w:bCs/>
              </w:rPr>
            </w:pPr>
            <w:r w:rsidRPr="00CA2B95">
              <w:rPr>
                <w:b/>
                <w:bCs/>
              </w:rPr>
              <w:t>Cuestionario sobre la solución de controversias entre los operadores de telecomunicaciones y los proveedores de OTT</w:t>
            </w:r>
          </w:p>
        </w:tc>
      </w:tr>
    </w:tbl>
    <w:p w14:paraId="2A2055F4" w14:textId="77777777" w:rsidR="00C34772" w:rsidRPr="00CA2B95" w:rsidRDefault="00C34772" w:rsidP="001003F9">
      <w:pPr>
        <w:pStyle w:val="Normalaftertitle"/>
        <w:spacing w:before="240" w:after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A2B95">
        <w:t>Muy Señora mía/Muy Seño</w:t>
      </w:r>
      <w:r w:rsidR="005A0984" w:rsidRPr="00CA2B95">
        <w:t>r mío,</w:t>
      </w:r>
    </w:p>
    <w:p w14:paraId="135123D2" w14:textId="25216CFA" w:rsidR="000049A1" w:rsidRPr="0030128F" w:rsidRDefault="00780B69" w:rsidP="00CA2B95">
      <w:pPr>
        <w:spacing w:before="0" w:after="120"/>
        <w:rPr>
          <w:rFonts w:cstheme="minorHAnsi"/>
        </w:rPr>
      </w:pPr>
      <w:r w:rsidRPr="00CA2B95">
        <w:t>1</w:t>
      </w:r>
      <w:bookmarkStart w:id="4" w:name="lt_pId049"/>
      <w:r w:rsidR="00CC723C" w:rsidRPr="00CA2B95">
        <w:tab/>
      </w:r>
      <w:bookmarkEnd w:id="4"/>
      <w:r w:rsidR="000049A1" w:rsidRPr="00CA2B95">
        <w:t xml:space="preserve">La Comisión de Estudio 3 del UIT-T (Principios de tarificación y contabilidad y temas relativos a la economía y la política de las telecomunicaciones/TIC internacionales), </w:t>
      </w:r>
      <w:r w:rsidR="00CA2B95" w:rsidRPr="00CA2B95">
        <w:t xml:space="preserve">celebró su quinta reunión del </w:t>
      </w:r>
      <w:r w:rsidR="00CA2B95" w:rsidRPr="0030128F">
        <w:rPr>
          <w:rFonts w:cstheme="minorHAnsi"/>
        </w:rPr>
        <w:t xml:space="preserve">actual periodo de estudios (2017-2020), en formato plenamente virtual, </w:t>
      </w:r>
      <w:r w:rsidR="000049A1" w:rsidRPr="0030128F">
        <w:rPr>
          <w:rFonts w:cstheme="minorHAnsi"/>
        </w:rPr>
        <w:t>del 24</w:t>
      </w:r>
      <w:r w:rsidR="0030128F">
        <w:rPr>
          <w:rFonts w:cstheme="minorHAnsi"/>
        </w:rPr>
        <w:t> </w:t>
      </w:r>
      <w:r w:rsidR="000049A1" w:rsidRPr="0030128F">
        <w:rPr>
          <w:rFonts w:cstheme="minorHAnsi"/>
        </w:rPr>
        <w:t>al 28 de agosto de 2020.</w:t>
      </w:r>
    </w:p>
    <w:p w14:paraId="67A10306" w14:textId="12F128A8" w:rsidR="00CA2B95" w:rsidRPr="00CA2B95" w:rsidRDefault="00CC723C" w:rsidP="00CA2B95">
      <w:pPr>
        <w:tabs>
          <w:tab w:val="left" w:pos="6237"/>
        </w:tabs>
        <w:spacing w:before="0" w:after="120"/>
        <w:rPr>
          <w:rFonts w:cstheme="minorHAnsi"/>
        </w:rPr>
      </w:pPr>
      <w:r w:rsidRPr="00CA2B95">
        <w:rPr>
          <w:rFonts w:cstheme="minorHAnsi"/>
        </w:rPr>
        <w:t>2</w:t>
      </w:r>
      <w:r w:rsidRPr="00CA2B95">
        <w:rPr>
          <w:rFonts w:cstheme="minorHAnsi"/>
        </w:rPr>
        <w:tab/>
      </w:r>
      <w:r w:rsidR="00CA2B95" w:rsidRPr="00CA2B95">
        <w:rPr>
          <w:rFonts w:cstheme="minorHAnsi"/>
        </w:rPr>
        <w:t>En el marco de la Cuestión 2/3 (Establecimiento de mecanismos de tasación y contabilidad/liquidación para los servicios de telecomunicaciones internacionales distintos de los examinados en la Cuestión 1/3, incluida la adaptación de las Recomendaciones existentes de la serie D a la evolución de las necesidades del usuario), la reunión acordó enviar un cuestionario sobre la solución de controversias entre los operadores de telecomunicaciones y los proveedores de OTT.</w:t>
      </w:r>
    </w:p>
    <w:p w14:paraId="73A35C75" w14:textId="7D999F39" w:rsidR="00CC723C" w:rsidRPr="00CA2B95" w:rsidRDefault="00CC723C" w:rsidP="00CA2B95">
      <w:pPr>
        <w:spacing w:before="0" w:after="120"/>
        <w:rPr>
          <w:rFonts w:cstheme="minorHAnsi"/>
        </w:rPr>
      </w:pPr>
      <w:r w:rsidRPr="00CA2B95">
        <w:rPr>
          <w:rFonts w:cstheme="minorHAnsi"/>
        </w:rPr>
        <w:t>3</w:t>
      </w:r>
      <w:r w:rsidRPr="00CA2B95">
        <w:rPr>
          <w:rFonts w:cstheme="minorHAnsi"/>
        </w:rPr>
        <w:tab/>
      </w:r>
      <w:bookmarkStart w:id="5" w:name="lt_pId053"/>
      <w:r w:rsidR="00CA2B95" w:rsidRPr="00CA2B95">
        <w:rPr>
          <w:rFonts w:cstheme="minorHAnsi"/>
        </w:rPr>
        <w:t>Dicho cuestionario puede consultarse en la dirección</w:t>
      </w:r>
      <w:r w:rsidRPr="00CA2B95">
        <w:rPr>
          <w:rFonts w:cstheme="minorHAnsi"/>
        </w:rPr>
        <w:t xml:space="preserve">: </w:t>
      </w:r>
      <w:hyperlink r:id="rId10" w:history="1">
        <w:r w:rsidRPr="00CA2B95">
          <w:rPr>
            <w:rStyle w:val="Hyperlink"/>
            <w:rFonts w:cstheme="minorHAnsi"/>
          </w:rPr>
          <w:t>https://www.research.net/r/VP63QPF</w:t>
        </w:r>
      </w:hyperlink>
      <w:r w:rsidRPr="00CA2B95">
        <w:rPr>
          <w:rFonts w:cstheme="minorHAnsi"/>
        </w:rPr>
        <w:t>.</w:t>
      </w:r>
      <w:bookmarkEnd w:id="5"/>
    </w:p>
    <w:p w14:paraId="5D1EDAB4" w14:textId="5912FB02" w:rsidR="00CC723C" w:rsidRPr="0030128F" w:rsidRDefault="00CC723C" w:rsidP="00CA2B95">
      <w:pPr>
        <w:spacing w:before="0" w:after="120"/>
      </w:pPr>
      <w:r w:rsidRPr="00CA2B95">
        <w:rPr>
          <w:rFonts w:cstheme="minorHAnsi"/>
        </w:rPr>
        <w:t>4</w:t>
      </w:r>
      <w:r w:rsidRPr="00CA2B95">
        <w:rPr>
          <w:rFonts w:cstheme="minorHAnsi"/>
        </w:rPr>
        <w:tab/>
      </w:r>
      <w:r w:rsidR="000049A1" w:rsidRPr="00CA2B95">
        <w:t xml:space="preserve">Se ruega a los Estados Miembros </w:t>
      </w:r>
      <w:r w:rsidR="00CA2B95">
        <w:t xml:space="preserve">y a los Miembros de Sector del UIT-T </w:t>
      </w:r>
      <w:r w:rsidR="000049A1" w:rsidRPr="00CA2B95">
        <w:t xml:space="preserve">que completen </w:t>
      </w:r>
      <w:r w:rsidR="00CA2B95">
        <w:t>el cuestionario</w:t>
      </w:r>
      <w:r w:rsidR="000049A1" w:rsidRPr="00CA2B95">
        <w:t xml:space="preserve"> </w:t>
      </w:r>
      <w:r w:rsidR="00CA2B95">
        <w:t>hasta</w:t>
      </w:r>
      <w:r w:rsidR="000049A1" w:rsidRPr="00CA2B95">
        <w:t xml:space="preserve"> las 23.59 horas UTC del </w:t>
      </w:r>
      <w:r w:rsidR="000049A1" w:rsidRPr="00CA2B95">
        <w:rPr>
          <w:b/>
          <w:bCs/>
        </w:rPr>
        <w:t>1 de diciembre de 20</w:t>
      </w:r>
      <w:r w:rsidR="00CA2B95">
        <w:rPr>
          <w:b/>
          <w:bCs/>
        </w:rPr>
        <w:t>20</w:t>
      </w:r>
      <w:r w:rsidR="000049A1" w:rsidRPr="00CA2B95">
        <w:t>.</w:t>
      </w:r>
    </w:p>
    <w:p w14:paraId="57957720" w14:textId="77777777" w:rsidR="0030128F" w:rsidRDefault="003012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6A3F3315" w14:textId="0E5E6D58" w:rsidR="00780B69" w:rsidRPr="00CA2B95" w:rsidRDefault="00CC723C" w:rsidP="00CA2B95">
      <w:r w:rsidRPr="00CA2B95">
        <w:rPr>
          <w:rFonts w:cstheme="minorHAnsi"/>
        </w:rPr>
        <w:lastRenderedPageBreak/>
        <w:t>5</w:t>
      </w:r>
      <w:r w:rsidRPr="00CA2B95">
        <w:rPr>
          <w:rFonts w:cstheme="minorHAnsi"/>
        </w:rPr>
        <w:tab/>
      </w:r>
      <w:r w:rsidR="000049A1" w:rsidRPr="00CA2B95">
        <w:t xml:space="preserve">Cuento con su cooperación para </w:t>
      </w:r>
      <w:r w:rsidR="00CA2B95">
        <w:t xml:space="preserve">velar por </w:t>
      </w:r>
      <w:r w:rsidR="000049A1" w:rsidRPr="00CA2B95">
        <w:t xml:space="preserve">que las respuestas se reciban antes del plazo indicado, pues su examen está previsto para la próxima reunión del Grupo de Relator sobre la Cuestión </w:t>
      </w:r>
      <w:r w:rsidR="00CA2B95">
        <w:t>2</w:t>
      </w:r>
      <w:r w:rsidR="000049A1" w:rsidRPr="00CA2B95">
        <w:t>/3 de la Comisión de Estudio 3, que se celebrará del 1</w:t>
      </w:r>
      <w:r w:rsidR="00CA2B95">
        <w:t>8</w:t>
      </w:r>
      <w:r w:rsidR="000049A1" w:rsidRPr="00CA2B95">
        <w:t xml:space="preserve"> al </w:t>
      </w:r>
      <w:r w:rsidR="00CA2B95">
        <w:t>22</w:t>
      </w:r>
      <w:r w:rsidR="000049A1" w:rsidRPr="00CA2B95">
        <w:t xml:space="preserve"> de enero de 202</w:t>
      </w:r>
      <w:r w:rsidR="00CA2B95">
        <w:t>1</w:t>
      </w:r>
      <w:r w:rsidR="000049A1" w:rsidRPr="00CA2B95">
        <w:t>.</w:t>
      </w:r>
    </w:p>
    <w:p w14:paraId="2B61DBE5" w14:textId="19C821B8" w:rsidR="007B6316" w:rsidRPr="00CA2B95" w:rsidRDefault="007B6316" w:rsidP="00CA2B95">
      <w:r w:rsidRPr="00CA2B95">
        <w:t>Atentamente,</w:t>
      </w:r>
    </w:p>
    <w:p w14:paraId="29E0D296" w14:textId="2DC2517B" w:rsidR="007B6316" w:rsidRPr="00CA2B95" w:rsidRDefault="008D4C7D" w:rsidP="001003F9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CDF58" wp14:editId="29EC6081">
            <wp:simplePos x="0" y="0"/>
            <wp:positionH relativeFrom="column">
              <wp:posOffset>-2540</wp:posOffset>
            </wp:positionH>
            <wp:positionV relativeFrom="paragraph">
              <wp:posOffset>154940</wp:posOffset>
            </wp:positionV>
            <wp:extent cx="754305" cy="339725"/>
            <wp:effectExtent l="0" t="0" r="8255" b="3175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CA2B95">
        <w:t>Chaesub Lee</w:t>
      </w:r>
      <w:r w:rsidR="007B6316" w:rsidRPr="00CA2B95">
        <w:br/>
      </w:r>
      <w:proofErr w:type="gramStart"/>
      <w:r w:rsidR="007B6316" w:rsidRPr="00CA2B95">
        <w:t>Director</w:t>
      </w:r>
      <w:proofErr w:type="gramEnd"/>
      <w:r w:rsidR="007B6316" w:rsidRPr="00CA2B95">
        <w:t xml:space="preserve"> de la Oficina de </w:t>
      </w:r>
      <w:r w:rsidR="007B6316" w:rsidRPr="00CA2B95">
        <w:br/>
        <w:t>Normalización de las Telecomunicaciones</w:t>
      </w:r>
    </w:p>
    <w:p w14:paraId="7D2100E9" w14:textId="77777777" w:rsidR="0058679E" w:rsidRPr="00CA2B95" w:rsidRDefault="0058679E" w:rsidP="00CA2B95">
      <w:pPr>
        <w:spacing w:before="0"/>
      </w:pPr>
    </w:p>
    <w:sectPr w:rsidR="0058679E" w:rsidRPr="00CA2B95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CFA8" w14:textId="77777777" w:rsidR="007638DA" w:rsidRDefault="007638DA">
      <w:r>
        <w:separator/>
      </w:r>
    </w:p>
  </w:endnote>
  <w:endnote w:type="continuationSeparator" w:id="0">
    <w:p w14:paraId="53A0F1AF" w14:textId="77777777" w:rsidR="007638DA" w:rsidRDefault="007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DF2C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780B69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FE6BB" w14:textId="77777777" w:rsidR="007638DA" w:rsidRDefault="007638DA">
      <w:r>
        <w:t>____________________</w:t>
      </w:r>
    </w:p>
  </w:footnote>
  <w:footnote w:type="continuationSeparator" w:id="0">
    <w:p w14:paraId="540B971E" w14:textId="77777777" w:rsidR="007638DA" w:rsidRDefault="0076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94F5" w14:textId="77777777" w:rsidR="00B803D2" w:rsidRPr="004C58BA" w:rsidRDefault="008D4C7D" w:rsidP="00B803D2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925458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03D2" w:rsidRPr="004C58BA">
          <w:rPr>
            <w:rFonts w:ascii="Calibri" w:hAnsi="Calibri"/>
            <w:noProof/>
            <w:sz w:val="18"/>
            <w:lang w:val="en-GB"/>
          </w:rPr>
          <w:t>-</w:t>
        </w:r>
        <w:r w:rsidR="00B803D2" w:rsidRPr="004C58BA">
          <w:rPr>
            <w:rFonts w:ascii="Calibri" w:hAnsi="Calibri"/>
            <w:sz w:val="18"/>
            <w:lang w:val="en-GB"/>
          </w:rPr>
          <w:t xml:space="preserve"> </w:t>
        </w:r>
        <w:r w:rsidR="00B803D2" w:rsidRPr="004C58BA">
          <w:rPr>
            <w:rFonts w:ascii="Calibri" w:hAnsi="Calibri"/>
            <w:sz w:val="18"/>
            <w:lang w:val="en-GB"/>
          </w:rPr>
          <w:fldChar w:fldCharType="begin"/>
        </w:r>
        <w:r w:rsidR="00B803D2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B803D2" w:rsidRPr="004C58BA">
          <w:rPr>
            <w:rFonts w:ascii="Calibri" w:hAnsi="Calibri"/>
            <w:sz w:val="18"/>
            <w:lang w:val="en-GB"/>
          </w:rPr>
          <w:fldChar w:fldCharType="separate"/>
        </w:r>
        <w:r w:rsidR="00E365D4">
          <w:rPr>
            <w:rFonts w:ascii="Calibri" w:hAnsi="Calibri"/>
            <w:noProof/>
            <w:sz w:val="18"/>
            <w:lang w:val="en-GB"/>
          </w:rPr>
          <w:t>6</w:t>
        </w:r>
        <w:r w:rsidR="00B803D2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B803D2" w:rsidRPr="004C58BA">
      <w:rPr>
        <w:rFonts w:ascii="Calibri" w:hAnsi="Calibri"/>
        <w:noProof/>
        <w:sz w:val="18"/>
        <w:lang w:val="en-GB"/>
      </w:rPr>
      <w:t xml:space="preserve"> -</w:t>
    </w:r>
  </w:p>
  <w:p w14:paraId="7AB446C1" w14:textId="64855C60" w:rsidR="006969B4" w:rsidRPr="00B803D2" w:rsidRDefault="00B803D2" w:rsidP="00B803D2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0049A1">
      <w:rPr>
        <w:rFonts w:ascii="Calibri" w:hAnsi="Calibri"/>
        <w:noProof/>
        <w:sz w:val="18"/>
        <w:lang w:val="en-GB"/>
      </w:rPr>
      <w:t>265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DA"/>
    <w:rsid w:val="00002529"/>
    <w:rsid w:val="000049A1"/>
    <w:rsid w:val="00085662"/>
    <w:rsid w:val="00085FC0"/>
    <w:rsid w:val="000B1FB6"/>
    <w:rsid w:val="000C382F"/>
    <w:rsid w:val="000D3EF0"/>
    <w:rsid w:val="001003F9"/>
    <w:rsid w:val="001173CC"/>
    <w:rsid w:val="0014464D"/>
    <w:rsid w:val="001A54CC"/>
    <w:rsid w:val="001C432A"/>
    <w:rsid w:val="0023433F"/>
    <w:rsid w:val="00240833"/>
    <w:rsid w:val="00257FB4"/>
    <w:rsid w:val="002E496E"/>
    <w:rsid w:val="0030128F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8679E"/>
    <w:rsid w:val="005A0984"/>
    <w:rsid w:val="005F0E3B"/>
    <w:rsid w:val="00605733"/>
    <w:rsid w:val="006969B4"/>
    <w:rsid w:val="006B5628"/>
    <w:rsid w:val="006C7328"/>
    <w:rsid w:val="006E4F7B"/>
    <w:rsid w:val="006F7A76"/>
    <w:rsid w:val="00756C01"/>
    <w:rsid w:val="007638DA"/>
    <w:rsid w:val="00780B69"/>
    <w:rsid w:val="00781E2A"/>
    <w:rsid w:val="007933A2"/>
    <w:rsid w:val="007B6316"/>
    <w:rsid w:val="00812780"/>
    <w:rsid w:val="00814503"/>
    <w:rsid w:val="00821FC9"/>
    <w:rsid w:val="008258C2"/>
    <w:rsid w:val="008505BD"/>
    <w:rsid w:val="00850C78"/>
    <w:rsid w:val="00876165"/>
    <w:rsid w:val="00884D12"/>
    <w:rsid w:val="008C17AD"/>
    <w:rsid w:val="008D02CD"/>
    <w:rsid w:val="008D4C7D"/>
    <w:rsid w:val="0091370C"/>
    <w:rsid w:val="0095172A"/>
    <w:rsid w:val="009A0BA0"/>
    <w:rsid w:val="009E7E35"/>
    <w:rsid w:val="00A54E47"/>
    <w:rsid w:val="00AB6E3A"/>
    <w:rsid w:val="00AE7093"/>
    <w:rsid w:val="00B422BC"/>
    <w:rsid w:val="00B43F77"/>
    <w:rsid w:val="00B55A3E"/>
    <w:rsid w:val="00B803D2"/>
    <w:rsid w:val="00B87E9E"/>
    <w:rsid w:val="00B95F0A"/>
    <w:rsid w:val="00B96180"/>
    <w:rsid w:val="00C116FE"/>
    <w:rsid w:val="00C17AC0"/>
    <w:rsid w:val="00C34772"/>
    <w:rsid w:val="00C533C3"/>
    <w:rsid w:val="00C5465A"/>
    <w:rsid w:val="00CA2B95"/>
    <w:rsid w:val="00CC4866"/>
    <w:rsid w:val="00CC723C"/>
    <w:rsid w:val="00CE169C"/>
    <w:rsid w:val="00D54642"/>
    <w:rsid w:val="00DB2B1E"/>
    <w:rsid w:val="00DD77C9"/>
    <w:rsid w:val="00DF3538"/>
    <w:rsid w:val="00E365D4"/>
    <w:rsid w:val="00E40950"/>
    <w:rsid w:val="00E679A4"/>
    <w:rsid w:val="00E839B0"/>
    <w:rsid w:val="00E92C09"/>
    <w:rsid w:val="00F14380"/>
    <w:rsid w:val="00F6461F"/>
    <w:rsid w:val="00F9764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DE7B33F"/>
  <w15:docId w15:val="{72A589BC-A753-4232-885F-4A2F704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780B69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80B69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8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E7E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VP63Q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EF5-A450-456C-8FB4-C5F5AB23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2020-09-18T07:14:00Z</cp:lastPrinted>
  <dcterms:created xsi:type="dcterms:W3CDTF">2020-09-09T08:13:00Z</dcterms:created>
  <dcterms:modified xsi:type="dcterms:W3CDTF">2020-09-18T07:15:00Z</dcterms:modified>
</cp:coreProperties>
</file>