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839A888" w14:textId="77777777" w:rsidTr="004B50B2">
        <w:trPr>
          <w:trHeight w:val="1282"/>
          <w:jc w:val="center"/>
        </w:trPr>
        <w:tc>
          <w:tcPr>
            <w:tcW w:w="1276" w:type="dxa"/>
            <w:gridSpan w:val="2"/>
            <w:shd w:val="clear" w:color="auto" w:fill="auto"/>
            <w:tcMar>
              <w:left w:w="0" w:type="dxa"/>
              <w:right w:w="0" w:type="dxa"/>
            </w:tcMar>
            <w:vAlign w:val="center"/>
          </w:tcPr>
          <w:p w14:paraId="075BF139" w14:textId="77777777" w:rsidR="00852B82" w:rsidRPr="00D7384A" w:rsidRDefault="00607E07" w:rsidP="002A4977">
            <w:pPr>
              <w:pStyle w:val="Tabletext"/>
              <w:jc w:val="center"/>
            </w:pPr>
            <w:r>
              <w:rPr>
                <w:noProof/>
                <w:lang w:eastAsia="en-GB"/>
              </w:rPr>
              <w:drawing>
                <wp:inline distT="0" distB="0" distL="0" distR="0" wp14:anchorId="1EC3E033" wp14:editId="5B7CCBE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D41C436"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F1147C7"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24FB5005" w14:textId="77777777" w:rsidR="00852B82" w:rsidRPr="00D7384A" w:rsidRDefault="00852B82" w:rsidP="002A4977">
            <w:pPr>
              <w:spacing w:before="0"/>
              <w:jc w:val="right"/>
              <w:rPr>
                <w:rFonts w:ascii="Verdana" w:hAnsi="Verdana"/>
                <w:color w:val="FFFFFF"/>
                <w:sz w:val="26"/>
                <w:szCs w:val="26"/>
              </w:rPr>
            </w:pPr>
          </w:p>
        </w:tc>
      </w:tr>
      <w:tr w:rsidR="00852B82" w:rsidRPr="00D7384A" w14:paraId="1FD818D8" w14:textId="77777777" w:rsidTr="001F3BDD">
        <w:trPr>
          <w:trHeight w:val="80"/>
          <w:jc w:val="center"/>
        </w:trPr>
        <w:tc>
          <w:tcPr>
            <w:tcW w:w="4962" w:type="dxa"/>
            <w:gridSpan w:val="3"/>
            <w:vAlign w:val="center"/>
          </w:tcPr>
          <w:p w14:paraId="370345A5" w14:textId="77777777" w:rsidR="00852B82" w:rsidRPr="00D7384A" w:rsidRDefault="00852B82" w:rsidP="001F3BDD">
            <w:pPr>
              <w:pStyle w:val="Tabletext"/>
              <w:spacing w:after="60"/>
              <w:jc w:val="right"/>
            </w:pPr>
          </w:p>
        </w:tc>
        <w:tc>
          <w:tcPr>
            <w:tcW w:w="4819" w:type="dxa"/>
            <w:gridSpan w:val="2"/>
            <w:vAlign w:val="center"/>
          </w:tcPr>
          <w:p w14:paraId="1393956C" w14:textId="0DF2F9B3" w:rsidR="00852B82" w:rsidRPr="00D7384A" w:rsidRDefault="00691DAA" w:rsidP="00067FDC">
            <w:pPr>
              <w:pStyle w:val="Tabletext"/>
              <w:spacing w:before="120" w:after="60"/>
            </w:pPr>
            <w:r w:rsidRPr="00E901A9">
              <w:t xml:space="preserve">Geneva, </w:t>
            </w:r>
            <w:r w:rsidR="00E901A9" w:rsidRPr="00E901A9">
              <w:t>01 September</w:t>
            </w:r>
            <w:r w:rsidR="00A21457" w:rsidRPr="00E901A9">
              <w:t xml:space="preserve"> 2020</w:t>
            </w:r>
          </w:p>
        </w:tc>
      </w:tr>
      <w:tr w:rsidR="00852B82" w:rsidRPr="00D7384A" w14:paraId="555BD072" w14:textId="77777777" w:rsidTr="001F3BDD">
        <w:trPr>
          <w:trHeight w:val="746"/>
          <w:jc w:val="center"/>
        </w:trPr>
        <w:tc>
          <w:tcPr>
            <w:tcW w:w="1134" w:type="dxa"/>
          </w:tcPr>
          <w:p w14:paraId="403DCA52" w14:textId="77777777" w:rsidR="00852B82" w:rsidRPr="00D7384A" w:rsidRDefault="00691DAA" w:rsidP="002A4977">
            <w:pPr>
              <w:pStyle w:val="Tabletext"/>
            </w:pPr>
            <w:r w:rsidRPr="00D7384A">
              <w:rPr>
                <w:b/>
              </w:rPr>
              <w:t>Ref:</w:t>
            </w:r>
          </w:p>
        </w:tc>
        <w:tc>
          <w:tcPr>
            <w:tcW w:w="3828" w:type="dxa"/>
            <w:gridSpan w:val="2"/>
          </w:tcPr>
          <w:p w14:paraId="1D8779F1" w14:textId="1A2298EB" w:rsidR="00852B82" w:rsidRPr="00002BC4" w:rsidRDefault="00691DAA" w:rsidP="002A4977">
            <w:pPr>
              <w:pStyle w:val="Tabletext"/>
              <w:rPr>
                <w:b/>
                <w:bCs/>
                <w:lang w:val="es-ES"/>
              </w:rPr>
            </w:pPr>
            <w:r w:rsidRPr="00002BC4">
              <w:rPr>
                <w:b/>
                <w:bCs/>
                <w:lang w:val="es-ES"/>
              </w:rPr>
              <w:t>TSB Circula</w:t>
            </w:r>
            <w:r w:rsidRPr="00C61AED">
              <w:rPr>
                <w:b/>
                <w:bCs/>
                <w:lang w:val="es-ES"/>
              </w:rPr>
              <w:t xml:space="preserve">r </w:t>
            </w:r>
            <w:r w:rsidR="00C61AED" w:rsidRPr="00C61AED">
              <w:rPr>
                <w:b/>
                <w:bCs/>
                <w:lang w:val="es-ES"/>
              </w:rPr>
              <w:t>267</w:t>
            </w:r>
          </w:p>
          <w:p w14:paraId="715DD755" w14:textId="27C804F7" w:rsidR="00852B82" w:rsidRPr="00002BC4" w:rsidRDefault="00F763C8" w:rsidP="002A4977">
            <w:pPr>
              <w:pStyle w:val="Tabletext"/>
              <w:rPr>
                <w:lang w:val="es-ES"/>
              </w:rPr>
            </w:pPr>
            <w:r w:rsidRPr="00002BC4">
              <w:rPr>
                <w:lang w:val="es-ES"/>
              </w:rPr>
              <w:t>SG</w:t>
            </w:r>
            <w:r w:rsidR="00A21457" w:rsidRPr="00002BC4">
              <w:rPr>
                <w:lang w:val="es-ES"/>
              </w:rPr>
              <w:t>20</w:t>
            </w:r>
            <w:r w:rsidR="00691DAA" w:rsidRPr="00002BC4">
              <w:rPr>
                <w:lang w:val="es-ES"/>
              </w:rPr>
              <w:t>/</w:t>
            </w:r>
            <w:r w:rsidR="00A21457" w:rsidRPr="00002BC4">
              <w:rPr>
                <w:lang w:val="es-ES"/>
              </w:rPr>
              <w:t>CB</w:t>
            </w:r>
          </w:p>
        </w:tc>
        <w:tc>
          <w:tcPr>
            <w:tcW w:w="4819" w:type="dxa"/>
            <w:gridSpan w:val="2"/>
            <w:vMerge w:val="restart"/>
          </w:tcPr>
          <w:p w14:paraId="381ACE57" w14:textId="77777777" w:rsidR="00852B82" w:rsidRPr="00D7384A" w:rsidRDefault="00691DAA" w:rsidP="002A4977">
            <w:pPr>
              <w:pStyle w:val="Tabletext"/>
            </w:pPr>
            <w:r w:rsidRPr="00D7384A">
              <w:rPr>
                <w:b/>
              </w:rPr>
              <w:t>To:</w:t>
            </w:r>
          </w:p>
          <w:p w14:paraId="776AC02F" w14:textId="77777777"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14:paraId="3CC8E120" w14:textId="77777777" w:rsidTr="001F3BDD">
        <w:trPr>
          <w:trHeight w:val="221"/>
          <w:jc w:val="center"/>
        </w:trPr>
        <w:tc>
          <w:tcPr>
            <w:tcW w:w="1134" w:type="dxa"/>
          </w:tcPr>
          <w:p w14:paraId="3E588B8B" w14:textId="77777777" w:rsidR="00852B82" w:rsidRPr="00D7384A" w:rsidRDefault="00691DAA" w:rsidP="002A4977">
            <w:pPr>
              <w:pStyle w:val="Tabletext"/>
            </w:pPr>
            <w:r w:rsidRPr="00D7384A">
              <w:rPr>
                <w:b/>
              </w:rPr>
              <w:t>Tel:</w:t>
            </w:r>
          </w:p>
        </w:tc>
        <w:tc>
          <w:tcPr>
            <w:tcW w:w="3828" w:type="dxa"/>
            <w:gridSpan w:val="2"/>
          </w:tcPr>
          <w:p w14:paraId="65EE1D13" w14:textId="052C7C57" w:rsidR="00852B82" w:rsidRPr="00D7384A" w:rsidRDefault="00691DAA" w:rsidP="003D4331">
            <w:pPr>
              <w:pStyle w:val="Tabletext"/>
              <w:rPr>
                <w:b/>
              </w:rPr>
            </w:pPr>
            <w:r w:rsidRPr="00D7384A">
              <w:t xml:space="preserve">+41 22 730 </w:t>
            </w:r>
            <w:r w:rsidR="00A21457">
              <w:t>6301</w:t>
            </w:r>
          </w:p>
        </w:tc>
        <w:tc>
          <w:tcPr>
            <w:tcW w:w="4819" w:type="dxa"/>
            <w:gridSpan w:val="2"/>
            <w:vMerge/>
          </w:tcPr>
          <w:p w14:paraId="7ADE49F9" w14:textId="77777777" w:rsidR="00852B82" w:rsidRPr="00D7384A" w:rsidRDefault="00852B82" w:rsidP="002A4977">
            <w:pPr>
              <w:pStyle w:val="Tabletext"/>
              <w:ind w:left="142" w:hanging="142"/>
            </w:pPr>
          </w:p>
        </w:tc>
      </w:tr>
      <w:tr w:rsidR="00852B82" w:rsidRPr="00D7384A" w14:paraId="66027FBD" w14:textId="77777777" w:rsidTr="001F3BDD">
        <w:trPr>
          <w:trHeight w:val="282"/>
          <w:jc w:val="center"/>
        </w:trPr>
        <w:tc>
          <w:tcPr>
            <w:tcW w:w="1134" w:type="dxa"/>
          </w:tcPr>
          <w:p w14:paraId="01715249" w14:textId="77777777" w:rsidR="00852B82" w:rsidRPr="00D7384A" w:rsidRDefault="00691DAA" w:rsidP="002A4977">
            <w:pPr>
              <w:pStyle w:val="Tabletext"/>
            </w:pPr>
            <w:r w:rsidRPr="00D7384A">
              <w:rPr>
                <w:b/>
              </w:rPr>
              <w:t>Fax:</w:t>
            </w:r>
          </w:p>
        </w:tc>
        <w:tc>
          <w:tcPr>
            <w:tcW w:w="3828" w:type="dxa"/>
            <w:gridSpan w:val="2"/>
          </w:tcPr>
          <w:p w14:paraId="736E5CD5" w14:textId="77777777" w:rsidR="00852B82" w:rsidRPr="00D7384A" w:rsidRDefault="00691DAA" w:rsidP="002A4977">
            <w:pPr>
              <w:pStyle w:val="Tabletext"/>
              <w:rPr>
                <w:b/>
              </w:rPr>
            </w:pPr>
            <w:r w:rsidRPr="00D7384A">
              <w:t>+41 22 730 5853</w:t>
            </w:r>
          </w:p>
        </w:tc>
        <w:tc>
          <w:tcPr>
            <w:tcW w:w="4819" w:type="dxa"/>
            <w:gridSpan w:val="2"/>
            <w:vMerge/>
          </w:tcPr>
          <w:p w14:paraId="6BEC5EEC" w14:textId="77777777" w:rsidR="00852B82" w:rsidRPr="00D7384A" w:rsidRDefault="00852B82" w:rsidP="002A4977">
            <w:pPr>
              <w:pStyle w:val="Tabletext"/>
              <w:ind w:left="142" w:hanging="142"/>
            </w:pPr>
          </w:p>
        </w:tc>
      </w:tr>
      <w:tr w:rsidR="00852B82" w:rsidRPr="00D7384A" w14:paraId="17FB73B9" w14:textId="77777777" w:rsidTr="001F3BDD">
        <w:trPr>
          <w:trHeight w:val="1652"/>
          <w:jc w:val="center"/>
        </w:trPr>
        <w:tc>
          <w:tcPr>
            <w:tcW w:w="1134" w:type="dxa"/>
          </w:tcPr>
          <w:p w14:paraId="08EB672E" w14:textId="77777777" w:rsidR="00852B82" w:rsidRPr="00D7384A" w:rsidRDefault="00691DAA" w:rsidP="002A4977">
            <w:pPr>
              <w:pStyle w:val="Tabletext"/>
            </w:pPr>
            <w:r w:rsidRPr="00D7384A">
              <w:rPr>
                <w:b/>
              </w:rPr>
              <w:t>E-mail:</w:t>
            </w:r>
          </w:p>
        </w:tc>
        <w:tc>
          <w:tcPr>
            <w:tcW w:w="3828" w:type="dxa"/>
            <w:gridSpan w:val="2"/>
          </w:tcPr>
          <w:p w14:paraId="49E20A4E" w14:textId="1F44484F" w:rsidR="00852B82" w:rsidRPr="00D7384A" w:rsidRDefault="00C40C59" w:rsidP="002A4977">
            <w:pPr>
              <w:pStyle w:val="Tabletext"/>
            </w:pPr>
            <w:hyperlink r:id="rId8" w:history="1">
              <w:r w:rsidR="00A21457" w:rsidRPr="002A253A">
                <w:rPr>
                  <w:rStyle w:val="Hyperlink"/>
                </w:rPr>
                <w:t>tsbsg20@itu.int</w:t>
              </w:r>
            </w:hyperlink>
            <w:r w:rsidR="00A21457">
              <w:t xml:space="preserve"> </w:t>
            </w:r>
          </w:p>
        </w:tc>
        <w:tc>
          <w:tcPr>
            <w:tcW w:w="4819" w:type="dxa"/>
            <w:gridSpan w:val="2"/>
          </w:tcPr>
          <w:p w14:paraId="7FB22DD2" w14:textId="77777777" w:rsidR="00852B82" w:rsidRPr="00D7384A" w:rsidRDefault="00691DAA" w:rsidP="002A4977">
            <w:pPr>
              <w:pStyle w:val="Tabletext"/>
            </w:pPr>
            <w:r w:rsidRPr="00D7384A">
              <w:rPr>
                <w:b/>
              </w:rPr>
              <w:t>Copy to:</w:t>
            </w:r>
          </w:p>
          <w:p w14:paraId="7194C92C" w14:textId="77777777" w:rsidR="0072062B" w:rsidRPr="00D7384A" w:rsidRDefault="00691DAA" w:rsidP="001F3BDD">
            <w:pPr>
              <w:pStyle w:val="Tabletext"/>
              <w:ind w:left="283" w:hanging="283"/>
            </w:pPr>
            <w:r w:rsidRPr="00D7384A">
              <w:t>-</w:t>
            </w:r>
            <w:r w:rsidRPr="00D7384A">
              <w:tab/>
              <w:t>ITU-T Sector Members</w:t>
            </w:r>
            <w:r w:rsidR="0072062B" w:rsidRPr="00D7384A">
              <w:t>;</w:t>
            </w:r>
          </w:p>
          <w:p w14:paraId="73F68ECC" w14:textId="5416F790"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 </w:t>
            </w:r>
            <w:r w:rsidR="00A21457">
              <w:t>20</w:t>
            </w:r>
            <w:r w:rsidR="001F3BDD" w:rsidRPr="00D7384A">
              <w:t xml:space="preserve">; </w:t>
            </w:r>
          </w:p>
          <w:p w14:paraId="54D12504" w14:textId="77777777" w:rsidR="00852B82" w:rsidRPr="00D7384A" w:rsidRDefault="001F3BDD" w:rsidP="001F3BDD">
            <w:pPr>
              <w:pStyle w:val="Tabletext"/>
              <w:ind w:left="283" w:hanging="283"/>
            </w:pPr>
            <w:r w:rsidRPr="00D7384A">
              <w:t>-</w:t>
            </w:r>
            <w:r w:rsidRPr="00D7384A">
              <w:tab/>
              <w:t xml:space="preserve">ITU </w:t>
            </w:r>
            <w:r w:rsidR="00691DAA" w:rsidRPr="00D7384A">
              <w:t>Academia;</w:t>
            </w:r>
          </w:p>
          <w:p w14:paraId="7685DC7F" w14:textId="12EF54E0" w:rsidR="00852B82" w:rsidRPr="00D7384A" w:rsidRDefault="00691DAA" w:rsidP="002A4977">
            <w:pPr>
              <w:pStyle w:val="Tabletext"/>
              <w:ind w:left="283" w:hanging="283"/>
            </w:pPr>
            <w:r w:rsidRPr="00D7384A">
              <w:t>-</w:t>
            </w:r>
            <w:r w:rsidRPr="00D7384A">
              <w:tab/>
              <w:t xml:space="preserve">The Chairman and Vice-Chairmen of ITU-T Study Group </w:t>
            </w:r>
            <w:r w:rsidR="00A21457">
              <w:t>20</w:t>
            </w:r>
            <w:r w:rsidRPr="00D7384A">
              <w:t>;</w:t>
            </w:r>
          </w:p>
          <w:p w14:paraId="0868F05F" w14:textId="77777777" w:rsidR="00852B82" w:rsidRPr="00D7384A" w:rsidRDefault="00691DAA" w:rsidP="002A4977">
            <w:pPr>
              <w:pStyle w:val="Tabletext"/>
              <w:ind w:left="283" w:hanging="283"/>
            </w:pPr>
            <w:r w:rsidRPr="00D7384A">
              <w:t>-</w:t>
            </w:r>
            <w:r w:rsidRPr="00D7384A">
              <w:tab/>
              <w:t>The Director of the Telecommunication Development Bureau;</w:t>
            </w:r>
          </w:p>
          <w:p w14:paraId="7C91CF4D" w14:textId="77777777" w:rsidR="00852B82" w:rsidRDefault="00691DAA" w:rsidP="002A4977">
            <w:pPr>
              <w:pStyle w:val="Tabletext"/>
              <w:ind w:left="283" w:hanging="283"/>
            </w:pPr>
            <w:r w:rsidRPr="00D7384A">
              <w:t>-</w:t>
            </w:r>
            <w:r w:rsidRPr="00D7384A">
              <w:tab/>
              <w:t>The Director of the Radiocommunication Bureau</w:t>
            </w:r>
          </w:p>
          <w:p w14:paraId="3CDA2648" w14:textId="4D060F9D" w:rsidR="006A5FD3" w:rsidRPr="00D7384A" w:rsidRDefault="006A5FD3" w:rsidP="002A4977">
            <w:pPr>
              <w:pStyle w:val="Tabletext"/>
              <w:ind w:left="283" w:hanging="283"/>
            </w:pPr>
          </w:p>
        </w:tc>
      </w:tr>
      <w:tr w:rsidR="00852B82" w:rsidRPr="00A21457" w14:paraId="742DE23E" w14:textId="77777777" w:rsidTr="004B50B2">
        <w:trPr>
          <w:trHeight w:val="618"/>
          <w:jc w:val="center"/>
        </w:trPr>
        <w:tc>
          <w:tcPr>
            <w:tcW w:w="1134" w:type="dxa"/>
          </w:tcPr>
          <w:p w14:paraId="24933256" w14:textId="77777777" w:rsidR="00852B82" w:rsidRPr="00A21457" w:rsidRDefault="00691DAA" w:rsidP="002A4977">
            <w:pPr>
              <w:pStyle w:val="Tabletext"/>
            </w:pPr>
            <w:r w:rsidRPr="00A21457">
              <w:rPr>
                <w:b/>
              </w:rPr>
              <w:t>Subject:</w:t>
            </w:r>
          </w:p>
        </w:tc>
        <w:tc>
          <w:tcPr>
            <w:tcW w:w="8647" w:type="dxa"/>
            <w:gridSpan w:val="4"/>
          </w:tcPr>
          <w:p w14:paraId="7B190C7D" w14:textId="77777777" w:rsidR="006A5FD3" w:rsidRDefault="0072062B" w:rsidP="00D62CEF">
            <w:pPr>
              <w:pStyle w:val="Tabletext"/>
              <w:rPr>
                <w:b/>
              </w:rPr>
            </w:pPr>
            <w:r w:rsidRPr="00A21457">
              <w:rPr>
                <w:b/>
              </w:rPr>
              <w:t>Member State c</w:t>
            </w:r>
            <w:r w:rsidR="00C007D7" w:rsidRPr="00A21457">
              <w:rPr>
                <w:b/>
              </w:rPr>
              <w:t xml:space="preserve">onsultation on </w:t>
            </w:r>
            <w:r w:rsidR="0016049B" w:rsidRPr="00A21457">
              <w:rPr>
                <w:b/>
              </w:rPr>
              <w:t xml:space="preserve">Determined </w:t>
            </w:r>
            <w:r w:rsidR="00D62CEF" w:rsidRPr="00A21457">
              <w:rPr>
                <w:b/>
              </w:rPr>
              <w:t xml:space="preserve">draft </w:t>
            </w:r>
            <w:r w:rsidR="00A21457" w:rsidRPr="00A21457">
              <w:rPr>
                <w:b/>
              </w:rPr>
              <w:t xml:space="preserve">new Recommendations </w:t>
            </w:r>
          </w:p>
          <w:p w14:paraId="3DFED493" w14:textId="71CF1EB5" w:rsidR="00852B82" w:rsidRPr="00A21457" w:rsidRDefault="00860AE1" w:rsidP="00C40C59">
            <w:pPr>
              <w:pStyle w:val="Tabletext"/>
            </w:pPr>
            <w:r w:rsidRPr="00A21457">
              <w:rPr>
                <w:b/>
              </w:rPr>
              <w:t>ITU-T</w:t>
            </w:r>
            <w:r w:rsidR="00E32F10" w:rsidRPr="00A21457">
              <w:rPr>
                <w:b/>
              </w:rPr>
              <w:t xml:space="preserve"> </w:t>
            </w:r>
            <w:bookmarkStart w:id="0" w:name="_Hlk46831557"/>
            <w:r w:rsidR="00A21457" w:rsidRPr="00A21457">
              <w:rPr>
                <w:b/>
              </w:rPr>
              <w:t>Y.4471 (ex Y.NDA-arch), Y.4559 (ex Y.UAV-BSI) and Y.4908 (ex Y.IoT-EH-PFE)</w:t>
            </w:r>
            <w:bookmarkEnd w:id="0"/>
            <w:r w:rsidR="0006765F" w:rsidRPr="00A21457">
              <w:rPr>
                <w:b/>
              </w:rPr>
              <w:t xml:space="preserve">, proposed for </w:t>
            </w:r>
            <w:r w:rsidR="0006765F" w:rsidRPr="00E901A9">
              <w:rPr>
                <w:b/>
              </w:rPr>
              <w:t>approval</w:t>
            </w:r>
            <w:r w:rsidR="00691DAA" w:rsidRPr="00E901A9">
              <w:rPr>
                <w:b/>
              </w:rPr>
              <w:t xml:space="preserve"> </w:t>
            </w:r>
            <w:r w:rsidR="00C007D7" w:rsidRPr="00E901A9">
              <w:rPr>
                <w:b/>
              </w:rPr>
              <w:t xml:space="preserve">at </w:t>
            </w:r>
            <w:r w:rsidR="0016049B" w:rsidRPr="00E901A9">
              <w:rPr>
                <w:b/>
              </w:rPr>
              <w:t>the</w:t>
            </w:r>
            <w:r w:rsidR="00C007D7" w:rsidRPr="00E901A9">
              <w:rPr>
                <w:b/>
              </w:rPr>
              <w:t xml:space="preserve"> </w:t>
            </w:r>
            <w:bookmarkStart w:id="1" w:name="_GoBack"/>
            <w:bookmarkEnd w:id="1"/>
            <w:r w:rsidR="00C007D7" w:rsidRPr="00E901A9">
              <w:rPr>
                <w:b/>
              </w:rPr>
              <w:t xml:space="preserve">meeting of ITU-T Study Group </w:t>
            </w:r>
            <w:r w:rsidR="00A21457" w:rsidRPr="00E901A9">
              <w:rPr>
                <w:b/>
              </w:rPr>
              <w:t xml:space="preserve">20 meeting (Virtual, </w:t>
            </w:r>
            <w:r w:rsidR="00002BC4" w:rsidRPr="00E901A9">
              <w:rPr>
                <w:b/>
              </w:rPr>
              <w:t>16</w:t>
            </w:r>
            <w:r w:rsidR="006A5FD3">
              <w:rPr>
                <w:b/>
              </w:rPr>
              <w:t xml:space="preserve"> </w:t>
            </w:r>
            <w:r w:rsidR="00A21457" w:rsidRPr="00E901A9">
              <w:rPr>
                <w:b/>
              </w:rPr>
              <w:t>December 2020)</w:t>
            </w:r>
          </w:p>
        </w:tc>
      </w:tr>
      <w:tr w:rsidR="006A5FD3" w:rsidRPr="00A21457" w14:paraId="1B93E4D6" w14:textId="77777777" w:rsidTr="009D54AC">
        <w:trPr>
          <w:trHeight w:val="618"/>
          <w:jc w:val="center"/>
        </w:trPr>
        <w:tc>
          <w:tcPr>
            <w:tcW w:w="9781" w:type="dxa"/>
            <w:gridSpan w:val="5"/>
          </w:tcPr>
          <w:p w14:paraId="56E17D80" w14:textId="77777777" w:rsidR="006A5FD3" w:rsidRPr="00D7384A" w:rsidRDefault="006A5FD3" w:rsidP="006A5FD3">
            <w:pPr>
              <w:spacing w:before="300"/>
            </w:pPr>
            <w:r w:rsidRPr="00A21457">
              <w:t>Dear Sir/Madam,</w:t>
            </w:r>
          </w:p>
          <w:p w14:paraId="23987550" w14:textId="2B1E97B2" w:rsidR="006A5FD3" w:rsidRPr="008A23B1" w:rsidRDefault="00FC364D" w:rsidP="006A5FD3">
            <w:pPr>
              <w:rPr>
                <w:szCs w:val="22"/>
              </w:rPr>
            </w:pPr>
            <w:r>
              <w:rPr>
                <w:szCs w:val="22"/>
              </w:rPr>
              <w:t>1.</w:t>
            </w:r>
            <w:r>
              <w:rPr>
                <w:szCs w:val="22"/>
              </w:rPr>
              <w:tab/>
            </w:r>
            <w:r w:rsidR="006A5FD3" w:rsidRPr="008A23B1">
              <w:rPr>
                <w:szCs w:val="22"/>
              </w:rPr>
              <w:t xml:space="preserve">ITU-T </w:t>
            </w:r>
            <w:r w:rsidR="006A5FD3" w:rsidRPr="008A23B1">
              <w:t xml:space="preserve">Study Group 20 (SG20: Internet of things (IoT) and smart cities and communities (SC&amp;C)) </w:t>
            </w:r>
            <w:r w:rsidR="006A5FD3" w:rsidRPr="008A23B1">
              <w:rPr>
                <w:szCs w:val="22"/>
              </w:rPr>
              <w:t xml:space="preserve">intends to apply the Traditional Approval Procedure as described in Section 9 of WTSA Resolution 1 (Rev. </w:t>
            </w:r>
            <w:r w:rsidR="006A5FD3" w:rsidRPr="00E901A9">
              <w:rPr>
                <w:szCs w:val="22"/>
              </w:rPr>
              <w:t>Hammamet, 2016) for the approval of the above-mentioned 3 draft Recommendations at its next virtual meeting planned in December 2020</w:t>
            </w:r>
            <w:r w:rsidR="006A5FD3" w:rsidRPr="00E901A9">
              <w:t>. The</w:t>
            </w:r>
            <w:r w:rsidR="006A5FD3" w:rsidRPr="008A23B1">
              <w:t xml:space="preserve"> agenda and all relevant information concerning the ITU-T Study Group 20 meeting will be available in Collective letter 10/20.</w:t>
            </w:r>
          </w:p>
          <w:p w14:paraId="2AD9416D" w14:textId="486F6EF6" w:rsidR="006A5FD3" w:rsidRPr="008A23B1" w:rsidRDefault="00FC364D" w:rsidP="006A5FD3">
            <w:pPr>
              <w:rPr>
                <w:szCs w:val="22"/>
              </w:rPr>
            </w:pPr>
            <w:r>
              <w:rPr>
                <w:szCs w:val="22"/>
              </w:rPr>
              <w:t>2.</w:t>
            </w:r>
            <w:r>
              <w:rPr>
                <w:szCs w:val="22"/>
              </w:rPr>
              <w:tab/>
            </w:r>
            <w:r w:rsidR="006A5FD3" w:rsidRPr="008A23B1">
              <w:rPr>
                <w:szCs w:val="22"/>
              </w:rPr>
              <w:t>The titles, summaries and locations of the draft new Recommendations ITU-T Y.4471 (ex Y.NDA-arch), Y.4559 (ex Y.UAV-BSI) and Y.4908 (ex Y.IoT-EH-PFE), proposed for approval can be found in Annex 1.</w:t>
            </w:r>
          </w:p>
          <w:p w14:paraId="6BAFB163" w14:textId="25D6F497" w:rsidR="006A5FD3" w:rsidRDefault="00FC364D" w:rsidP="006A5FD3">
            <w:r>
              <w:rPr>
                <w:szCs w:val="22"/>
              </w:rPr>
              <w:t>3.</w:t>
            </w:r>
            <w:r>
              <w:rPr>
                <w:szCs w:val="22"/>
              </w:rPr>
              <w:tab/>
            </w:r>
            <w:r w:rsidR="006A5FD3" w:rsidRPr="008A23B1">
              <w:rPr>
                <w:szCs w:val="22"/>
              </w:rPr>
              <w:t>This Circular initiates the formal consultation with ITU Member States on whether these texts may be considered for approval at the upcoming meeting, in accordance with clause 9.4 of Resolution 1. Member States are kindly requested to complete</w:t>
            </w:r>
            <w:r w:rsidR="006A5FD3" w:rsidRPr="00D7384A">
              <w:rPr>
                <w:szCs w:val="22"/>
              </w:rPr>
              <w:t xml:space="preserve"> and return the form in Annex 2 by </w:t>
            </w:r>
            <w:r w:rsidR="006A5FD3" w:rsidRPr="00E901A9">
              <w:rPr>
                <w:szCs w:val="22"/>
              </w:rPr>
              <w:t xml:space="preserve">2359 hours UTC on </w:t>
            </w:r>
            <w:r w:rsidR="006A5FD3" w:rsidRPr="00E901A9">
              <w:rPr>
                <w:b/>
                <w:bCs/>
                <w:szCs w:val="22"/>
              </w:rPr>
              <w:t>4 December 2020</w:t>
            </w:r>
            <w:r w:rsidR="006A5FD3" w:rsidRPr="00E901A9">
              <w:rPr>
                <w:szCs w:val="22"/>
              </w:rPr>
              <w:t>.</w:t>
            </w:r>
          </w:p>
          <w:p w14:paraId="4E35050C" w14:textId="42E8CC0B" w:rsidR="006A5FD3" w:rsidRPr="00D7384A" w:rsidRDefault="00FC364D" w:rsidP="006A5FD3">
            <w:pPr>
              <w:rPr>
                <w:szCs w:val="22"/>
              </w:rPr>
            </w:pPr>
            <w:r>
              <w:t>4.</w:t>
            </w:r>
            <w:r>
              <w:tab/>
            </w:r>
            <w:r w:rsidR="006A5FD3" w:rsidRPr="00D7384A">
              <w:t>If 70% or more of the replies from Member States support consideration for approval, one Plenary session will be devote</w:t>
            </w:r>
            <w:r w:rsidR="006A5FD3">
              <w:t xml:space="preserve">d </w:t>
            </w:r>
            <w:r w:rsidR="006A5FD3" w:rsidRPr="00D7384A">
              <w:t>to apply the approval procedure.</w:t>
            </w:r>
            <w:r w:rsidR="006A5FD3" w:rsidRPr="00D7384A">
              <w:rPr>
                <w:szCs w:val="22"/>
              </w:rPr>
              <w:t xml:space="preserve"> Member States that do not assign authority to proceed should inform the Director of TSB of the reasons for this opinion and indicate the possible changes that would enable the work to progress.</w:t>
            </w:r>
          </w:p>
          <w:p w14:paraId="630F6E5B" w14:textId="77777777" w:rsidR="006A5FD3" w:rsidRPr="00144595" w:rsidRDefault="006A5FD3" w:rsidP="006A5FD3">
            <w:pPr>
              <w:spacing w:before="100"/>
              <w:rPr>
                <w:rFonts w:asciiTheme="minorHAnsi" w:hAnsiTheme="minorHAnsi" w:cstheme="minorHAnsi"/>
                <w:szCs w:val="22"/>
              </w:rPr>
            </w:pPr>
            <w:r w:rsidRPr="00144595">
              <w:rPr>
                <w:rFonts w:asciiTheme="minorHAnsi" w:hAnsiTheme="minorHAnsi" w:cstheme="minorHAnsi"/>
                <w:szCs w:val="22"/>
              </w:rPr>
              <w:lastRenderedPageBreak/>
              <w:t xml:space="preserve">TSB NOTE 1– As of the date of this Circular, no IPR statements had been received by TSB regarding any of these draft texts. For up-to-date information, members are invited to consult the IPR database at </w:t>
            </w:r>
            <w:hyperlink r:id="rId9" w:history="1">
              <w:r w:rsidRPr="00144595">
                <w:rPr>
                  <w:rStyle w:val="Hyperlink"/>
                  <w:rFonts w:asciiTheme="minorHAnsi" w:hAnsiTheme="minorHAnsi" w:cstheme="minorHAnsi"/>
                  <w:szCs w:val="22"/>
                </w:rPr>
                <w:t>www.itu.int/ipr/</w:t>
              </w:r>
            </w:hyperlink>
            <w:r w:rsidRPr="00144595">
              <w:rPr>
                <w:rFonts w:asciiTheme="minorHAnsi" w:hAnsiTheme="minorHAnsi" w:cstheme="minorHAnsi"/>
                <w:szCs w:val="22"/>
              </w:rPr>
              <w:t>.</w:t>
            </w:r>
          </w:p>
          <w:p w14:paraId="62098075" w14:textId="77777777" w:rsidR="006A5FD3" w:rsidRPr="00C66632" w:rsidRDefault="006A5FD3" w:rsidP="006A5FD3">
            <w:pPr>
              <w:spacing w:before="100"/>
              <w:rPr>
                <w:rFonts w:asciiTheme="minorHAnsi" w:hAnsiTheme="minorHAnsi" w:cstheme="minorHAnsi"/>
                <w:szCs w:val="22"/>
              </w:rPr>
            </w:pPr>
            <w:r w:rsidRPr="00144595">
              <w:rPr>
                <w:rFonts w:asciiTheme="minorHAnsi" w:hAnsiTheme="minorHAnsi" w:cstheme="minorHAnsi"/>
                <w:szCs w:val="22"/>
              </w:rPr>
              <w:t>TSB NOTE 2 – No ITU-T A.5 justification document has been prepared for any of these determined draft texts before their determination.</w:t>
            </w:r>
          </w:p>
          <w:p w14:paraId="2191FBD2" w14:textId="77777777" w:rsidR="006A5FD3" w:rsidRPr="00D7384A" w:rsidRDefault="006A5FD3" w:rsidP="006A5FD3">
            <w:pPr>
              <w:spacing w:before="240"/>
            </w:pPr>
            <w:r w:rsidRPr="00D7384A">
              <w:t>Yours faithfully,</w:t>
            </w:r>
          </w:p>
          <w:p w14:paraId="78766FAB" w14:textId="5922DB34" w:rsidR="006A5FD3" w:rsidRDefault="007077C1" w:rsidP="006A5FD3">
            <w:r>
              <w:rPr>
                <w:noProof/>
              </w:rPr>
              <w:drawing>
                <wp:anchor distT="0" distB="0" distL="114300" distR="114300" simplePos="0" relativeHeight="251658240" behindDoc="0" locked="0" layoutInCell="1" allowOverlap="1" wp14:anchorId="2940469D" wp14:editId="45D9E73D">
                  <wp:simplePos x="0" y="0"/>
                  <wp:positionH relativeFrom="column">
                    <wp:posOffset>-33330</wp:posOffset>
                  </wp:positionH>
                  <wp:positionV relativeFrom="paragraph">
                    <wp:posOffset>118140</wp:posOffset>
                  </wp:positionV>
                  <wp:extent cx="688990" cy="291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703865" cy="297323"/>
                          </a:xfrm>
                          <a:prstGeom prst="rect">
                            <a:avLst/>
                          </a:prstGeom>
                        </pic:spPr>
                      </pic:pic>
                    </a:graphicData>
                  </a:graphic>
                  <wp14:sizeRelH relativeFrom="margin">
                    <wp14:pctWidth>0</wp14:pctWidth>
                  </wp14:sizeRelH>
                  <wp14:sizeRelV relativeFrom="margin">
                    <wp14:pctHeight>0</wp14:pctHeight>
                  </wp14:sizeRelV>
                </wp:anchor>
              </w:drawing>
            </w:r>
          </w:p>
          <w:p w14:paraId="105F28BF" w14:textId="69A5EC9D" w:rsidR="00FC364D" w:rsidRDefault="00FC364D" w:rsidP="006A5FD3"/>
          <w:p w14:paraId="1E7FB80E" w14:textId="7C0CE3FD" w:rsidR="006A5FD3" w:rsidRDefault="006A5FD3" w:rsidP="006A5FD3">
            <w:pPr>
              <w:pStyle w:val="Tabletext"/>
            </w:pPr>
            <w:r w:rsidRPr="00D7384A">
              <w:t>Chaesub Lee</w:t>
            </w:r>
            <w:r w:rsidRPr="00D7384A">
              <w:br/>
              <w:t>Director of the Telecommunication</w:t>
            </w:r>
            <w:r w:rsidRPr="00D7384A">
              <w:br/>
              <w:t>Standardization Bureau</w:t>
            </w:r>
          </w:p>
          <w:p w14:paraId="27ECAE59" w14:textId="77777777" w:rsidR="006A5FD3" w:rsidRDefault="006A5FD3" w:rsidP="006A5FD3">
            <w:pPr>
              <w:pStyle w:val="Tabletext"/>
            </w:pPr>
          </w:p>
          <w:p w14:paraId="3A1924AA" w14:textId="77777777" w:rsidR="006A5FD3" w:rsidRDefault="006A5FD3" w:rsidP="006A5FD3">
            <w:pPr>
              <w:pStyle w:val="Tabletext"/>
            </w:pPr>
          </w:p>
          <w:p w14:paraId="2E1593E6" w14:textId="77777777" w:rsidR="006A5FD3" w:rsidRDefault="006A5FD3" w:rsidP="006A5FD3">
            <w:pPr>
              <w:pStyle w:val="Tabletext"/>
            </w:pPr>
          </w:p>
          <w:p w14:paraId="1BDD8068" w14:textId="0CD7A836" w:rsidR="006A5FD3" w:rsidRPr="006A5FD3" w:rsidRDefault="006A5FD3" w:rsidP="006A5FD3">
            <w:pPr>
              <w:pStyle w:val="Tabletext"/>
            </w:pPr>
            <w:r w:rsidRPr="00D7384A">
              <w:rPr>
                <w:b/>
              </w:rPr>
              <w:t>Annexes: 2</w:t>
            </w:r>
          </w:p>
        </w:tc>
      </w:tr>
    </w:tbl>
    <w:p w14:paraId="21C9878D" w14:textId="36DCFCF8" w:rsidR="00852B82" w:rsidRPr="00D7384A" w:rsidRDefault="00852B82"/>
    <w:p w14:paraId="4B6200AB" w14:textId="598D466C" w:rsidR="00852B82" w:rsidRPr="00D7384A" w:rsidRDefault="00691DAA" w:rsidP="00067FDC">
      <w:r w:rsidRPr="00D7384A">
        <w:br w:type="page"/>
      </w:r>
    </w:p>
    <w:p w14:paraId="09C06ECD" w14:textId="77777777" w:rsidR="00852B82" w:rsidRPr="00D7384A" w:rsidRDefault="00C13D40" w:rsidP="007C7DA8">
      <w:pPr>
        <w:pStyle w:val="Annextitle"/>
      </w:pPr>
      <w:r>
        <w:lastRenderedPageBreak/>
        <w:t>Annex 1</w:t>
      </w:r>
    </w:p>
    <w:p w14:paraId="3667574F" w14:textId="4D13D33C" w:rsidR="00852B82" w:rsidRPr="00D7384A" w:rsidRDefault="00691DAA">
      <w:pPr>
        <w:pStyle w:val="Annextitle"/>
      </w:pPr>
      <w:r w:rsidRPr="00D7384A">
        <w:t>Summary and location</w:t>
      </w:r>
      <w:r w:rsidR="0006765F" w:rsidRPr="00D7384A">
        <w:t xml:space="preserve"> of Determined draft</w:t>
      </w:r>
      <w:r w:rsidR="00EC7CFE">
        <w:t xml:space="preserve"> new Recommendations </w:t>
      </w:r>
      <w:r w:rsidR="00EC7CFE" w:rsidRPr="00EC7CFE">
        <w:t>Y.4471 (ex Y.NDA-arch), Y.4559 (ex Y.UAV-BSI) and Y.4908 (ex Y.IoT-EH-PFE)</w:t>
      </w:r>
    </w:p>
    <w:p w14:paraId="358D4B50" w14:textId="46C5C8D3" w:rsidR="00852B82" w:rsidRPr="00EC7CFE" w:rsidRDefault="007C7DA8" w:rsidP="007C7DA8">
      <w:pPr>
        <w:pStyle w:val="Heading1"/>
      </w:pPr>
      <w:r w:rsidRPr="00EC7CFE">
        <w:t>1</w:t>
      </w:r>
      <w:r w:rsidRPr="00EC7CFE">
        <w:tab/>
        <w:t xml:space="preserve">Draft </w:t>
      </w:r>
      <w:r w:rsidR="00EC7CFE" w:rsidRPr="00EC7CFE">
        <w:t xml:space="preserve">new Recommendation </w:t>
      </w:r>
      <w:r w:rsidR="007526FA">
        <w:t xml:space="preserve">ITU-T </w:t>
      </w:r>
      <w:r w:rsidR="00EC7CFE" w:rsidRPr="00EC7CFE">
        <w:t>Y.4471 (ex Y.NDA-arch</w:t>
      </w:r>
      <w:r w:rsidR="00EC7CFE" w:rsidRPr="00E901A9">
        <w:t xml:space="preserve">) </w:t>
      </w:r>
      <w:r w:rsidR="00087690" w:rsidRPr="00E901A9">
        <w:t>[</w:t>
      </w:r>
      <w:hyperlink r:id="rId11" w:history="1">
        <w:r w:rsidR="00EC7CFE" w:rsidRPr="00E901A9">
          <w:rPr>
            <w:rStyle w:val="Hyperlink"/>
          </w:rPr>
          <w:t>R</w:t>
        </w:r>
        <w:r w:rsidR="00E901A9" w:rsidRPr="00E901A9">
          <w:rPr>
            <w:rStyle w:val="Hyperlink"/>
          </w:rPr>
          <w:t>11</w:t>
        </w:r>
      </w:hyperlink>
      <w:r w:rsidR="00087690" w:rsidRPr="00E901A9">
        <w:t>]</w:t>
      </w:r>
    </w:p>
    <w:p w14:paraId="239E701E" w14:textId="77777777" w:rsidR="00EC7CFE" w:rsidRPr="00EC7CFE" w:rsidRDefault="00EC7CFE">
      <w:pPr>
        <w:pStyle w:val="Heading2"/>
        <w:rPr>
          <w:bCs/>
        </w:rPr>
      </w:pPr>
      <w:r w:rsidRPr="00EC7CFE">
        <w:rPr>
          <w:bCs/>
        </w:rPr>
        <w:t>Functional architecture of network-based driving assistance for autonomous vehicles</w:t>
      </w:r>
    </w:p>
    <w:p w14:paraId="75AC808D" w14:textId="191DB466" w:rsidR="00852B82" w:rsidRPr="00EC7CFE" w:rsidRDefault="00691DAA" w:rsidP="00EC7CFE">
      <w:pPr>
        <w:pStyle w:val="Heading2"/>
        <w:spacing w:before="120"/>
      </w:pPr>
      <w:r w:rsidRPr="00EC7CFE">
        <w:t>Summary</w:t>
      </w:r>
    </w:p>
    <w:p w14:paraId="554E72EF" w14:textId="77777777" w:rsidR="00341E93" w:rsidRPr="00341E93" w:rsidRDefault="00341E93" w:rsidP="00341E93">
      <w:pPr>
        <w:pStyle w:val="Heading1"/>
        <w:tabs>
          <w:tab w:val="clear" w:pos="1191"/>
          <w:tab w:val="left" w:pos="709"/>
        </w:tabs>
        <w:spacing w:before="120"/>
        <w:ind w:left="0" w:firstLine="0"/>
        <w:rPr>
          <w:b w:val="0"/>
          <w:sz w:val="24"/>
          <w:lang w:eastAsia="zh-CN"/>
        </w:rPr>
      </w:pPr>
      <w:r w:rsidRPr="00341E93">
        <w:rPr>
          <w:b w:val="0"/>
          <w:sz w:val="24"/>
          <w:lang w:eastAsia="zh-CN"/>
        </w:rPr>
        <w:t>This Recommendation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4A5CFCA1" w14:textId="77777777" w:rsidR="00341E93" w:rsidRDefault="00341E93" w:rsidP="00341E93">
      <w:pPr>
        <w:pStyle w:val="Heading1"/>
        <w:tabs>
          <w:tab w:val="clear" w:pos="1191"/>
          <w:tab w:val="left" w:pos="1276"/>
        </w:tabs>
        <w:spacing w:before="120"/>
        <w:ind w:left="0" w:firstLine="0"/>
        <w:rPr>
          <w:b w:val="0"/>
          <w:sz w:val="24"/>
          <w:lang w:eastAsia="zh-CN"/>
        </w:rPr>
      </w:pPr>
      <w:r w:rsidRPr="00341E93">
        <w:rPr>
          <w:b w:val="0"/>
          <w:sz w:val="24"/>
          <w:lang w:eastAsia="zh-CN"/>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7BC9205" w14:textId="2CB61421" w:rsidR="002A4977" w:rsidRPr="00341E93" w:rsidRDefault="007C7DA8" w:rsidP="00341E93">
      <w:pPr>
        <w:pStyle w:val="Heading1"/>
        <w:rPr>
          <w:lang w:val="fr-CH"/>
        </w:rPr>
      </w:pPr>
      <w:r w:rsidRPr="00341E93">
        <w:rPr>
          <w:lang w:val="fr-CH"/>
        </w:rPr>
        <w:t>2</w:t>
      </w:r>
      <w:r w:rsidRPr="00341E93">
        <w:rPr>
          <w:lang w:val="fr-CH"/>
        </w:rPr>
        <w:tab/>
      </w:r>
      <w:r w:rsidR="00EC7CFE" w:rsidRPr="00341E93">
        <w:rPr>
          <w:lang w:val="fr-CH"/>
        </w:rPr>
        <w:t xml:space="preserve">Draft new Recommendation </w:t>
      </w:r>
      <w:r w:rsidR="007526FA" w:rsidRPr="00341E93">
        <w:rPr>
          <w:lang w:val="fr-CH"/>
        </w:rPr>
        <w:t xml:space="preserve">ITU-T </w:t>
      </w:r>
      <w:r w:rsidR="00EC7CFE" w:rsidRPr="00341E93">
        <w:rPr>
          <w:lang w:val="fr-CH"/>
        </w:rPr>
        <w:t>Y.4559 (ex Y.UAV-BSI) [</w:t>
      </w:r>
      <w:hyperlink r:id="rId12" w:history="1">
        <w:r w:rsidR="00EC7CFE" w:rsidRPr="00341E93">
          <w:rPr>
            <w:rStyle w:val="Hyperlink"/>
            <w:lang w:val="fr-CH"/>
          </w:rPr>
          <w:t>R</w:t>
        </w:r>
        <w:r w:rsidR="00E901A9" w:rsidRPr="00341E93">
          <w:rPr>
            <w:rStyle w:val="Hyperlink"/>
            <w:lang w:val="fr-CH"/>
          </w:rPr>
          <w:t>12</w:t>
        </w:r>
      </w:hyperlink>
      <w:r w:rsidR="00EC7CFE" w:rsidRPr="00341E93">
        <w:rPr>
          <w:lang w:val="fr-CH"/>
        </w:rPr>
        <w:t>]</w:t>
      </w:r>
    </w:p>
    <w:p w14:paraId="0B877836" w14:textId="77777777" w:rsidR="00EC7CFE" w:rsidRPr="00EC7CFE" w:rsidRDefault="00EC7CFE" w:rsidP="00EC7CFE">
      <w:pPr>
        <w:pStyle w:val="Heading2"/>
        <w:tabs>
          <w:tab w:val="clear" w:pos="1191"/>
          <w:tab w:val="left" w:pos="1418"/>
        </w:tabs>
        <w:ind w:left="0" w:firstLine="0"/>
        <w:rPr>
          <w:bCs/>
        </w:rPr>
      </w:pPr>
      <w:r w:rsidRPr="00EC7CFE">
        <w:rPr>
          <w:bCs/>
        </w:rPr>
        <w:t>Requirements and functional architecture of base station inspection services using unmanned aerial vehicles</w:t>
      </w:r>
    </w:p>
    <w:p w14:paraId="2BB1D4B2" w14:textId="4826974E" w:rsidR="00EC7CFE" w:rsidRPr="00EC7CFE" w:rsidRDefault="00EC7CFE" w:rsidP="00EC7CFE">
      <w:pPr>
        <w:pStyle w:val="Heading2"/>
        <w:spacing w:before="120"/>
      </w:pPr>
      <w:r w:rsidRPr="00EC7CFE">
        <w:t>Summary</w:t>
      </w:r>
    </w:p>
    <w:p w14:paraId="11869EBF" w14:textId="77777777" w:rsidR="00341E93" w:rsidRDefault="00341E93" w:rsidP="00341E93">
      <w:pPr>
        <w:rPr>
          <w:rFonts w:ascii="Times New Roman" w:eastAsia="Malgun Gothic" w:hAnsi="Times New Roman"/>
          <w:lang w:eastAsia="ko-KR"/>
        </w:rPr>
      </w:pPr>
      <w:r>
        <w:rPr>
          <w:rFonts w:eastAsia="Malgun Gothic"/>
          <w:lang w:eastAsia="ko-KR"/>
        </w:rPr>
        <w:t>The changes being experienced in weather conditions and the aging of materials may cause damage to base stations, which will affect network service quality and even cause safety incidents. Network operators need to carry out timely and periodic inspection and maintenance operations. Due to the long-term, high-intensity and high-altitude nature of these operations, the base station inspection (BSI) services conducted manually are dangerous, inefficient and costly.</w:t>
      </w:r>
    </w:p>
    <w:p w14:paraId="7484C4D9" w14:textId="77777777" w:rsidR="00341E93" w:rsidRDefault="00341E93" w:rsidP="00341E93">
      <w:pPr>
        <w:rPr>
          <w:rFonts w:eastAsia="Malgun Gothic"/>
          <w:lang w:eastAsia="ko-KR"/>
        </w:rPr>
      </w:pPr>
      <w:r>
        <w:rPr>
          <w:rFonts w:eastAsia="Malgun Gothic"/>
          <w:lang w:eastAsia="ko-KR"/>
        </w:rPr>
        <w:t xml:space="preserve">Unmanned aerial vehicles (UAVs) with mature flight control and sensing capabilities can be used not only in </w:t>
      </w:r>
      <w:r>
        <w:rPr>
          <w:rFonts w:eastAsia="Malgun Gothic"/>
          <w:lang w:eastAsia="zh-CN"/>
        </w:rPr>
        <w:t>the</w:t>
      </w:r>
      <w:r>
        <w:rPr>
          <w:rFonts w:eastAsia="Malgun Gothic"/>
          <w:lang w:val="en-US" w:eastAsia="zh-CN"/>
        </w:rPr>
        <w:t xml:space="preserve"> </w:t>
      </w:r>
      <w:r>
        <w:rPr>
          <w:rFonts w:eastAsia="Malgun Gothic"/>
          <w:lang w:eastAsia="ko-KR"/>
        </w:rPr>
        <w:t>normal working environment but also in some extreme working environments. Therefore, BSI using UAVs can replace most manual inspections through a network connection and reduce the risk of inspection and ensure the safety of personnel.</w:t>
      </w:r>
    </w:p>
    <w:p w14:paraId="2480B344" w14:textId="77777777" w:rsidR="00341E93" w:rsidRDefault="00341E93" w:rsidP="00341E93">
      <w:pPr>
        <w:rPr>
          <w:rFonts w:eastAsia="Malgun Gothic"/>
          <w:lang w:eastAsia="ko-KR"/>
        </w:rPr>
      </w:pPr>
      <w:r>
        <w:rPr>
          <w:rFonts w:eastAsia="Malgun Gothic"/>
          <w:lang w:eastAsia="ko-KR"/>
        </w:rPr>
        <w:t>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786A0A0C" w14:textId="77777777" w:rsidR="00341E93" w:rsidRDefault="00341E93" w:rsidP="00341E93">
      <w:pPr>
        <w:rPr>
          <w:rFonts w:eastAsia="Malgun Gothic"/>
          <w:lang w:eastAsia="ko-KR"/>
        </w:rPr>
      </w:pPr>
      <w:r>
        <w:rPr>
          <w:rFonts w:eastAsia="Malgun Gothic"/>
          <w:lang w:eastAsia="ko-KR"/>
        </w:rPr>
        <w:t xml:space="preserve">This Recommendation describes requirements and functional architecture of BSI services using UAVs. It focuses on how to effectively provide inspection services for the base station using BSI-dedicated UAVs (BSI-UAVs). </w:t>
      </w:r>
    </w:p>
    <w:p w14:paraId="63CC476A" w14:textId="0770D5D9" w:rsidR="00EC7CFE" w:rsidRPr="00C40C59" w:rsidRDefault="00EC7CFE" w:rsidP="00EC7CFE">
      <w:pPr>
        <w:rPr>
          <w:b/>
          <w:sz w:val="28"/>
        </w:rPr>
      </w:pPr>
      <w:r w:rsidRPr="00C40C59">
        <w:rPr>
          <w:b/>
          <w:sz w:val="28"/>
        </w:rPr>
        <w:t>3</w:t>
      </w:r>
      <w:r w:rsidRPr="00C40C59">
        <w:rPr>
          <w:b/>
          <w:sz w:val="28"/>
        </w:rPr>
        <w:tab/>
        <w:t xml:space="preserve">Draft new Recommendation </w:t>
      </w:r>
      <w:r w:rsidR="007526FA" w:rsidRPr="00C40C59">
        <w:rPr>
          <w:b/>
          <w:sz w:val="28"/>
        </w:rPr>
        <w:t xml:space="preserve">ITU-T </w:t>
      </w:r>
      <w:r w:rsidRPr="00C40C59">
        <w:rPr>
          <w:b/>
          <w:sz w:val="28"/>
        </w:rPr>
        <w:t xml:space="preserve">Y.4908 (ex Y.IoT-EH-PFE) </w:t>
      </w:r>
      <w:r w:rsidR="000B4DE1" w:rsidRPr="00C40C59">
        <w:rPr>
          <w:b/>
          <w:sz w:val="28"/>
        </w:rPr>
        <w:t>[</w:t>
      </w:r>
      <w:hyperlink r:id="rId13" w:history="1">
        <w:r w:rsidR="000B4DE1" w:rsidRPr="00C40C59">
          <w:rPr>
            <w:rStyle w:val="Hyperlink"/>
            <w:b/>
            <w:sz w:val="28"/>
          </w:rPr>
          <w:t>R</w:t>
        </w:r>
        <w:r w:rsidR="00E901A9" w:rsidRPr="00C40C59">
          <w:rPr>
            <w:rStyle w:val="Hyperlink"/>
            <w:b/>
            <w:sz w:val="28"/>
          </w:rPr>
          <w:t>13</w:t>
        </w:r>
      </w:hyperlink>
      <w:r w:rsidR="000B4DE1" w:rsidRPr="00C40C59">
        <w:rPr>
          <w:b/>
          <w:sz w:val="28"/>
        </w:rPr>
        <w:t>]</w:t>
      </w:r>
    </w:p>
    <w:p w14:paraId="79ECD3A3" w14:textId="77777777" w:rsidR="00EC7CFE" w:rsidRPr="00EC7CFE" w:rsidRDefault="00EC7CFE" w:rsidP="00EC7CFE">
      <w:pPr>
        <w:pStyle w:val="Heading2"/>
        <w:rPr>
          <w:bCs/>
        </w:rPr>
      </w:pPr>
      <w:r w:rsidRPr="00EC7CFE">
        <w:rPr>
          <w:bCs/>
        </w:rPr>
        <w:t>Performance evaluation frameworks of e-health systems in the IoT</w:t>
      </w:r>
    </w:p>
    <w:p w14:paraId="1932485F" w14:textId="2830F9D3" w:rsidR="00EC7CFE" w:rsidRPr="00EC7CFE" w:rsidRDefault="00EC7CFE" w:rsidP="00EC7CFE">
      <w:pPr>
        <w:pStyle w:val="Heading2"/>
        <w:spacing w:before="120"/>
      </w:pPr>
      <w:r w:rsidRPr="00EC7CFE">
        <w:t>Summary</w:t>
      </w:r>
    </w:p>
    <w:p w14:paraId="56E641A9" w14:textId="77777777" w:rsidR="00341E93" w:rsidRDefault="00341E93" w:rsidP="00341E93">
      <w:pPr>
        <w:jc w:val="both"/>
        <w:rPr>
          <w:rFonts w:ascii="Times New Roman" w:hAnsi="Times New Roman"/>
          <w:lang w:eastAsia="zh-CN"/>
        </w:rPr>
      </w:pPr>
      <w:r>
        <w:rPr>
          <w:lang w:eastAsia="zh-CN"/>
        </w:rPr>
        <w:t xml:space="preserve">Currently e-health systems are being implemented by governments and stakeholders to increase the effectiveness, efficiency and the quality of health care services.  The Internet of things (IoT) as a relatively new technology is transforming e-health systems to further enhance health care services. </w:t>
      </w:r>
      <w:r>
        <w:rPr>
          <w:lang w:eastAsia="zh-CN"/>
        </w:rPr>
        <w:lastRenderedPageBreak/>
        <w:t xml:space="preserve">However, this transformation concomitantly creates a need for effective performance evaluation frameworks of e-health systems in the IoT. </w:t>
      </w:r>
    </w:p>
    <w:p w14:paraId="5A71E38F" w14:textId="77777777" w:rsidR="00341E93" w:rsidRDefault="00341E93" w:rsidP="00341E93">
      <w:pPr>
        <w:rPr>
          <w:lang w:eastAsia="zh-CN"/>
        </w:rPr>
      </w:pPr>
      <w:r>
        <w:rPr>
          <w:lang w:eastAsia="zh-CN"/>
        </w:rPr>
        <w:t>This Recommendation addresses this need for effective performance evaluation frameworks of e-health systems in the IoT and includes:</w:t>
      </w:r>
    </w:p>
    <w:p w14:paraId="5E33C5C1" w14:textId="77777777" w:rsidR="00341E93" w:rsidRDefault="00341E93" w:rsidP="00341E93">
      <w:pPr>
        <w:numPr>
          <w:ilvl w:val="0"/>
          <w:numId w:val="13"/>
        </w:numPr>
        <w:tabs>
          <w:tab w:val="clear" w:pos="794"/>
          <w:tab w:val="clear" w:pos="1191"/>
          <w:tab w:val="clear" w:pos="1588"/>
          <w:tab w:val="clear" w:pos="1985"/>
        </w:tabs>
        <w:ind w:left="567" w:hanging="567"/>
        <w:rPr>
          <w:szCs w:val="24"/>
          <w:lang w:eastAsia="zh-CN"/>
        </w:rPr>
      </w:pPr>
      <w:r>
        <w:rPr>
          <w:lang w:eastAsia="zh-CN"/>
        </w:rPr>
        <w:t>A classification of e-health services in the IoT</w:t>
      </w:r>
    </w:p>
    <w:p w14:paraId="03367108" w14:textId="77777777" w:rsidR="00341E93" w:rsidRDefault="00341E93" w:rsidP="00341E93">
      <w:pPr>
        <w:numPr>
          <w:ilvl w:val="0"/>
          <w:numId w:val="14"/>
        </w:numPr>
        <w:tabs>
          <w:tab w:val="clear" w:pos="794"/>
          <w:tab w:val="clear" w:pos="1191"/>
          <w:tab w:val="clear" w:pos="1588"/>
          <w:tab w:val="clear" w:pos="1985"/>
        </w:tabs>
        <w:ind w:left="567" w:hanging="567"/>
        <w:rPr>
          <w:lang w:eastAsia="zh-CN"/>
        </w:rPr>
      </w:pPr>
      <w:r>
        <w:rPr>
          <w:lang w:eastAsia="zh-CN"/>
        </w:rPr>
        <w:t>A non-exhaustive set of non-functional performance evaluation factors applicable to the e-health systems in the IoT</w:t>
      </w:r>
    </w:p>
    <w:p w14:paraId="4070773C" w14:textId="0D3E9133" w:rsidR="00EC7CFE" w:rsidRPr="00341E93" w:rsidRDefault="00341E93" w:rsidP="00EC7CFE">
      <w:pPr>
        <w:numPr>
          <w:ilvl w:val="0"/>
          <w:numId w:val="14"/>
        </w:numPr>
        <w:tabs>
          <w:tab w:val="clear" w:pos="794"/>
          <w:tab w:val="clear" w:pos="1191"/>
          <w:tab w:val="clear" w:pos="1588"/>
          <w:tab w:val="clear" w:pos="1985"/>
        </w:tabs>
        <w:ind w:left="567" w:hanging="567"/>
        <w:rPr>
          <w:lang w:eastAsia="zh-CN"/>
        </w:rPr>
      </w:pPr>
      <w:r>
        <w:rPr>
          <w:lang w:eastAsia="zh-CN"/>
        </w:rPr>
        <w:t>Performance evaluation frameworks for e-health systems in the IoT</w:t>
      </w:r>
    </w:p>
    <w:p w14:paraId="483AA90D" w14:textId="617E2C25" w:rsidR="009A1A66" w:rsidRPr="00D7384A" w:rsidRDefault="009A1A66" w:rsidP="00692261">
      <w:pPr>
        <w:pStyle w:val="Annextitle"/>
        <w:spacing w:before="120"/>
      </w:pPr>
      <w:r w:rsidRPr="00EC7CFE">
        <w:rPr>
          <w:highlight w:val="cyan"/>
        </w:rPr>
        <w:br w:type="page"/>
      </w:r>
      <w:r w:rsidR="00C13D40">
        <w:lastRenderedPageBreak/>
        <w:t>Annex 2</w:t>
      </w:r>
    </w:p>
    <w:p w14:paraId="0D742C65" w14:textId="44CD456E" w:rsidR="008F14F3" w:rsidRPr="00D7384A" w:rsidRDefault="008F14F3" w:rsidP="0006765F">
      <w:pPr>
        <w:pStyle w:val="Annextitle"/>
      </w:pPr>
      <w:r w:rsidRPr="00D7384A">
        <w:t xml:space="preserve">Subject: </w:t>
      </w:r>
      <w:r w:rsidR="00692261" w:rsidRPr="00D7384A">
        <w:t>Member State response</w:t>
      </w:r>
      <w:r w:rsidRPr="00D7384A">
        <w:t xml:space="preserve"> to TSB Circular </w:t>
      </w:r>
      <w:r w:rsidR="00C61AED">
        <w:t>267</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B4DE1" w:rsidRPr="000B4DE1">
        <w:t>new Recommendations ITU-T Y.4471 (ex Y.NDA-arch), Y.4559 (ex Y.UAV-BSI) and Y.4908 (ex Y.IoT-EH-PFE)</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79061137" w14:textId="77777777" w:rsidTr="00780D16">
        <w:tc>
          <w:tcPr>
            <w:tcW w:w="1005" w:type="dxa"/>
            <w:shd w:val="clear" w:color="auto" w:fill="auto"/>
          </w:tcPr>
          <w:p w14:paraId="3CD7DBE9"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401C3C7B"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1649156D" w14:textId="77777777" w:rsidR="008A779C" w:rsidRPr="00A43CA0" w:rsidRDefault="008A779C" w:rsidP="008F14F3">
            <w:pPr>
              <w:spacing w:before="0"/>
              <w:rPr>
                <w:szCs w:val="24"/>
                <w:lang w:val="fr-CH"/>
              </w:rPr>
            </w:pPr>
            <w:r w:rsidRPr="00A43CA0">
              <w:rPr>
                <w:szCs w:val="24"/>
                <w:lang w:val="fr-CH"/>
              </w:rPr>
              <w:t>International Telecommunication Union</w:t>
            </w:r>
          </w:p>
          <w:p w14:paraId="0CC7A8CE" w14:textId="77777777" w:rsidR="008A779C" w:rsidRPr="00A43CA0" w:rsidRDefault="008A779C" w:rsidP="008F14F3">
            <w:pPr>
              <w:spacing w:before="0"/>
              <w:rPr>
                <w:szCs w:val="24"/>
                <w:lang w:val="fr-CH"/>
              </w:rPr>
            </w:pPr>
            <w:r w:rsidRPr="00A43CA0">
              <w:rPr>
                <w:szCs w:val="24"/>
                <w:lang w:val="fr-CH"/>
              </w:rPr>
              <w:t>Place des Nations</w:t>
            </w:r>
          </w:p>
          <w:p w14:paraId="62A38EC5"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7A914A7"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6C8A1286" w14:textId="77777777" w:rsidR="009A1A66" w:rsidRPr="00D7384A" w:rsidRDefault="008A779C" w:rsidP="009A1A66">
            <w:pPr>
              <w:rPr>
                <w:szCs w:val="24"/>
                <w:highlight w:val="green"/>
              </w:rPr>
            </w:pPr>
            <w:r w:rsidRPr="00D7384A">
              <w:rPr>
                <w:szCs w:val="24"/>
                <w:highlight w:val="green"/>
              </w:rPr>
              <w:t>[Name]</w:t>
            </w:r>
          </w:p>
          <w:p w14:paraId="07F57FF1" w14:textId="77777777" w:rsidR="008A779C" w:rsidRPr="00D7384A" w:rsidRDefault="008A779C" w:rsidP="008F14F3">
            <w:pPr>
              <w:spacing w:before="0"/>
              <w:rPr>
                <w:szCs w:val="24"/>
                <w:highlight w:val="green"/>
              </w:rPr>
            </w:pPr>
            <w:r w:rsidRPr="00D7384A">
              <w:rPr>
                <w:szCs w:val="24"/>
                <w:highlight w:val="green"/>
              </w:rPr>
              <w:t>[Official role/title]</w:t>
            </w:r>
          </w:p>
          <w:p w14:paraId="7039EB55" w14:textId="77777777" w:rsidR="008A779C" w:rsidRPr="00D7384A" w:rsidRDefault="008A779C" w:rsidP="009B72DB">
            <w:pPr>
              <w:spacing w:before="0"/>
              <w:rPr>
                <w:szCs w:val="24"/>
              </w:rPr>
            </w:pPr>
            <w:r w:rsidRPr="00D7384A">
              <w:rPr>
                <w:szCs w:val="24"/>
                <w:highlight w:val="green"/>
              </w:rPr>
              <w:t>[Address]</w:t>
            </w:r>
          </w:p>
        </w:tc>
      </w:tr>
      <w:tr w:rsidR="009A1A66" w:rsidRPr="00D7384A" w14:paraId="0DDD59DB" w14:textId="77777777" w:rsidTr="00780D16">
        <w:tc>
          <w:tcPr>
            <w:tcW w:w="1005" w:type="dxa"/>
            <w:shd w:val="clear" w:color="auto" w:fill="auto"/>
          </w:tcPr>
          <w:p w14:paraId="78CF5633"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52AE008"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18E17657" w14:textId="77777777" w:rsidR="009A1A66" w:rsidRPr="00D7384A" w:rsidRDefault="008A779C" w:rsidP="00692261">
            <w:pPr>
              <w:spacing w:before="0"/>
              <w:rPr>
                <w:szCs w:val="24"/>
              </w:rPr>
            </w:pPr>
            <w:r w:rsidRPr="00D7384A">
              <w:rPr>
                <w:szCs w:val="24"/>
              </w:rPr>
              <w:t>+41-22-730-5853</w:t>
            </w:r>
          </w:p>
          <w:p w14:paraId="1C859C82" w14:textId="77777777" w:rsidR="008A779C" w:rsidRPr="00D7384A" w:rsidRDefault="00C40C59" w:rsidP="00692261">
            <w:pPr>
              <w:spacing w:before="0"/>
              <w:rPr>
                <w:szCs w:val="24"/>
              </w:rPr>
            </w:pPr>
            <w:hyperlink r:id="rId14"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CD1E3D8"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B1EAD49"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2EA9EDD" w14:textId="77777777" w:rsidR="009A1A66" w:rsidRPr="00D7384A" w:rsidRDefault="009A1A66" w:rsidP="00692261">
            <w:pPr>
              <w:spacing w:before="0"/>
              <w:rPr>
                <w:szCs w:val="24"/>
              </w:rPr>
            </w:pPr>
          </w:p>
        </w:tc>
      </w:tr>
      <w:tr w:rsidR="009A1A66" w:rsidRPr="00D7384A" w14:paraId="3F6992D5" w14:textId="77777777" w:rsidTr="00780D16">
        <w:tc>
          <w:tcPr>
            <w:tcW w:w="1005" w:type="dxa"/>
            <w:shd w:val="clear" w:color="auto" w:fill="auto"/>
          </w:tcPr>
          <w:p w14:paraId="7FCCEAAA"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7353803A"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56B36AA"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D1D12DD"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5032DA75"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49F3959E" w14:textId="5D118FD4"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0B4DE1">
        <w:rPr>
          <w:szCs w:val="24"/>
        </w:rPr>
        <w:t>text</w:t>
      </w:r>
      <w:r w:rsidR="000B4DE1" w:rsidRPr="000B4DE1">
        <w:rPr>
          <w:szCs w:val="24"/>
        </w:rPr>
        <w:t>s</w:t>
      </w:r>
      <w:r w:rsidRPr="00D7384A">
        <w:rPr>
          <w:szCs w:val="24"/>
        </w:rPr>
        <w:t xml:space="preserve"> listed in </w:t>
      </w:r>
      <w:r w:rsidR="00C51F4B" w:rsidRPr="00D7384A">
        <w:rPr>
          <w:szCs w:val="24"/>
        </w:rPr>
        <w:t xml:space="preserve">TSB Circular </w:t>
      </w:r>
      <w:r w:rsidR="00177A3B">
        <w:rPr>
          <w:szCs w:val="24"/>
        </w:rPr>
        <w:t>267</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634"/>
      </w:tblGrid>
      <w:tr w:rsidR="00BC4AC3" w:rsidRPr="00BC4AC3" w14:paraId="306D34C4" w14:textId="77777777" w:rsidTr="00593449">
        <w:trPr>
          <w:tblHeader/>
        </w:trPr>
        <w:tc>
          <w:tcPr>
            <w:tcW w:w="2067" w:type="dxa"/>
            <w:shd w:val="clear" w:color="auto" w:fill="auto"/>
            <w:vAlign w:val="center"/>
          </w:tcPr>
          <w:p w14:paraId="20BFA372"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72EE061B"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4C969B3" w14:textId="77777777" w:rsidTr="00593449">
        <w:trPr>
          <w:trHeight w:val="748"/>
        </w:trPr>
        <w:tc>
          <w:tcPr>
            <w:tcW w:w="2067" w:type="dxa"/>
            <w:vMerge w:val="restart"/>
            <w:shd w:val="clear" w:color="auto" w:fill="auto"/>
            <w:vAlign w:val="center"/>
          </w:tcPr>
          <w:p w14:paraId="688E1FE3" w14:textId="3EEC1C50" w:rsidR="00BC4AC3" w:rsidRPr="00BC4AC3" w:rsidRDefault="00BC4AC3" w:rsidP="00BC4AC3">
            <w:pPr>
              <w:spacing w:before="60" w:after="60"/>
              <w:jc w:val="center"/>
              <w:rPr>
                <w:b/>
                <w:bCs/>
                <w:szCs w:val="24"/>
                <w:lang w:val="fr-CH"/>
              </w:rPr>
            </w:pPr>
            <w:r w:rsidRPr="00D7384A">
              <w:rPr>
                <w:b/>
                <w:bCs/>
                <w:szCs w:val="24"/>
              </w:rPr>
              <w:t xml:space="preserve">Draft </w:t>
            </w:r>
            <w:r w:rsidR="000B4DE1" w:rsidRPr="000B4DE1">
              <w:rPr>
                <w:b/>
                <w:bCs/>
                <w:szCs w:val="24"/>
              </w:rPr>
              <w:t>new Recommendations ITU-T Y.4471 (ex Y.NDA-arch)</w:t>
            </w:r>
          </w:p>
        </w:tc>
        <w:tc>
          <w:tcPr>
            <w:tcW w:w="7652" w:type="dxa"/>
            <w:shd w:val="clear" w:color="auto" w:fill="auto"/>
            <w:vAlign w:val="center"/>
          </w:tcPr>
          <w:p w14:paraId="2F6A3BC1" w14:textId="4D7DF618"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40C59">
              <w:rPr>
                <w:sz w:val="22"/>
                <w:szCs w:val="22"/>
              </w:rPr>
            </w:r>
            <w:r w:rsidR="00C40C59">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0B4DE1">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983315C"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59094C85"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5629F63" w14:textId="77777777" w:rsidTr="00593449">
        <w:trPr>
          <w:trHeight w:val="747"/>
        </w:trPr>
        <w:tc>
          <w:tcPr>
            <w:tcW w:w="2067" w:type="dxa"/>
            <w:vMerge/>
            <w:shd w:val="clear" w:color="auto" w:fill="auto"/>
            <w:vAlign w:val="center"/>
          </w:tcPr>
          <w:p w14:paraId="4DE8DAA2"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79185430" w14:textId="1C75E79D"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40C59">
              <w:rPr>
                <w:sz w:val="22"/>
                <w:szCs w:val="22"/>
              </w:rPr>
            </w:r>
            <w:r w:rsidR="00C40C59">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0B4DE1">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r w:rsidR="000B4DE1" w:rsidRPr="00BC4AC3" w14:paraId="408BF5AD" w14:textId="77777777" w:rsidTr="00E16EFE">
        <w:trPr>
          <w:trHeight w:val="748"/>
        </w:trPr>
        <w:tc>
          <w:tcPr>
            <w:tcW w:w="2067" w:type="dxa"/>
            <w:vMerge w:val="restart"/>
            <w:shd w:val="clear" w:color="auto" w:fill="auto"/>
            <w:vAlign w:val="center"/>
          </w:tcPr>
          <w:p w14:paraId="142D6C72" w14:textId="475B9550" w:rsidR="000B4DE1" w:rsidRPr="00BC4AC3" w:rsidRDefault="000B4DE1" w:rsidP="00E16EFE">
            <w:pPr>
              <w:spacing w:before="60" w:after="60"/>
              <w:jc w:val="center"/>
              <w:rPr>
                <w:b/>
                <w:bCs/>
                <w:szCs w:val="24"/>
                <w:lang w:val="fr-CH"/>
              </w:rPr>
            </w:pPr>
            <w:r w:rsidRPr="00E35A60">
              <w:rPr>
                <w:b/>
                <w:bCs/>
                <w:szCs w:val="24"/>
                <w:lang w:val="fr-FR"/>
              </w:rPr>
              <w:t>Draft new Recommendations ITU-T Y.4559 (ex Y.UAV-BSI)</w:t>
            </w:r>
          </w:p>
        </w:tc>
        <w:tc>
          <w:tcPr>
            <w:tcW w:w="7652" w:type="dxa"/>
            <w:shd w:val="clear" w:color="auto" w:fill="auto"/>
            <w:vAlign w:val="center"/>
          </w:tcPr>
          <w:p w14:paraId="2DA6057E" w14:textId="77777777" w:rsidR="000B4DE1" w:rsidRPr="00BC4AC3" w:rsidRDefault="000B4DE1" w:rsidP="00E16EFE">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40C59">
              <w:rPr>
                <w:sz w:val="22"/>
                <w:szCs w:val="22"/>
              </w:rPr>
            </w:r>
            <w:r w:rsidR="00C40C59">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52D6F77"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4B1A0704"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0B4DE1" w:rsidRPr="00BC4AC3" w14:paraId="181CC3C0" w14:textId="77777777" w:rsidTr="00E16EFE">
        <w:trPr>
          <w:trHeight w:val="747"/>
        </w:trPr>
        <w:tc>
          <w:tcPr>
            <w:tcW w:w="2067" w:type="dxa"/>
            <w:vMerge/>
            <w:shd w:val="clear" w:color="auto" w:fill="auto"/>
            <w:vAlign w:val="center"/>
          </w:tcPr>
          <w:p w14:paraId="545CC3CA" w14:textId="77777777" w:rsidR="000B4DE1" w:rsidRPr="00BC4AC3" w:rsidRDefault="000B4DE1" w:rsidP="00E16EFE">
            <w:pPr>
              <w:spacing w:before="60" w:after="60"/>
              <w:jc w:val="center"/>
              <w:rPr>
                <w:b/>
                <w:bCs/>
                <w:szCs w:val="24"/>
                <w:lang w:val="en-US"/>
              </w:rPr>
            </w:pPr>
          </w:p>
        </w:tc>
        <w:tc>
          <w:tcPr>
            <w:tcW w:w="7652" w:type="dxa"/>
            <w:shd w:val="clear" w:color="auto" w:fill="auto"/>
            <w:vAlign w:val="center"/>
          </w:tcPr>
          <w:p w14:paraId="05D00357" w14:textId="77777777" w:rsidR="000B4DE1" w:rsidRPr="00BC4AC3" w:rsidRDefault="000B4DE1" w:rsidP="00E16EF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40C59">
              <w:rPr>
                <w:sz w:val="22"/>
                <w:szCs w:val="22"/>
              </w:rPr>
            </w:r>
            <w:r w:rsidR="00C40C59">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r w:rsidR="000B4DE1" w:rsidRPr="00BC4AC3" w14:paraId="35E6CCE5" w14:textId="77777777" w:rsidTr="00E16EFE">
        <w:trPr>
          <w:trHeight w:val="748"/>
        </w:trPr>
        <w:tc>
          <w:tcPr>
            <w:tcW w:w="2067" w:type="dxa"/>
            <w:vMerge w:val="restart"/>
            <w:shd w:val="clear" w:color="auto" w:fill="auto"/>
            <w:vAlign w:val="center"/>
          </w:tcPr>
          <w:p w14:paraId="4EC07BCE" w14:textId="7D9E4A96" w:rsidR="000B4DE1" w:rsidRPr="00BC4AC3" w:rsidRDefault="000B4DE1" w:rsidP="00E16EFE">
            <w:pPr>
              <w:spacing w:before="60" w:after="60"/>
              <w:jc w:val="center"/>
              <w:rPr>
                <w:b/>
                <w:bCs/>
                <w:szCs w:val="24"/>
                <w:lang w:val="fr-CH"/>
              </w:rPr>
            </w:pPr>
            <w:r w:rsidRPr="006A5FD3">
              <w:rPr>
                <w:b/>
                <w:bCs/>
                <w:szCs w:val="24"/>
                <w:lang w:val="fr-CH"/>
              </w:rPr>
              <w:t>Draft new Recommendations ITU-T Y.4908 (ex Y.IoT-EH-PFE)</w:t>
            </w:r>
          </w:p>
        </w:tc>
        <w:tc>
          <w:tcPr>
            <w:tcW w:w="7652" w:type="dxa"/>
            <w:shd w:val="clear" w:color="auto" w:fill="auto"/>
            <w:vAlign w:val="center"/>
          </w:tcPr>
          <w:p w14:paraId="495A8067" w14:textId="77777777" w:rsidR="000B4DE1" w:rsidRPr="00BC4AC3" w:rsidRDefault="000B4DE1" w:rsidP="00E16EFE">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40C59">
              <w:rPr>
                <w:sz w:val="22"/>
                <w:szCs w:val="22"/>
              </w:rPr>
            </w:r>
            <w:r w:rsidR="00C40C59">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FFCBED8"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0E322CA1" w14:textId="77777777" w:rsidR="000B4DE1" w:rsidRPr="00BC4AC3" w:rsidRDefault="000B4DE1" w:rsidP="00E16EFE">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0B4DE1" w:rsidRPr="00BC4AC3" w14:paraId="2B846B1D" w14:textId="77777777" w:rsidTr="00E16EFE">
        <w:trPr>
          <w:trHeight w:val="747"/>
        </w:trPr>
        <w:tc>
          <w:tcPr>
            <w:tcW w:w="2067" w:type="dxa"/>
            <w:vMerge/>
            <w:shd w:val="clear" w:color="auto" w:fill="auto"/>
            <w:vAlign w:val="center"/>
          </w:tcPr>
          <w:p w14:paraId="724F2DB4" w14:textId="77777777" w:rsidR="000B4DE1" w:rsidRPr="00BC4AC3" w:rsidRDefault="000B4DE1" w:rsidP="00E16EFE">
            <w:pPr>
              <w:spacing w:before="60" w:after="60"/>
              <w:jc w:val="center"/>
              <w:rPr>
                <w:b/>
                <w:bCs/>
                <w:szCs w:val="24"/>
                <w:lang w:val="en-US"/>
              </w:rPr>
            </w:pPr>
          </w:p>
        </w:tc>
        <w:tc>
          <w:tcPr>
            <w:tcW w:w="7652" w:type="dxa"/>
            <w:shd w:val="clear" w:color="auto" w:fill="auto"/>
            <w:vAlign w:val="center"/>
          </w:tcPr>
          <w:p w14:paraId="62993B4A" w14:textId="77777777" w:rsidR="000B4DE1" w:rsidRPr="00BC4AC3" w:rsidRDefault="000B4DE1" w:rsidP="00E16EFE">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40C59">
              <w:rPr>
                <w:sz w:val="22"/>
                <w:szCs w:val="22"/>
              </w:rPr>
            </w:r>
            <w:r w:rsidR="00C40C59">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Pr>
                <w:szCs w:val="24"/>
              </w:rPr>
              <w:t xml:space="preserve">20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49BF6633" w14:textId="77777777" w:rsidR="000B4DE1" w:rsidRPr="00D7384A" w:rsidRDefault="000B4DE1" w:rsidP="009A1A66"/>
    <w:p w14:paraId="6A2024DA" w14:textId="77777777" w:rsidR="008F14F3" w:rsidRPr="00D7384A" w:rsidRDefault="008F14F3" w:rsidP="00692261">
      <w:pPr>
        <w:spacing w:before="0"/>
      </w:pPr>
      <w:r w:rsidRPr="00D7384A">
        <w:t>Yours faithfully,</w:t>
      </w:r>
    </w:p>
    <w:p w14:paraId="6E32AF5C" w14:textId="77777777" w:rsidR="008F14F3" w:rsidRPr="00D7384A" w:rsidRDefault="008F14F3" w:rsidP="008F14F3"/>
    <w:p w14:paraId="297E5967" w14:textId="77777777" w:rsidR="00692261" w:rsidRPr="00D7384A" w:rsidRDefault="00692261" w:rsidP="00692261">
      <w:pPr>
        <w:rPr>
          <w:szCs w:val="24"/>
          <w:highlight w:val="green"/>
        </w:rPr>
      </w:pPr>
      <w:r w:rsidRPr="00D7384A">
        <w:rPr>
          <w:szCs w:val="24"/>
          <w:highlight w:val="green"/>
        </w:rPr>
        <w:lastRenderedPageBreak/>
        <w:t>[Name]</w:t>
      </w:r>
    </w:p>
    <w:p w14:paraId="6F389D5B" w14:textId="77777777" w:rsidR="00692261" w:rsidRPr="00D7384A" w:rsidRDefault="00692261" w:rsidP="00692261">
      <w:pPr>
        <w:rPr>
          <w:szCs w:val="24"/>
        </w:rPr>
      </w:pPr>
      <w:r w:rsidRPr="00D7384A">
        <w:rPr>
          <w:szCs w:val="24"/>
          <w:highlight w:val="green"/>
        </w:rPr>
        <w:t>[Official role/title]</w:t>
      </w:r>
    </w:p>
    <w:p w14:paraId="69F99D33"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28109228" w14:textId="77777777" w:rsidR="00852B82" w:rsidRPr="00D7384A" w:rsidRDefault="00691DAA" w:rsidP="008F14F3">
      <w:pPr>
        <w:jc w:val="center"/>
      </w:pPr>
      <w:r w:rsidRPr="00D7384A">
        <w:t>___________</w:t>
      </w:r>
    </w:p>
    <w:sectPr w:rsidR="00852B82" w:rsidRPr="00D7384A" w:rsidSect="00852B82">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E2409" w14:textId="77777777" w:rsidR="006D071D" w:rsidRDefault="006D071D">
      <w:r>
        <w:separator/>
      </w:r>
    </w:p>
  </w:endnote>
  <w:endnote w:type="continuationSeparator" w:id="0">
    <w:p w14:paraId="1177DD55" w14:textId="77777777" w:rsidR="006D071D" w:rsidRDefault="006D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7D03" w14:textId="77777777" w:rsidR="008F14F3" w:rsidRPr="00FC364D" w:rsidRDefault="008F14F3" w:rsidP="00F763C8">
    <w:pPr>
      <w:tabs>
        <w:tab w:val="left" w:pos="5954"/>
        <w:tab w:val="right" w:pos="9639"/>
      </w:tabs>
      <w:jc w:val="center"/>
      <w:rPr>
        <w:caps/>
        <w:noProof/>
        <w:sz w:val="18"/>
        <w:szCs w:val="18"/>
      </w:rPr>
    </w:pPr>
    <w:r w:rsidRPr="00FC364D">
      <w:rPr>
        <w:rFonts w:cs="Calibri"/>
        <w:noProof/>
        <w:color w:val="0070C0"/>
        <w:sz w:val="18"/>
        <w:szCs w:val="18"/>
        <w:lang w:val="fr-CH"/>
      </w:rPr>
      <w:t xml:space="preserve">International Telecommunication Union • Place des Nations </w:t>
    </w:r>
    <w:r w:rsidRPr="00FC364D">
      <w:rPr>
        <w:rFonts w:cs="Calibri"/>
        <w:caps/>
        <w:noProof/>
        <w:color w:val="0070C0"/>
        <w:sz w:val="18"/>
        <w:szCs w:val="18"/>
        <w:lang w:val="fr-CH"/>
      </w:rPr>
      <w:t>•</w:t>
    </w:r>
    <w:r w:rsidRPr="00FC364D">
      <w:rPr>
        <w:rFonts w:cs="Calibri"/>
        <w:noProof/>
        <w:color w:val="0070C0"/>
        <w:sz w:val="18"/>
        <w:szCs w:val="18"/>
        <w:lang w:val="fr-CH"/>
      </w:rPr>
      <w:t xml:space="preserve"> CH</w:t>
    </w:r>
    <w:r w:rsidRPr="00FC364D">
      <w:rPr>
        <w:rFonts w:cs="Calibri"/>
        <w:noProof/>
        <w:color w:val="0070C0"/>
        <w:sz w:val="18"/>
        <w:szCs w:val="18"/>
        <w:lang w:val="fr-CH"/>
      </w:rPr>
      <w:noBreakHyphen/>
      <w:t xml:space="preserve">1211 Geneva 20 </w:t>
    </w:r>
    <w:r w:rsidRPr="00FC364D">
      <w:rPr>
        <w:rFonts w:cs="Calibri"/>
        <w:caps/>
        <w:noProof/>
        <w:color w:val="0070C0"/>
        <w:sz w:val="18"/>
        <w:szCs w:val="18"/>
        <w:lang w:val="fr-CH"/>
      </w:rPr>
      <w:t>•</w:t>
    </w:r>
    <w:r w:rsidRPr="00FC364D">
      <w:rPr>
        <w:rFonts w:cs="Calibri"/>
        <w:noProof/>
        <w:color w:val="0070C0"/>
        <w:sz w:val="18"/>
        <w:szCs w:val="18"/>
        <w:lang w:val="fr-CH"/>
      </w:rPr>
      <w:t xml:space="preserve"> Switzerland </w:t>
    </w:r>
    <w:r w:rsidRPr="00FC364D">
      <w:rPr>
        <w:rFonts w:cs="Calibri"/>
        <w:caps/>
        <w:noProof/>
        <w:color w:val="0070C0"/>
        <w:sz w:val="18"/>
        <w:szCs w:val="18"/>
        <w:lang w:val="fr-CH"/>
      </w:rPr>
      <w:br/>
    </w:r>
    <w:r w:rsidRPr="00FC364D">
      <w:rPr>
        <w:rFonts w:cs="Calibri"/>
        <w:noProof/>
        <w:color w:val="0070C0"/>
        <w:sz w:val="18"/>
        <w:szCs w:val="18"/>
        <w:lang w:val="fr-CH"/>
      </w:rPr>
      <w:t>Tel:</w:t>
    </w:r>
    <w:r w:rsidRPr="00FC364D">
      <w:rPr>
        <w:rFonts w:cs="Calibri"/>
        <w:caps/>
        <w:noProof/>
        <w:color w:val="0070C0"/>
        <w:sz w:val="18"/>
        <w:szCs w:val="18"/>
        <w:lang w:val="fr-CH"/>
      </w:rPr>
      <w:t xml:space="preserve"> +41 22 730 5111 • </w:t>
    </w:r>
    <w:r w:rsidRPr="00FC364D">
      <w:rPr>
        <w:rFonts w:cs="Calibri"/>
        <w:noProof/>
        <w:color w:val="0070C0"/>
        <w:sz w:val="18"/>
        <w:szCs w:val="18"/>
        <w:lang w:val="fr-CH"/>
      </w:rPr>
      <w:t>Fax</w:t>
    </w:r>
    <w:r w:rsidRPr="00FC364D">
      <w:rPr>
        <w:rFonts w:cs="Calibri"/>
        <w:caps/>
        <w:noProof/>
        <w:color w:val="0070C0"/>
        <w:sz w:val="18"/>
        <w:szCs w:val="18"/>
        <w:lang w:val="fr-CH"/>
      </w:rPr>
      <w:t>: +41 22 733 7256 • E-</w:t>
    </w:r>
    <w:r w:rsidRPr="00FC364D">
      <w:rPr>
        <w:rFonts w:cs="Calibri"/>
        <w:noProof/>
        <w:color w:val="0070C0"/>
        <w:sz w:val="18"/>
        <w:szCs w:val="18"/>
        <w:lang w:val="fr-CH"/>
      </w:rPr>
      <w:t>mail</w:t>
    </w:r>
    <w:r w:rsidRPr="00FC364D">
      <w:rPr>
        <w:rFonts w:cs="Calibri"/>
        <w:caps/>
        <w:noProof/>
        <w:color w:val="0070C0"/>
        <w:sz w:val="18"/>
        <w:szCs w:val="18"/>
        <w:lang w:val="fr-CH"/>
      </w:rPr>
      <w:t xml:space="preserve">: </w:t>
    </w:r>
    <w:hyperlink r:id="rId1" w:history="1">
      <w:r w:rsidRPr="00FC364D">
        <w:rPr>
          <w:rFonts w:cs="Calibri"/>
          <w:noProof/>
          <w:color w:val="0070C0"/>
          <w:sz w:val="18"/>
          <w:szCs w:val="18"/>
          <w:u w:val="single"/>
          <w:lang w:val="fr-CH"/>
        </w:rPr>
        <w:t>itumail@itu.int</w:t>
      </w:r>
    </w:hyperlink>
    <w:r w:rsidRPr="00FC364D">
      <w:rPr>
        <w:rFonts w:cs="Calibri"/>
        <w:noProof/>
        <w:color w:val="0070C0"/>
        <w:sz w:val="18"/>
        <w:szCs w:val="18"/>
        <w:lang w:val="fr-CH"/>
      </w:rPr>
      <w:t xml:space="preserve"> • </w:t>
    </w:r>
    <w:hyperlink r:id="rId2" w:history="1">
      <w:r w:rsidRPr="00FC364D">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9048A" w14:textId="77777777" w:rsidR="006D071D" w:rsidRDefault="006D071D">
      <w:r>
        <w:t>____________________</w:t>
      </w:r>
    </w:p>
  </w:footnote>
  <w:footnote w:type="continuationSeparator" w:id="0">
    <w:p w14:paraId="5AB5013D" w14:textId="77777777" w:rsidR="006D071D" w:rsidRDefault="006D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3BB3" w14:textId="21BB5FAC"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C61AED">
      <w:t>267</w:t>
    </w:r>
  </w:p>
  <w:p w14:paraId="786911B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C5309F"/>
    <w:multiLevelType w:val="hybridMultilevel"/>
    <w:tmpl w:val="EECED29E"/>
    <w:lvl w:ilvl="0" w:tplc="F454EF5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2" w15:restartNumberingAfterBreak="0">
    <w:nsid w:val="507905BC"/>
    <w:multiLevelType w:val="hybridMultilevel"/>
    <w:tmpl w:val="60F03D20"/>
    <w:lvl w:ilvl="0" w:tplc="F454EF5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C0"/>
    <w:rsid w:val="00002BC4"/>
    <w:rsid w:val="00041231"/>
    <w:rsid w:val="000528FF"/>
    <w:rsid w:val="0006765F"/>
    <w:rsid w:val="00067FDC"/>
    <w:rsid w:val="00076B60"/>
    <w:rsid w:val="00087690"/>
    <w:rsid w:val="000B4DE1"/>
    <w:rsid w:val="000E7066"/>
    <w:rsid w:val="0016049B"/>
    <w:rsid w:val="00164419"/>
    <w:rsid w:val="00177A3B"/>
    <w:rsid w:val="0018039E"/>
    <w:rsid w:val="0018632F"/>
    <w:rsid w:val="001B1770"/>
    <w:rsid w:val="001E17EA"/>
    <w:rsid w:val="001E32E7"/>
    <w:rsid w:val="001F3BDD"/>
    <w:rsid w:val="001F4FBE"/>
    <w:rsid w:val="002112BB"/>
    <w:rsid w:val="002414F2"/>
    <w:rsid w:val="00290976"/>
    <w:rsid w:val="002A4977"/>
    <w:rsid w:val="002B3E1F"/>
    <w:rsid w:val="002E0E8B"/>
    <w:rsid w:val="00334A43"/>
    <w:rsid w:val="00341E93"/>
    <w:rsid w:val="003C7BEF"/>
    <w:rsid w:val="003D4331"/>
    <w:rsid w:val="003E07CD"/>
    <w:rsid w:val="003F1773"/>
    <w:rsid w:val="00425273"/>
    <w:rsid w:val="00440CB5"/>
    <w:rsid w:val="0045007E"/>
    <w:rsid w:val="00450779"/>
    <w:rsid w:val="00470241"/>
    <w:rsid w:val="004B1587"/>
    <w:rsid w:val="004B50B2"/>
    <w:rsid w:val="00520612"/>
    <w:rsid w:val="00524224"/>
    <w:rsid w:val="005D124E"/>
    <w:rsid w:val="005D297E"/>
    <w:rsid w:val="00607E07"/>
    <w:rsid w:val="00626967"/>
    <w:rsid w:val="00630BA3"/>
    <w:rsid w:val="006812CD"/>
    <w:rsid w:val="00691DAA"/>
    <w:rsid w:val="00692261"/>
    <w:rsid w:val="006A2FAB"/>
    <w:rsid w:val="006A5FD3"/>
    <w:rsid w:val="006D071D"/>
    <w:rsid w:val="006D7724"/>
    <w:rsid w:val="006E7431"/>
    <w:rsid w:val="007077C1"/>
    <w:rsid w:val="0072062B"/>
    <w:rsid w:val="00720A5D"/>
    <w:rsid w:val="007311BA"/>
    <w:rsid w:val="00733B5C"/>
    <w:rsid w:val="007526FA"/>
    <w:rsid w:val="00763B08"/>
    <w:rsid w:val="00765253"/>
    <w:rsid w:val="00770EF1"/>
    <w:rsid w:val="00780D16"/>
    <w:rsid w:val="007A0105"/>
    <w:rsid w:val="007C7DA8"/>
    <w:rsid w:val="00831BAA"/>
    <w:rsid w:val="00852B82"/>
    <w:rsid w:val="00860AE1"/>
    <w:rsid w:val="008A23B1"/>
    <w:rsid w:val="008A540B"/>
    <w:rsid w:val="008A779C"/>
    <w:rsid w:val="008E2396"/>
    <w:rsid w:val="008E5C2F"/>
    <w:rsid w:val="008F14F3"/>
    <w:rsid w:val="00901734"/>
    <w:rsid w:val="00912F9D"/>
    <w:rsid w:val="00944A88"/>
    <w:rsid w:val="0094539E"/>
    <w:rsid w:val="00964A6B"/>
    <w:rsid w:val="00985B35"/>
    <w:rsid w:val="009A1A66"/>
    <w:rsid w:val="009B72DB"/>
    <w:rsid w:val="009F7B79"/>
    <w:rsid w:val="00A21457"/>
    <w:rsid w:val="00A4376F"/>
    <w:rsid w:val="00A43CA0"/>
    <w:rsid w:val="00AC709F"/>
    <w:rsid w:val="00B33034"/>
    <w:rsid w:val="00B45C37"/>
    <w:rsid w:val="00B6629C"/>
    <w:rsid w:val="00B84AE5"/>
    <w:rsid w:val="00B86BF0"/>
    <w:rsid w:val="00B94A59"/>
    <w:rsid w:val="00BA28E3"/>
    <w:rsid w:val="00BC4AC3"/>
    <w:rsid w:val="00C007D7"/>
    <w:rsid w:val="00C13D40"/>
    <w:rsid w:val="00C23D2B"/>
    <w:rsid w:val="00C40C59"/>
    <w:rsid w:val="00C50517"/>
    <w:rsid w:val="00C51F4B"/>
    <w:rsid w:val="00C61AED"/>
    <w:rsid w:val="00C65B9E"/>
    <w:rsid w:val="00CF3418"/>
    <w:rsid w:val="00D02492"/>
    <w:rsid w:val="00D22D78"/>
    <w:rsid w:val="00D62CEF"/>
    <w:rsid w:val="00D7384A"/>
    <w:rsid w:val="00D92917"/>
    <w:rsid w:val="00DB770A"/>
    <w:rsid w:val="00DF1780"/>
    <w:rsid w:val="00DF664C"/>
    <w:rsid w:val="00E32F10"/>
    <w:rsid w:val="00E35A60"/>
    <w:rsid w:val="00E36B12"/>
    <w:rsid w:val="00E54801"/>
    <w:rsid w:val="00E55E1F"/>
    <w:rsid w:val="00E72D24"/>
    <w:rsid w:val="00E901A9"/>
    <w:rsid w:val="00EA3D68"/>
    <w:rsid w:val="00EA4BA5"/>
    <w:rsid w:val="00EC7CFE"/>
    <w:rsid w:val="00ED76A0"/>
    <w:rsid w:val="00F11BC5"/>
    <w:rsid w:val="00F21679"/>
    <w:rsid w:val="00F7192E"/>
    <w:rsid w:val="00F751B3"/>
    <w:rsid w:val="00F763C8"/>
    <w:rsid w:val="00F96117"/>
    <w:rsid w:val="00FC364D"/>
    <w:rsid w:val="00FC56DF"/>
    <w:rsid w:val="00FC7FC0"/>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563D68"/>
  <w15:docId w15:val="{8582CDF5-4DB6-46FF-BD55-73BD6915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A21457"/>
    <w:rPr>
      <w:color w:val="605E5C"/>
      <w:shd w:val="clear" w:color="auto" w:fill="E1DFDD"/>
    </w:rPr>
  </w:style>
  <w:style w:type="paragraph" w:styleId="ListParagraph">
    <w:name w:val="List Paragraph"/>
    <w:basedOn w:val="Normal"/>
    <w:qFormat/>
    <w:rsid w:val="00FC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214224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33715227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93996246">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https://www.itu.int/md/meetingdoc.asp?lang=en&amp;parent=T17-SG20-R-00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meetingdoc.asp?lang=en&amp;parent=T17-SG20-R-00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SG20-R-00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11</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8679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TSB</cp:lastModifiedBy>
  <cp:revision>5</cp:revision>
  <dcterms:created xsi:type="dcterms:W3CDTF">2020-09-01T15:03:00Z</dcterms:created>
  <dcterms:modified xsi:type="dcterms:W3CDTF">2020-09-02T06:29:00Z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