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3E2630" w14:paraId="5257EAB3" w14:textId="77777777" w:rsidTr="007B6316">
        <w:trPr>
          <w:cantSplit/>
          <w:trHeight w:val="340"/>
        </w:trPr>
        <w:tc>
          <w:tcPr>
            <w:tcW w:w="1410" w:type="dxa"/>
            <w:gridSpan w:val="2"/>
          </w:tcPr>
          <w:p w14:paraId="54B7B764" w14:textId="77777777" w:rsidR="007B6316" w:rsidRPr="003E2630" w:rsidRDefault="007B6316" w:rsidP="00303D62">
            <w:pPr>
              <w:tabs>
                <w:tab w:val="left" w:pos="4111"/>
              </w:tabs>
              <w:spacing w:before="10"/>
              <w:ind w:left="57"/>
              <w:rPr>
                <w:sz w:val="22"/>
              </w:rPr>
            </w:pPr>
            <w:r w:rsidRPr="003E2630">
              <w:rPr>
                <w:noProof/>
                <w:lang w:eastAsia="zh-CN"/>
              </w:rPr>
              <w:drawing>
                <wp:inline distT="0" distB="0" distL="0" distR="0" wp14:anchorId="52A60BED" wp14:editId="47246C7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70353DE" w14:textId="77777777" w:rsidR="007B6316" w:rsidRPr="003E2630" w:rsidRDefault="007B6316" w:rsidP="007B6316">
            <w:pPr>
              <w:spacing w:before="0"/>
              <w:rPr>
                <w:rFonts w:cs="Times New Roman Bold"/>
                <w:b/>
                <w:bCs/>
                <w:smallCaps/>
                <w:sz w:val="26"/>
                <w:szCs w:val="26"/>
              </w:rPr>
            </w:pPr>
            <w:r w:rsidRPr="003E2630">
              <w:rPr>
                <w:rFonts w:cs="Times New Roman Bold"/>
                <w:b/>
                <w:bCs/>
                <w:smallCaps/>
                <w:sz w:val="36"/>
                <w:szCs w:val="36"/>
              </w:rPr>
              <w:t>Unión Internacional de Telecomunicaciones</w:t>
            </w:r>
          </w:p>
          <w:p w14:paraId="45B52BA3" w14:textId="77777777" w:rsidR="007B6316" w:rsidRPr="003E2630" w:rsidRDefault="007B6316" w:rsidP="007B6316">
            <w:pPr>
              <w:spacing w:before="0"/>
            </w:pPr>
            <w:r w:rsidRPr="003E2630">
              <w:rPr>
                <w:rFonts w:cs="Times New Roman Bold"/>
                <w:b/>
                <w:bCs/>
                <w:smallCaps/>
                <w:sz w:val="28"/>
                <w:szCs w:val="28"/>
              </w:rPr>
              <w:t>Oficina</w:t>
            </w:r>
            <w:r w:rsidRPr="003E2630">
              <w:rPr>
                <w:rFonts w:cs="Times New Roman Bold"/>
                <w:b/>
                <w:bCs/>
                <w:iCs/>
                <w:smallCaps/>
                <w:sz w:val="22"/>
                <w:szCs w:val="22"/>
              </w:rPr>
              <w:t xml:space="preserve"> </w:t>
            </w:r>
            <w:r w:rsidRPr="003E2630">
              <w:rPr>
                <w:rFonts w:cs="Times New Roman Bold"/>
                <w:b/>
                <w:bCs/>
                <w:iCs/>
                <w:smallCaps/>
                <w:sz w:val="28"/>
                <w:szCs w:val="28"/>
              </w:rPr>
              <w:t>de Normalización de las Telecomunicaciones</w:t>
            </w:r>
          </w:p>
        </w:tc>
      </w:tr>
      <w:tr w:rsidR="007B6316" w:rsidRPr="003E2630" w14:paraId="6B5AEB01" w14:textId="77777777" w:rsidTr="00E6450F">
        <w:trPr>
          <w:cantSplit/>
          <w:trHeight w:val="340"/>
        </w:trPr>
        <w:tc>
          <w:tcPr>
            <w:tcW w:w="1126" w:type="dxa"/>
          </w:tcPr>
          <w:p w14:paraId="11D3B0BE" w14:textId="77777777" w:rsidR="007B6316" w:rsidRPr="003E2630" w:rsidRDefault="007B6316" w:rsidP="00303D62">
            <w:pPr>
              <w:tabs>
                <w:tab w:val="left" w:pos="4111"/>
              </w:tabs>
              <w:spacing w:before="10"/>
              <w:ind w:left="57"/>
              <w:rPr>
                <w:b/>
                <w:bCs/>
                <w:sz w:val="22"/>
              </w:rPr>
            </w:pPr>
          </w:p>
        </w:tc>
        <w:tc>
          <w:tcPr>
            <w:tcW w:w="3751" w:type="dxa"/>
            <w:gridSpan w:val="2"/>
          </w:tcPr>
          <w:p w14:paraId="01302917" w14:textId="77777777" w:rsidR="007B6316" w:rsidRPr="003E2630" w:rsidRDefault="007B6316" w:rsidP="00303D62">
            <w:pPr>
              <w:tabs>
                <w:tab w:val="left" w:pos="4111"/>
              </w:tabs>
              <w:spacing w:before="0"/>
              <w:ind w:left="57"/>
              <w:rPr>
                <w:b/>
              </w:rPr>
            </w:pPr>
          </w:p>
        </w:tc>
        <w:tc>
          <w:tcPr>
            <w:tcW w:w="5329" w:type="dxa"/>
          </w:tcPr>
          <w:p w14:paraId="2FA51672" w14:textId="77777777" w:rsidR="007B6316" w:rsidRPr="003E2630" w:rsidRDefault="007B6316" w:rsidP="007B6316">
            <w:pPr>
              <w:tabs>
                <w:tab w:val="clear" w:pos="794"/>
                <w:tab w:val="clear" w:pos="1191"/>
                <w:tab w:val="clear" w:pos="1588"/>
                <w:tab w:val="clear" w:pos="1985"/>
                <w:tab w:val="left" w:pos="284"/>
              </w:tabs>
              <w:spacing w:after="120"/>
              <w:ind w:left="284" w:hanging="227"/>
            </w:pPr>
            <w:r w:rsidRPr="003E2630">
              <w:rPr>
                <w:szCs w:val="24"/>
              </w:rPr>
              <w:t>Ginebra,</w:t>
            </w:r>
            <w:r w:rsidR="00E6450F" w:rsidRPr="003E2630">
              <w:t xml:space="preserve"> </w:t>
            </w:r>
            <w:r w:rsidR="00E6450F" w:rsidRPr="003E2630">
              <w:rPr>
                <w:szCs w:val="24"/>
              </w:rPr>
              <w:t>1 de septiembre de 2020</w:t>
            </w:r>
          </w:p>
        </w:tc>
      </w:tr>
      <w:tr w:rsidR="007B6316" w:rsidRPr="003E2630" w14:paraId="090ECA3C" w14:textId="77777777" w:rsidTr="00E6450F">
        <w:trPr>
          <w:cantSplit/>
          <w:trHeight w:val="340"/>
        </w:trPr>
        <w:tc>
          <w:tcPr>
            <w:tcW w:w="1126" w:type="dxa"/>
          </w:tcPr>
          <w:p w14:paraId="19F677AB" w14:textId="77777777" w:rsidR="007B6316" w:rsidRPr="003E2630" w:rsidRDefault="007B6316" w:rsidP="00706F9D">
            <w:pPr>
              <w:tabs>
                <w:tab w:val="left" w:pos="4111"/>
              </w:tabs>
              <w:spacing w:before="40" w:after="40"/>
              <w:ind w:left="57"/>
              <w:rPr>
                <w:b/>
                <w:bCs/>
                <w:szCs w:val="24"/>
              </w:rPr>
            </w:pPr>
            <w:r w:rsidRPr="003E2630">
              <w:rPr>
                <w:b/>
                <w:bCs/>
                <w:szCs w:val="24"/>
              </w:rPr>
              <w:t>Ref.:</w:t>
            </w:r>
          </w:p>
        </w:tc>
        <w:tc>
          <w:tcPr>
            <w:tcW w:w="3751" w:type="dxa"/>
            <w:gridSpan w:val="2"/>
          </w:tcPr>
          <w:p w14:paraId="1F59A561" w14:textId="77777777" w:rsidR="007B6316" w:rsidRPr="003E2630" w:rsidRDefault="007B6316" w:rsidP="00706F9D">
            <w:pPr>
              <w:tabs>
                <w:tab w:val="left" w:pos="4111"/>
              </w:tabs>
              <w:spacing w:before="40" w:after="40"/>
              <w:ind w:left="57"/>
              <w:rPr>
                <w:b/>
              </w:rPr>
            </w:pPr>
            <w:r w:rsidRPr="003E2630">
              <w:rPr>
                <w:b/>
              </w:rPr>
              <w:t xml:space="preserve">Circular TSB </w:t>
            </w:r>
            <w:r w:rsidR="00E6450F" w:rsidRPr="003E2630">
              <w:rPr>
                <w:b/>
              </w:rPr>
              <w:t>267</w:t>
            </w:r>
          </w:p>
          <w:p w14:paraId="4D2A2DF0" w14:textId="77777777" w:rsidR="007B6316" w:rsidRPr="003E2630" w:rsidRDefault="008E7178" w:rsidP="00706F9D">
            <w:pPr>
              <w:tabs>
                <w:tab w:val="left" w:pos="4111"/>
              </w:tabs>
              <w:spacing w:before="40" w:after="40"/>
              <w:ind w:left="57"/>
            </w:pPr>
            <w:r w:rsidRPr="003E2630">
              <w:t>CE </w:t>
            </w:r>
            <w:r w:rsidR="00E6450F" w:rsidRPr="003E2630">
              <w:t>20/CB</w:t>
            </w:r>
          </w:p>
        </w:tc>
        <w:tc>
          <w:tcPr>
            <w:tcW w:w="5329" w:type="dxa"/>
            <w:vMerge w:val="restart"/>
          </w:tcPr>
          <w:p w14:paraId="663136C3" w14:textId="77777777" w:rsidR="007B6316" w:rsidRPr="003E2630" w:rsidRDefault="00E6450F" w:rsidP="00706F9D">
            <w:pPr>
              <w:tabs>
                <w:tab w:val="clear" w:pos="794"/>
                <w:tab w:val="clear" w:pos="1191"/>
                <w:tab w:val="clear" w:pos="1588"/>
                <w:tab w:val="clear" w:pos="1985"/>
                <w:tab w:val="left" w:pos="284"/>
              </w:tabs>
              <w:spacing w:before="40" w:after="40"/>
              <w:ind w:left="284" w:hanging="227"/>
            </w:pPr>
            <w:bookmarkStart w:id="0" w:name="Addressee_S"/>
            <w:bookmarkEnd w:id="0"/>
            <w:r w:rsidRPr="003E2630">
              <w:t>–</w:t>
            </w:r>
            <w:r w:rsidR="007B6316" w:rsidRPr="003E2630">
              <w:tab/>
              <w:t xml:space="preserve">A las Administraciones de los Estados Miembros </w:t>
            </w:r>
            <w:r w:rsidRPr="003E2630">
              <w:br/>
            </w:r>
            <w:r w:rsidR="007B6316" w:rsidRPr="003E2630">
              <w:t>de la Unión</w:t>
            </w:r>
          </w:p>
        </w:tc>
      </w:tr>
      <w:tr w:rsidR="007B6316" w:rsidRPr="003E2630" w14:paraId="7F676F94" w14:textId="77777777" w:rsidTr="00E6450F">
        <w:trPr>
          <w:cantSplit/>
        </w:trPr>
        <w:tc>
          <w:tcPr>
            <w:tcW w:w="1126" w:type="dxa"/>
          </w:tcPr>
          <w:p w14:paraId="177108C9" w14:textId="77777777" w:rsidR="007B6316" w:rsidRPr="003E2630" w:rsidRDefault="007B6316" w:rsidP="00706F9D">
            <w:pPr>
              <w:tabs>
                <w:tab w:val="left" w:pos="4111"/>
              </w:tabs>
              <w:spacing w:before="40" w:after="40"/>
              <w:ind w:left="57"/>
              <w:rPr>
                <w:b/>
                <w:bCs/>
                <w:szCs w:val="24"/>
              </w:rPr>
            </w:pPr>
            <w:r w:rsidRPr="003E2630">
              <w:rPr>
                <w:b/>
                <w:bCs/>
                <w:szCs w:val="24"/>
              </w:rPr>
              <w:t>Tel.:</w:t>
            </w:r>
          </w:p>
        </w:tc>
        <w:tc>
          <w:tcPr>
            <w:tcW w:w="3751" w:type="dxa"/>
            <w:gridSpan w:val="2"/>
          </w:tcPr>
          <w:p w14:paraId="666AC835" w14:textId="77777777" w:rsidR="007B6316" w:rsidRPr="003E2630" w:rsidRDefault="00E6450F" w:rsidP="00706F9D">
            <w:pPr>
              <w:tabs>
                <w:tab w:val="left" w:pos="4111"/>
              </w:tabs>
              <w:spacing w:before="40" w:after="40"/>
              <w:ind w:left="57"/>
            </w:pPr>
            <w:r w:rsidRPr="003E2630">
              <w:t>+41 22 730 6301</w:t>
            </w:r>
          </w:p>
        </w:tc>
        <w:tc>
          <w:tcPr>
            <w:tcW w:w="5329" w:type="dxa"/>
            <w:vMerge/>
          </w:tcPr>
          <w:p w14:paraId="298F7425" w14:textId="77777777" w:rsidR="007B6316" w:rsidRPr="003E2630" w:rsidRDefault="007B6316" w:rsidP="00706F9D">
            <w:pPr>
              <w:tabs>
                <w:tab w:val="left" w:pos="4111"/>
              </w:tabs>
              <w:spacing w:before="40" w:after="40"/>
              <w:rPr>
                <w:b/>
              </w:rPr>
            </w:pPr>
          </w:p>
        </w:tc>
      </w:tr>
      <w:tr w:rsidR="007B6316" w:rsidRPr="003E2630" w14:paraId="65DD34CD" w14:textId="77777777" w:rsidTr="00E6450F">
        <w:trPr>
          <w:cantSplit/>
        </w:trPr>
        <w:tc>
          <w:tcPr>
            <w:tcW w:w="1126" w:type="dxa"/>
          </w:tcPr>
          <w:p w14:paraId="3E306D30" w14:textId="77777777" w:rsidR="007B6316" w:rsidRPr="003E2630" w:rsidRDefault="007B6316" w:rsidP="00706F9D">
            <w:pPr>
              <w:tabs>
                <w:tab w:val="left" w:pos="4111"/>
              </w:tabs>
              <w:spacing w:before="40" w:after="40"/>
              <w:ind w:left="57"/>
              <w:rPr>
                <w:b/>
                <w:bCs/>
                <w:szCs w:val="24"/>
              </w:rPr>
            </w:pPr>
            <w:r w:rsidRPr="003E2630">
              <w:rPr>
                <w:b/>
                <w:bCs/>
                <w:szCs w:val="24"/>
              </w:rPr>
              <w:t>Fax:</w:t>
            </w:r>
          </w:p>
        </w:tc>
        <w:tc>
          <w:tcPr>
            <w:tcW w:w="3751" w:type="dxa"/>
            <w:gridSpan w:val="2"/>
          </w:tcPr>
          <w:p w14:paraId="62D99DFB" w14:textId="77777777" w:rsidR="007B6316" w:rsidRPr="003E2630" w:rsidRDefault="00E6450F" w:rsidP="00706F9D">
            <w:pPr>
              <w:tabs>
                <w:tab w:val="left" w:pos="4111"/>
              </w:tabs>
              <w:spacing w:before="40" w:after="40"/>
              <w:ind w:left="57"/>
            </w:pPr>
            <w:r w:rsidRPr="003E2630">
              <w:t>+41 22 730 5853</w:t>
            </w:r>
          </w:p>
        </w:tc>
        <w:tc>
          <w:tcPr>
            <w:tcW w:w="5329" w:type="dxa"/>
            <w:vMerge/>
          </w:tcPr>
          <w:p w14:paraId="518E9454" w14:textId="77777777" w:rsidR="007B6316" w:rsidRPr="003E2630" w:rsidRDefault="007B6316" w:rsidP="00706F9D">
            <w:pPr>
              <w:tabs>
                <w:tab w:val="left" w:pos="4111"/>
              </w:tabs>
              <w:spacing w:before="40" w:after="40"/>
              <w:rPr>
                <w:b/>
              </w:rPr>
            </w:pPr>
          </w:p>
        </w:tc>
      </w:tr>
      <w:tr w:rsidR="00C34772" w:rsidRPr="003E2630" w14:paraId="64A26903" w14:textId="77777777" w:rsidTr="00E6450F">
        <w:trPr>
          <w:cantSplit/>
        </w:trPr>
        <w:tc>
          <w:tcPr>
            <w:tcW w:w="1126" w:type="dxa"/>
          </w:tcPr>
          <w:p w14:paraId="723F97F4" w14:textId="77777777" w:rsidR="00C34772" w:rsidRPr="003E2630" w:rsidRDefault="00C34772" w:rsidP="00706F9D">
            <w:pPr>
              <w:tabs>
                <w:tab w:val="left" w:pos="4111"/>
              </w:tabs>
              <w:spacing w:before="40" w:after="40"/>
              <w:ind w:left="57"/>
              <w:rPr>
                <w:b/>
                <w:bCs/>
                <w:szCs w:val="24"/>
              </w:rPr>
            </w:pPr>
            <w:r w:rsidRPr="003E2630">
              <w:rPr>
                <w:b/>
                <w:bCs/>
                <w:szCs w:val="24"/>
              </w:rPr>
              <w:t>Correo-e:</w:t>
            </w:r>
          </w:p>
        </w:tc>
        <w:tc>
          <w:tcPr>
            <w:tcW w:w="3751" w:type="dxa"/>
            <w:gridSpan w:val="2"/>
          </w:tcPr>
          <w:p w14:paraId="0CB552AC" w14:textId="77777777" w:rsidR="00C34772" w:rsidRPr="003E2630" w:rsidRDefault="00FD74B3" w:rsidP="00706F9D">
            <w:pPr>
              <w:tabs>
                <w:tab w:val="left" w:pos="4111"/>
              </w:tabs>
              <w:spacing w:before="40" w:after="40"/>
              <w:ind w:left="57"/>
            </w:pPr>
            <w:hyperlink r:id="rId9" w:history="1">
              <w:r w:rsidR="00E6450F" w:rsidRPr="003E2630">
                <w:rPr>
                  <w:rStyle w:val="Hyperlink"/>
                </w:rPr>
                <w:t>tsbsg20@itu.int</w:t>
              </w:r>
            </w:hyperlink>
          </w:p>
        </w:tc>
        <w:tc>
          <w:tcPr>
            <w:tcW w:w="5329" w:type="dxa"/>
          </w:tcPr>
          <w:p w14:paraId="23313AAC" w14:textId="77777777" w:rsidR="00C34772" w:rsidRPr="003E2630" w:rsidRDefault="00C34772" w:rsidP="008E7178">
            <w:pPr>
              <w:tabs>
                <w:tab w:val="left" w:pos="4111"/>
              </w:tabs>
              <w:spacing w:before="40" w:after="40"/>
            </w:pPr>
            <w:r w:rsidRPr="003E2630">
              <w:rPr>
                <w:b/>
              </w:rPr>
              <w:t>Copia</w:t>
            </w:r>
            <w:r w:rsidRPr="003E2630">
              <w:t>:</w:t>
            </w:r>
          </w:p>
          <w:p w14:paraId="32A49614" w14:textId="77777777" w:rsidR="00E6450F" w:rsidRPr="003E2630" w:rsidRDefault="00E6450F" w:rsidP="00706F9D">
            <w:pPr>
              <w:tabs>
                <w:tab w:val="clear" w:pos="794"/>
                <w:tab w:val="clear" w:pos="1191"/>
                <w:tab w:val="clear" w:pos="1588"/>
                <w:tab w:val="clear" w:pos="1985"/>
                <w:tab w:val="left" w:pos="284"/>
              </w:tabs>
              <w:spacing w:before="40" w:after="40"/>
              <w:ind w:left="284" w:hanging="227"/>
            </w:pPr>
            <w:r w:rsidRPr="003E2630">
              <w:t>–</w:t>
            </w:r>
            <w:r w:rsidRPr="003E2630">
              <w:tab/>
              <w:t>A los Miembros de Sector del UIT-T;</w:t>
            </w:r>
          </w:p>
          <w:p w14:paraId="6F1E3C94" w14:textId="77777777" w:rsidR="00E6450F" w:rsidRPr="003E2630" w:rsidRDefault="00E6450F" w:rsidP="00706F9D">
            <w:pPr>
              <w:tabs>
                <w:tab w:val="clear" w:pos="794"/>
                <w:tab w:val="clear" w:pos="1191"/>
                <w:tab w:val="clear" w:pos="1588"/>
                <w:tab w:val="clear" w:pos="1985"/>
                <w:tab w:val="left" w:pos="284"/>
              </w:tabs>
              <w:spacing w:before="40" w:after="40"/>
              <w:ind w:left="284" w:hanging="227"/>
            </w:pPr>
            <w:r w:rsidRPr="003E2630">
              <w:t>–</w:t>
            </w:r>
            <w:r w:rsidRPr="003E2630">
              <w:tab/>
            </w:r>
            <w:r w:rsidRPr="003E2630">
              <w:rPr>
                <w:szCs w:val="24"/>
              </w:rPr>
              <w:t>A los Asociados de la Comisión de Estudio 20 del UIT-T</w:t>
            </w:r>
            <w:r w:rsidRPr="003E2630">
              <w:t>;</w:t>
            </w:r>
          </w:p>
          <w:p w14:paraId="7606E642" w14:textId="77777777" w:rsidR="00E6450F" w:rsidRPr="003E2630" w:rsidRDefault="00E6450F" w:rsidP="00706F9D">
            <w:pPr>
              <w:tabs>
                <w:tab w:val="clear" w:pos="794"/>
                <w:tab w:val="clear" w:pos="1191"/>
                <w:tab w:val="clear" w:pos="1588"/>
                <w:tab w:val="clear" w:pos="1985"/>
                <w:tab w:val="left" w:pos="284"/>
              </w:tabs>
              <w:spacing w:before="40" w:after="40"/>
              <w:ind w:left="284" w:hanging="227"/>
            </w:pPr>
            <w:r w:rsidRPr="003E2630">
              <w:t>–</w:t>
            </w:r>
            <w:r w:rsidRPr="003E2630">
              <w:tab/>
              <w:t>A las Instituciones Académicas de la UIT;</w:t>
            </w:r>
          </w:p>
          <w:p w14:paraId="01BC72C8" w14:textId="77777777" w:rsidR="00E6450F" w:rsidRPr="003E2630" w:rsidRDefault="00E6450F" w:rsidP="00706F9D">
            <w:pPr>
              <w:tabs>
                <w:tab w:val="clear" w:pos="794"/>
                <w:tab w:val="clear" w:pos="1191"/>
                <w:tab w:val="clear" w:pos="1588"/>
                <w:tab w:val="clear" w:pos="1985"/>
                <w:tab w:val="left" w:pos="284"/>
              </w:tabs>
              <w:spacing w:before="40" w:after="40"/>
              <w:ind w:left="284" w:hanging="227"/>
            </w:pPr>
            <w:r w:rsidRPr="003E2630">
              <w:t>–</w:t>
            </w:r>
            <w:r w:rsidRPr="003E2630">
              <w:tab/>
            </w:r>
            <w:r w:rsidRPr="003E2630">
              <w:rPr>
                <w:szCs w:val="24"/>
              </w:rPr>
              <w:t>Al Presidente y a los Vicepresidentes de la Comisión de Estudio 20 del UIT-T</w:t>
            </w:r>
            <w:r w:rsidRPr="003E2630">
              <w:t>;</w:t>
            </w:r>
          </w:p>
          <w:p w14:paraId="358C1F6D" w14:textId="77777777" w:rsidR="00E6450F" w:rsidRPr="003E2630" w:rsidRDefault="00E6450F" w:rsidP="00706F9D">
            <w:pPr>
              <w:tabs>
                <w:tab w:val="clear" w:pos="794"/>
                <w:tab w:val="clear" w:pos="1191"/>
                <w:tab w:val="clear" w:pos="1588"/>
                <w:tab w:val="clear" w:pos="1985"/>
                <w:tab w:val="left" w:pos="284"/>
              </w:tabs>
              <w:spacing w:before="40" w:after="40"/>
              <w:ind w:left="284" w:hanging="227"/>
            </w:pPr>
            <w:r w:rsidRPr="003E2630">
              <w:t>–</w:t>
            </w:r>
            <w:r w:rsidRPr="003E2630">
              <w:tab/>
              <w:t>A la Directora de la Oficina de Desarrollo de las Telecomunicaciones;</w:t>
            </w:r>
          </w:p>
          <w:p w14:paraId="5B9E57FD" w14:textId="77777777" w:rsidR="00C34772" w:rsidRPr="003E2630" w:rsidRDefault="00E6450F" w:rsidP="00706F9D">
            <w:pPr>
              <w:tabs>
                <w:tab w:val="clear" w:pos="794"/>
                <w:tab w:val="clear" w:pos="1191"/>
                <w:tab w:val="clear" w:pos="1588"/>
                <w:tab w:val="clear" w:pos="1985"/>
                <w:tab w:val="left" w:pos="284"/>
              </w:tabs>
              <w:spacing w:before="40" w:after="40"/>
              <w:ind w:left="284" w:hanging="227"/>
            </w:pPr>
            <w:r w:rsidRPr="003E2630">
              <w:t>–</w:t>
            </w:r>
            <w:r w:rsidRPr="003E2630">
              <w:tab/>
              <w:t>Al Director de la Oficina de Radiocomunicaciones</w:t>
            </w:r>
          </w:p>
        </w:tc>
      </w:tr>
      <w:tr w:rsidR="007B6316" w:rsidRPr="003E2630" w14:paraId="03760122" w14:textId="77777777" w:rsidTr="00E6450F">
        <w:trPr>
          <w:cantSplit/>
        </w:trPr>
        <w:tc>
          <w:tcPr>
            <w:tcW w:w="1126" w:type="dxa"/>
          </w:tcPr>
          <w:p w14:paraId="45A38BB4" w14:textId="77777777" w:rsidR="007B6316" w:rsidRPr="003E2630" w:rsidRDefault="007B6316" w:rsidP="00706F9D">
            <w:pPr>
              <w:tabs>
                <w:tab w:val="left" w:pos="4111"/>
              </w:tabs>
              <w:ind w:left="57"/>
              <w:rPr>
                <w:b/>
                <w:bCs/>
                <w:szCs w:val="24"/>
              </w:rPr>
            </w:pPr>
            <w:r w:rsidRPr="003E2630">
              <w:rPr>
                <w:b/>
                <w:bCs/>
                <w:szCs w:val="24"/>
              </w:rPr>
              <w:t>Asunto:</w:t>
            </w:r>
          </w:p>
        </w:tc>
        <w:tc>
          <w:tcPr>
            <w:tcW w:w="9080" w:type="dxa"/>
            <w:gridSpan w:val="3"/>
          </w:tcPr>
          <w:p w14:paraId="2E335CA5" w14:textId="77777777" w:rsidR="007B6316" w:rsidRPr="003E2630" w:rsidRDefault="00706F9D" w:rsidP="00706F9D">
            <w:pPr>
              <w:tabs>
                <w:tab w:val="left" w:pos="4111"/>
              </w:tabs>
              <w:ind w:left="57"/>
              <w:rPr>
                <w:b/>
              </w:rPr>
            </w:pPr>
            <w:r w:rsidRPr="003E2630">
              <w:rPr>
                <w:b/>
              </w:rPr>
              <w:t xml:space="preserve">Consulta a los Estados Miembros sobre los proyectos de nueva Recomendación </w:t>
            </w:r>
            <w:r w:rsidR="008E7178" w:rsidRPr="003E2630">
              <w:rPr>
                <w:b/>
              </w:rPr>
              <w:t xml:space="preserve">determinada </w:t>
            </w:r>
            <w:r w:rsidRPr="003E2630">
              <w:rPr>
                <w:b/>
              </w:rPr>
              <w:t>UIT-T Y.4471 (ex Y.NDA-</w:t>
            </w:r>
            <w:proofErr w:type="spellStart"/>
            <w:r w:rsidRPr="003E2630">
              <w:rPr>
                <w:b/>
              </w:rPr>
              <w:t>arch</w:t>
            </w:r>
            <w:proofErr w:type="spellEnd"/>
            <w:r w:rsidRPr="003E2630">
              <w:rPr>
                <w:b/>
              </w:rPr>
              <w:t xml:space="preserve">), Y.4559 (ex Y.UAV-BSI) </w:t>
            </w:r>
            <w:r w:rsidR="008E7178" w:rsidRPr="003E2630">
              <w:rPr>
                <w:b/>
              </w:rPr>
              <w:t>e</w:t>
            </w:r>
            <w:r w:rsidRPr="003E2630">
              <w:rPr>
                <w:b/>
              </w:rPr>
              <w:t xml:space="preserve"> Y.4908 (ex</w:t>
            </w:r>
            <w:r w:rsidR="008E7178" w:rsidRPr="003E2630">
              <w:rPr>
                <w:b/>
              </w:rPr>
              <w:t> </w:t>
            </w:r>
            <w:proofErr w:type="spellStart"/>
            <w:r w:rsidRPr="003E2630">
              <w:rPr>
                <w:b/>
              </w:rPr>
              <w:t>Y.IoT</w:t>
            </w:r>
            <w:proofErr w:type="spellEnd"/>
            <w:r w:rsidR="008E7178" w:rsidRPr="003E2630">
              <w:rPr>
                <w:b/>
              </w:rPr>
              <w:noBreakHyphen/>
            </w:r>
            <w:r w:rsidRPr="003E2630">
              <w:rPr>
                <w:b/>
              </w:rPr>
              <w:t>EH</w:t>
            </w:r>
            <w:r w:rsidR="008E7178" w:rsidRPr="003E2630">
              <w:rPr>
                <w:b/>
              </w:rPr>
              <w:noBreakHyphen/>
            </w:r>
            <w:r w:rsidRPr="003E2630">
              <w:rPr>
                <w:b/>
              </w:rPr>
              <w:t>PFE), propuestos para aprobación en la reunión de la Comisión de Estudio 20 del UIT</w:t>
            </w:r>
            <w:r w:rsidR="008E7178" w:rsidRPr="003E2630">
              <w:rPr>
                <w:b/>
              </w:rPr>
              <w:noBreakHyphen/>
            </w:r>
            <w:r w:rsidRPr="003E2630">
              <w:rPr>
                <w:b/>
              </w:rPr>
              <w:t>T (</w:t>
            </w:r>
            <w:r w:rsidR="008E7178" w:rsidRPr="003E2630">
              <w:rPr>
                <w:b/>
              </w:rPr>
              <w:t>reunión v</w:t>
            </w:r>
            <w:r w:rsidRPr="003E2630">
              <w:rPr>
                <w:b/>
              </w:rPr>
              <w:t>irtual, 16 de diciembre de 2020)</w:t>
            </w:r>
          </w:p>
        </w:tc>
      </w:tr>
    </w:tbl>
    <w:p w14:paraId="61162B00" w14:textId="534E7E1B" w:rsidR="00C34772" w:rsidRPr="003E2630" w:rsidRDefault="00C34772" w:rsidP="00B72D49">
      <w:pPr>
        <w:pStyle w:val="Normalaftertitle"/>
      </w:pPr>
      <w:bookmarkStart w:id="1" w:name="StartTyping_S"/>
      <w:bookmarkStart w:id="2" w:name="suitetext"/>
      <w:bookmarkStart w:id="3" w:name="text"/>
      <w:bookmarkEnd w:id="1"/>
      <w:bookmarkEnd w:id="2"/>
      <w:bookmarkEnd w:id="3"/>
      <w:r w:rsidRPr="003E2630">
        <w:t>Muy Señora mía/Muy Señor mío</w:t>
      </w:r>
      <w:r w:rsidR="00056D22">
        <w:t>,</w:t>
      </w:r>
    </w:p>
    <w:p w14:paraId="2A7C7AF0" w14:textId="77777777" w:rsidR="00706F9D" w:rsidRPr="00706F9D" w:rsidRDefault="00706F9D" w:rsidP="00706F9D">
      <w:r w:rsidRPr="00706F9D">
        <w:t>1</w:t>
      </w:r>
      <w:r w:rsidRPr="00706F9D">
        <w:tab/>
        <w:t xml:space="preserve">La Comisión de Estudio 20 del UIT-T (Internet de las </w:t>
      </w:r>
      <w:r w:rsidR="00B72D49" w:rsidRPr="003E2630">
        <w:t xml:space="preserve">cosas </w:t>
      </w:r>
      <w:r w:rsidRPr="00706F9D">
        <w:t>(</w:t>
      </w:r>
      <w:proofErr w:type="spellStart"/>
      <w:r w:rsidRPr="00706F9D">
        <w:t>IoT</w:t>
      </w:r>
      <w:proofErr w:type="spellEnd"/>
      <w:r w:rsidRPr="00706F9D">
        <w:t>) y ciudades y comunidades inteligentes (</w:t>
      </w:r>
      <w:r w:rsidR="00B72D49" w:rsidRPr="003E2630">
        <w:t>C+CI</w:t>
      </w:r>
      <w:r w:rsidRPr="00706F9D">
        <w:t xml:space="preserve">)) tiene intención de aplicar el procedimiento de aprobación tradicional descrito en la </w:t>
      </w:r>
      <w:r w:rsidR="00B72D49" w:rsidRPr="003E2630">
        <w:t>sección </w:t>
      </w:r>
      <w:r w:rsidRPr="00706F9D">
        <w:t>9 de la Resolución</w:t>
      </w:r>
      <w:r w:rsidR="00B72D49" w:rsidRPr="003E2630">
        <w:t> </w:t>
      </w:r>
      <w:r w:rsidRPr="00706F9D">
        <w:t>1 (Rev. </w:t>
      </w:r>
      <w:proofErr w:type="spellStart"/>
      <w:r w:rsidRPr="00706F9D">
        <w:t>Hammamet</w:t>
      </w:r>
      <w:proofErr w:type="spellEnd"/>
      <w:r w:rsidRPr="00706F9D">
        <w:t>, 2016) de la AMNT para la aprobación de los 3</w:t>
      </w:r>
      <w:r w:rsidR="00B72D49" w:rsidRPr="003E2630">
        <w:t> </w:t>
      </w:r>
      <w:r w:rsidRPr="00706F9D">
        <w:t>proyectos de Recomendación citados durante su próxima reunión virtual prevista en diciembre de 2020. El orden del día y toda la información pertinente sobre la reunión de la Comisión de Estudio 20 del UIT-T figurarán en la Carta Colectiva 10/20.</w:t>
      </w:r>
    </w:p>
    <w:p w14:paraId="04851E29" w14:textId="77777777" w:rsidR="00706F9D" w:rsidRPr="00706F9D" w:rsidRDefault="00706F9D" w:rsidP="00706F9D">
      <w:r w:rsidRPr="00706F9D">
        <w:t>2</w:t>
      </w:r>
      <w:r w:rsidRPr="00706F9D">
        <w:tab/>
        <w:t>El Anexo</w:t>
      </w:r>
      <w:r w:rsidR="000D4082" w:rsidRPr="003E2630">
        <w:t> </w:t>
      </w:r>
      <w:r w:rsidRPr="00706F9D">
        <w:t>1 contiene los títulos y los resúmenes de los proyectos de nueva Recomendación UIT-T Y.4471 (ex Y.NDA-</w:t>
      </w:r>
      <w:proofErr w:type="spellStart"/>
      <w:r w:rsidRPr="00706F9D">
        <w:t>arch</w:t>
      </w:r>
      <w:proofErr w:type="spellEnd"/>
      <w:r w:rsidRPr="00706F9D">
        <w:t xml:space="preserve">), Y.4559 (ex Y.UAV-BSI) </w:t>
      </w:r>
      <w:r w:rsidR="000D4082" w:rsidRPr="003E2630">
        <w:t>e</w:t>
      </w:r>
      <w:r w:rsidRPr="00706F9D">
        <w:t xml:space="preserve"> Y.4908 (ex </w:t>
      </w:r>
      <w:proofErr w:type="spellStart"/>
      <w:r w:rsidRPr="00706F9D">
        <w:t>Y.IoT</w:t>
      </w:r>
      <w:proofErr w:type="spellEnd"/>
      <w:r w:rsidRPr="00706F9D">
        <w:t>-EH-PFE), propuestos para aprobación, con indicación del documento en que figuran.</w:t>
      </w:r>
    </w:p>
    <w:p w14:paraId="01E2BDA0" w14:textId="77777777" w:rsidR="00706F9D" w:rsidRPr="00706F9D" w:rsidRDefault="00706F9D" w:rsidP="00706F9D">
      <w:r w:rsidRPr="00706F9D">
        <w:t>3</w:t>
      </w:r>
      <w:r w:rsidRPr="00706F9D">
        <w:tab/>
        <w:t>Con esta Circular se inicia la consulta formal con los Estados Miembros sobre si puede considerarse la Recomendación citada para aprobación en la próxima reunión, de acuerdo con la cláusula 9.4 de la Resolución</w:t>
      </w:r>
      <w:r w:rsidR="000D4082" w:rsidRPr="003E2630">
        <w:t> </w:t>
      </w:r>
      <w:r w:rsidRPr="00706F9D">
        <w:t>1. Se ruega a los Estados Miembros que completen y devuelvan el formulario del Anexo</w:t>
      </w:r>
      <w:r w:rsidR="000D4082" w:rsidRPr="003E2630">
        <w:t> </w:t>
      </w:r>
      <w:r w:rsidRPr="00706F9D">
        <w:t xml:space="preserve">2 hasta las 23.59 horas UTC del </w:t>
      </w:r>
      <w:r w:rsidRPr="00706F9D">
        <w:rPr>
          <w:b/>
          <w:bCs/>
        </w:rPr>
        <w:t>4 de diciembre de 2020</w:t>
      </w:r>
      <w:r w:rsidRPr="00706F9D">
        <w:t>.</w:t>
      </w:r>
    </w:p>
    <w:p w14:paraId="72915579" w14:textId="77777777" w:rsidR="00706F9D" w:rsidRPr="00706F9D" w:rsidRDefault="00706F9D" w:rsidP="00706F9D">
      <w:r w:rsidRPr="00706F9D">
        <w:t>4</w:t>
      </w:r>
      <w:r w:rsidRPr="00706F9D">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4C89058F" w14:textId="77777777" w:rsidR="00706F9D" w:rsidRPr="00706F9D" w:rsidRDefault="00706F9D" w:rsidP="00706F9D">
      <w:r w:rsidRPr="00706F9D">
        <w:lastRenderedPageBreak/>
        <w:t>NOTA 1 de la TSB</w:t>
      </w:r>
      <w:r w:rsidR="003B7682" w:rsidRPr="003E2630">
        <w:t> </w:t>
      </w:r>
      <w:r w:rsidRPr="00706F9D">
        <w:t>–</w:t>
      </w:r>
      <w:r w:rsidR="003B7682" w:rsidRPr="003E2630">
        <w:t> </w:t>
      </w:r>
      <w:r w:rsidRPr="00706F9D">
        <w:t xml:space="preserve">En el momento en que se publica la presente Circular, la TSB no había recibido declaración alguna en materia de derechos de propiedad intelectual en relación con estos proyectos de texto. </w:t>
      </w:r>
      <w:bookmarkStart w:id="4" w:name="lt_pId055"/>
      <w:r w:rsidRPr="00706F9D">
        <w:t xml:space="preserve">Para obtener información actualizada, se invita a los miembros a consultar la base de datos de DPI en la dirección </w:t>
      </w:r>
      <w:hyperlink r:id="rId10" w:history="1">
        <w:r w:rsidRPr="00706F9D">
          <w:rPr>
            <w:rStyle w:val="Hyperlink"/>
          </w:rPr>
          <w:t>www.itu.int/ipr/</w:t>
        </w:r>
      </w:hyperlink>
      <w:r w:rsidRPr="00706F9D">
        <w:t>.</w:t>
      </w:r>
      <w:bookmarkEnd w:id="4"/>
    </w:p>
    <w:p w14:paraId="3FA7206E" w14:textId="77777777" w:rsidR="00706F9D" w:rsidRPr="00706F9D" w:rsidRDefault="00706F9D" w:rsidP="00706F9D">
      <w:bookmarkStart w:id="5" w:name="lt_pId056"/>
      <w:r w:rsidRPr="00706F9D">
        <w:t>NOTA 2 de la TSB</w:t>
      </w:r>
      <w:r w:rsidR="003B7682" w:rsidRPr="003E2630">
        <w:t> </w:t>
      </w:r>
      <w:r w:rsidRPr="00706F9D">
        <w:t>–</w:t>
      </w:r>
      <w:r w:rsidR="003B7682" w:rsidRPr="003E2630">
        <w:t> </w:t>
      </w:r>
      <w:r w:rsidRPr="00706F9D">
        <w:t>No se ha preparado un documento justificativo de la Recomendación UIT</w:t>
      </w:r>
      <w:r w:rsidRPr="00706F9D">
        <w:noBreakHyphen/>
        <w:t>T</w:t>
      </w:r>
      <w:r w:rsidR="003B7682" w:rsidRPr="003E2630">
        <w:t> </w:t>
      </w:r>
      <w:r w:rsidRPr="00706F9D">
        <w:t>A.5 para los demás proyectos determinados de textos.</w:t>
      </w:r>
      <w:bookmarkEnd w:id="5"/>
    </w:p>
    <w:p w14:paraId="099401DE" w14:textId="77777777" w:rsidR="007B6316" w:rsidRPr="003E2630" w:rsidRDefault="007B6316" w:rsidP="007B6316">
      <w:r w:rsidRPr="003E2630">
        <w:t>Atentamente,</w:t>
      </w:r>
    </w:p>
    <w:p w14:paraId="1B89462F" w14:textId="379CBE07" w:rsidR="00056D22" w:rsidRDefault="00FD74B3" w:rsidP="00083330">
      <w:r>
        <w:rPr>
          <w:noProof/>
        </w:rPr>
        <w:drawing>
          <wp:anchor distT="0" distB="0" distL="114300" distR="114300" simplePos="0" relativeHeight="251658240" behindDoc="0" locked="0" layoutInCell="1" allowOverlap="1" wp14:anchorId="1332D276" wp14:editId="3FE0E36C">
            <wp:simplePos x="0" y="0"/>
            <wp:positionH relativeFrom="column">
              <wp:posOffset>-41275</wp:posOffset>
            </wp:positionH>
            <wp:positionV relativeFrom="paragraph">
              <wp:posOffset>146050</wp:posOffset>
            </wp:positionV>
            <wp:extent cx="800100" cy="360350"/>
            <wp:effectExtent l="0" t="0" r="0" b="1905"/>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0100" cy="360350"/>
                    </a:xfrm>
                    <a:prstGeom prst="rect">
                      <a:avLst/>
                    </a:prstGeom>
                  </pic:spPr>
                </pic:pic>
              </a:graphicData>
            </a:graphic>
            <wp14:sizeRelH relativeFrom="margin">
              <wp14:pctWidth>0</wp14:pctWidth>
            </wp14:sizeRelH>
            <wp14:sizeRelV relativeFrom="margin">
              <wp14:pctHeight>0</wp14:pctHeight>
            </wp14:sizeRelV>
          </wp:anchor>
        </w:drawing>
      </w:r>
    </w:p>
    <w:p w14:paraId="7491BB84" w14:textId="07AFA048" w:rsidR="00056D22" w:rsidRDefault="00056D22" w:rsidP="00083330"/>
    <w:p w14:paraId="56B47C3A" w14:textId="15D39F68" w:rsidR="007B6316" w:rsidRPr="003E2630" w:rsidRDefault="007B6316" w:rsidP="00083330">
      <w:r w:rsidRPr="003E2630">
        <w:t>Chaesub Lee</w:t>
      </w:r>
      <w:r w:rsidRPr="003E2630">
        <w:br/>
        <w:t xml:space="preserve">Director de la Oficina de </w:t>
      </w:r>
      <w:r w:rsidRPr="003E2630">
        <w:br/>
        <w:t>Normalización de las Telecomunicaciones</w:t>
      </w:r>
    </w:p>
    <w:p w14:paraId="650EA13F" w14:textId="77777777" w:rsidR="00706F9D" w:rsidRPr="00706F9D" w:rsidRDefault="00706F9D" w:rsidP="00407010">
      <w:pPr>
        <w:spacing w:before="1440"/>
      </w:pPr>
      <w:r w:rsidRPr="00706F9D">
        <w:rPr>
          <w:b/>
          <w:bCs/>
        </w:rPr>
        <w:t>Anexos</w:t>
      </w:r>
      <w:r w:rsidRPr="00706F9D">
        <w:t>: 2</w:t>
      </w:r>
    </w:p>
    <w:p w14:paraId="7D4CE877" w14:textId="77777777" w:rsidR="00706F9D" w:rsidRPr="003E2630" w:rsidRDefault="00706F9D" w:rsidP="00407010">
      <w:r w:rsidRPr="003E2630">
        <w:br w:type="page"/>
      </w:r>
    </w:p>
    <w:p w14:paraId="0A7F23BB" w14:textId="77777777" w:rsidR="00706F9D" w:rsidRPr="003E2630" w:rsidRDefault="000F5444" w:rsidP="000F5444">
      <w:pPr>
        <w:pStyle w:val="AnnexNotitle"/>
      </w:pPr>
      <w:r w:rsidRPr="003E2630">
        <w:lastRenderedPageBreak/>
        <w:t xml:space="preserve">Anexo </w:t>
      </w:r>
      <w:r w:rsidR="00706F9D" w:rsidRPr="003E2630">
        <w:t>1</w:t>
      </w:r>
      <w:r w:rsidR="00706F9D" w:rsidRPr="003E2630">
        <w:br/>
      </w:r>
      <w:r w:rsidR="00706F9D" w:rsidRPr="003E2630">
        <w:br/>
        <w:t>Resumen y ubicación de los proyectos de nueva Recomendación</w:t>
      </w:r>
      <w:r w:rsidRPr="003E2630">
        <w:t xml:space="preserve"> </w:t>
      </w:r>
      <w:r w:rsidR="00706F9D" w:rsidRPr="003E2630">
        <w:t xml:space="preserve">determinada </w:t>
      </w:r>
      <w:r w:rsidRPr="003E2630">
        <w:br/>
      </w:r>
      <w:r w:rsidR="00706F9D" w:rsidRPr="003E2630">
        <w:t>UIT-T Y.4471 (ex Y.NDA-</w:t>
      </w:r>
      <w:proofErr w:type="spellStart"/>
      <w:r w:rsidR="00706F9D" w:rsidRPr="003E2630">
        <w:t>arch</w:t>
      </w:r>
      <w:proofErr w:type="spellEnd"/>
      <w:r w:rsidR="00706F9D" w:rsidRPr="003E2630">
        <w:t xml:space="preserve">), Y.4559 (ex Y.UAV-BSI) </w:t>
      </w:r>
      <w:r w:rsidRPr="003E2630">
        <w:br/>
        <w:t>e</w:t>
      </w:r>
      <w:r w:rsidR="00706F9D" w:rsidRPr="003E2630">
        <w:t xml:space="preserve"> Y.4908 (ex </w:t>
      </w:r>
      <w:proofErr w:type="spellStart"/>
      <w:r w:rsidR="00706F9D" w:rsidRPr="003E2630">
        <w:t>Y.IoT</w:t>
      </w:r>
      <w:proofErr w:type="spellEnd"/>
      <w:r w:rsidR="00706F9D" w:rsidRPr="003E2630">
        <w:t>-EH-PFE)</w:t>
      </w:r>
    </w:p>
    <w:p w14:paraId="4A8A7235" w14:textId="77777777" w:rsidR="00706F9D" w:rsidRPr="003E2630" w:rsidRDefault="00706F9D" w:rsidP="00706F9D">
      <w:pPr>
        <w:pStyle w:val="Heading1"/>
        <w:rPr>
          <w:bCs/>
          <w:sz w:val="28"/>
          <w:szCs w:val="28"/>
          <w:highlight w:val="yellow"/>
        </w:rPr>
      </w:pPr>
      <w:r w:rsidRPr="003E2630">
        <w:rPr>
          <w:sz w:val="28"/>
          <w:szCs w:val="28"/>
        </w:rPr>
        <w:t>1</w:t>
      </w:r>
      <w:r w:rsidRPr="003E2630">
        <w:rPr>
          <w:sz w:val="28"/>
          <w:szCs w:val="28"/>
        </w:rPr>
        <w:tab/>
        <w:t>Proyecto de nueva Recomendación UIT-T Y</w:t>
      </w:r>
      <w:r w:rsidRPr="003E2630">
        <w:rPr>
          <w:rFonts w:ascii="Calibri" w:hAnsi="Calibri"/>
          <w:bCs/>
          <w:sz w:val="28"/>
          <w:szCs w:val="28"/>
        </w:rPr>
        <w:t>.4471 (ex Y.NDA-</w:t>
      </w:r>
      <w:proofErr w:type="spellStart"/>
      <w:r w:rsidRPr="003E2630">
        <w:rPr>
          <w:rFonts w:ascii="Calibri" w:hAnsi="Calibri"/>
          <w:bCs/>
          <w:sz w:val="28"/>
          <w:szCs w:val="28"/>
        </w:rPr>
        <w:t>arch</w:t>
      </w:r>
      <w:proofErr w:type="spellEnd"/>
      <w:r w:rsidRPr="003E2630">
        <w:rPr>
          <w:rFonts w:ascii="Calibri" w:hAnsi="Calibri"/>
          <w:bCs/>
          <w:sz w:val="28"/>
          <w:szCs w:val="28"/>
        </w:rPr>
        <w:t>) [</w:t>
      </w:r>
      <w:hyperlink r:id="rId12" w:history="1">
        <w:r w:rsidRPr="003E2630">
          <w:rPr>
            <w:rFonts w:ascii="Calibri" w:hAnsi="Calibri"/>
            <w:bCs/>
            <w:color w:val="0000FF"/>
            <w:sz w:val="28"/>
            <w:szCs w:val="28"/>
            <w:u w:val="single"/>
          </w:rPr>
          <w:t>R11</w:t>
        </w:r>
      </w:hyperlink>
      <w:r w:rsidRPr="003E2630">
        <w:rPr>
          <w:rFonts w:ascii="Calibri" w:hAnsi="Calibri"/>
          <w:bCs/>
          <w:sz w:val="28"/>
          <w:szCs w:val="28"/>
        </w:rPr>
        <w:t>]</w:t>
      </w:r>
    </w:p>
    <w:p w14:paraId="3C4C3AB7" w14:textId="77777777" w:rsidR="00706F9D" w:rsidRPr="003E2630" w:rsidRDefault="00706F9D" w:rsidP="00706F9D">
      <w:pPr>
        <w:pStyle w:val="Headingb0"/>
      </w:pPr>
      <w:r w:rsidRPr="003E2630">
        <w:t>Arquitectura funcional de la ayuda a la conducción basada en la red para vehículos autónomos</w:t>
      </w:r>
    </w:p>
    <w:p w14:paraId="537541B1" w14:textId="77777777" w:rsidR="00706F9D" w:rsidRPr="003E2630" w:rsidRDefault="00706F9D" w:rsidP="00706F9D">
      <w:pPr>
        <w:pStyle w:val="Headingb0"/>
      </w:pPr>
      <w:r w:rsidRPr="003E2630">
        <w:t>Resumen</w:t>
      </w:r>
    </w:p>
    <w:p w14:paraId="5465FA84" w14:textId="77777777" w:rsidR="00706F9D" w:rsidRPr="003E2630" w:rsidRDefault="00706F9D" w:rsidP="00706F9D">
      <w:r w:rsidRPr="003E2630">
        <w:t>En esta Recomendación se define una arquitectura funcional de referencia de la ayuda a la conducción basada en la red (ACR) para vehículos autónomos. Aclara el concepto de la ACR, especifica las entidades funcionales clave y define los puntos de referencia entre las entidades. También se presentan los casos de uso y los procedimientos operacionales en un apéndice informativo.</w:t>
      </w:r>
    </w:p>
    <w:p w14:paraId="67488446" w14:textId="77777777" w:rsidR="00706F9D" w:rsidRPr="003E2630" w:rsidRDefault="00706F9D" w:rsidP="00706F9D">
      <w:r w:rsidRPr="003E2630">
        <w:t>Para mejorar la conducción de los vehículos autónomos, es necesario mejorar mediante tecnologías de red la coordinación entre los vehículos y las infraestructuras para proporcionar los crecientes servicios de transporte y los requisitos de aplicación. LA ACR puede mejorar la seguridad y la eficiencia de la conducción automatizada con capacidades de percepción y decisión basadas en la colaboración.</w:t>
      </w:r>
    </w:p>
    <w:p w14:paraId="640767F7" w14:textId="77777777" w:rsidR="00706F9D" w:rsidRPr="003E2630" w:rsidRDefault="00706F9D" w:rsidP="00706F9D">
      <w:pPr>
        <w:pStyle w:val="Heading1"/>
        <w:rPr>
          <w:bCs/>
          <w:sz w:val="28"/>
          <w:szCs w:val="28"/>
          <w:highlight w:val="yellow"/>
        </w:rPr>
      </w:pPr>
      <w:bookmarkStart w:id="6" w:name="_Annex_C_–"/>
      <w:bookmarkEnd w:id="6"/>
      <w:r w:rsidRPr="003E2630">
        <w:rPr>
          <w:sz w:val="28"/>
          <w:szCs w:val="28"/>
        </w:rPr>
        <w:t>2</w:t>
      </w:r>
      <w:r w:rsidRPr="003E2630">
        <w:rPr>
          <w:sz w:val="28"/>
          <w:szCs w:val="28"/>
        </w:rPr>
        <w:tab/>
        <w:t xml:space="preserve">Proyecto de nueva Recomendación UIT-T </w:t>
      </w:r>
      <w:r w:rsidRPr="003E2630">
        <w:rPr>
          <w:rFonts w:ascii="Calibri" w:hAnsi="Calibri"/>
          <w:bCs/>
          <w:sz w:val="28"/>
          <w:szCs w:val="28"/>
        </w:rPr>
        <w:t>Y.4559 (ex Y.UAV-BSI) [</w:t>
      </w:r>
      <w:hyperlink r:id="rId13" w:history="1">
        <w:r w:rsidRPr="003E2630">
          <w:rPr>
            <w:rFonts w:ascii="Calibri" w:hAnsi="Calibri"/>
            <w:bCs/>
            <w:color w:val="0000FF"/>
            <w:sz w:val="28"/>
            <w:szCs w:val="28"/>
            <w:u w:val="single"/>
          </w:rPr>
          <w:t>R12</w:t>
        </w:r>
      </w:hyperlink>
      <w:r w:rsidRPr="003E2630">
        <w:rPr>
          <w:rFonts w:ascii="Calibri" w:hAnsi="Calibri"/>
          <w:bCs/>
          <w:sz w:val="28"/>
          <w:szCs w:val="28"/>
        </w:rPr>
        <w:t>]</w:t>
      </w:r>
    </w:p>
    <w:p w14:paraId="0B2C5636" w14:textId="77777777" w:rsidR="00706F9D" w:rsidRPr="003E2630" w:rsidRDefault="00706F9D" w:rsidP="00706F9D">
      <w:pPr>
        <w:pStyle w:val="Headingb0"/>
      </w:pPr>
      <w:r w:rsidRPr="003E2630">
        <w:t>Requisitos y arquitectura funcional de los servicios de inspección de las estaciones base que utilizan vehículos aéreos no tripulados</w:t>
      </w:r>
    </w:p>
    <w:p w14:paraId="3EF4032D" w14:textId="77777777" w:rsidR="00706F9D" w:rsidRPr="003E2630" w:rsidRDefault="00706F9D" w:rsidP="00706F9D">
      <w:pPr>
        <w:pStyle w:val="Headingb0"/>
      </w:pPr>
      <w:r w:rsidRPr="003E2630">
        <w:t>Resumen</w:t>
      </w:r>
    </w:p>
    <w:p w14:paraId="322A999C" w14:textId="77777777" w:rsidR="00706F9D" w:rsidRPr="003E2630" w:rsidRDefault="00706F9D" w:rsidP="00706F9D">
      <w:r w:rsidRPr="003E2630">
        <w:t>Los cambios que están experimentando las condiciones meteorológicas y el envejecimiento de los materiales pueden causar daños a las estaciones de base, lo que afectará a la calidad del servicio de la red e incluso causará incidentes de seguridad. Los operadores de las redes deben llevar a cabo operaciones de inspección y mantenimiento oportunas y periódicas. Debido al carácter de largo plazo, gran intensidad y gran altitud de estas operaciones, los servicios de inspección de estaciones de base (IEB) realizados manualmente son peligrosos, ineficientes y costosos.</w:t>
      </w:r>
    </w:p>
    <w:p w14:paraId="2753BB5B" w14:textId="77777777" w:rsidR="00706F9D" w:rsidRPr="003E2630" w:rsidRDefault="00706F9D" w:rsidP="00706F9D">
      <w:r w:rsidRPr="003E2630">
        <w:t>Pueden utilizarse aeronaves no tripuladas (ANT) con capacidades de control de vuelo y de detección contrastadas no sólo en el entorno de trabajo normal sino también en algunos entornos de trabajo extremos. Por lo tanto, la IEB que utiliza ANT pueden reemplazar la mayoría de las inspecciones manuales a través de una conexión de red y reducir el riesgo de la inspección y garantizar la seguridad del personal.</w:t>
      </w:r>
    </w:p>
    <w:p w14:paraId="5247690D" w14:textId="77777777" w:rsidR="00706F9D" w:rsidRPr="003E2630" w:rsidRDefault="00706F9D" w:rsidP="000F5444">
      <w:r w:rsidRPr="003E2630">
        <w:t>Para lograr funciones de automatización, la ANT debe tener las correspondientes capacidades de control de vuelo, detección y captación, así como de comunicación, y es necesario desarrollar una plataforma de apoyo de la IEB con las funciones correspondientes que permitan cumplir los requisitos de automatización y seguridad de los servicios de IEB que utilizan ANT.</w:t>
      </w:r>
    </w:p>
    <w:p w14:paraId="1895ED25" w14:textId="77777777" w:rsidR="00706F9D" w:rsidRPr="003E2630" w:rsidRDefault="00706F9D" w:rsidP="000F5444">
      <w:r w:rsidRPr="003E2630">
        <w:t>En esta Recomendación se describen los requisitos y la arquitectura funcional de los servicios de IEB que utilizan vehículos aéreos no tripulados. Se centra en la forma de proporcionar eficazmente servicios de inspección para la estación base utilizando ANT dedicadas a la IEB (ANT-IEB).</w:t>
      </w:r>
    </w:p>
    <w:p w14:paraId="4AB75A9D" w14:textId="77777777" w:rsidR="00706F9D" w:rsidRPr="003E2630" w:rsidRDefault="00706F9D" w:rsidP="00706F9D">
      <w:pPr>
        <w:pStyle w:val="Heading1"/>
        <w:rPr>
          <w:bCs/>
          <w:sz w:val="28"/>
          <w:szCs w:val="28"/>
          <w:highlight w:val="yellow"/>
        </w:rPr>
      </w:pPr>
      <w:r w:rsidRPr="003E2630">
        <w:rPr>
          <w:sz w:val="28"/>
          <w:szCs w:val="28"/>
        </w:rPr>
        <w:lastRenderedPageBreak/>
        <w:t>3</w:t>
      </w:r>
      <w:r w:rsidRPr="003E2630">
        <w:rPr>
          <w:sz w:val="28"/>
          <w:szCs w:val="28"/>
        </w:rPr>
        <w:tab/>
        <w:t xml:space="preserve">Proyecto de nueva Recomendación UIT-T </w:t>
      </w:r>
      <w:r w:rsidRPr="003E2630">
        <w:rPr>
          <w:rFonts w:ascii="Calibri" w:hAnsi="Calibri"/>
          <w:sz w:val="28"/>
          <w:szCs w:val="28"/>
        </w:rPr>
        <w:t xml:space="preserve">Y.4908 (ex </w:t>
      </w:r>
      <w:proofErr w:type="spellStart"/>
      <w:r w:rsidRPr="003E2630">
        <w:rPr>
          <w:rFonts w:ascii="Calibri" w:hAnsi="Calibri"/>
          <w:sz w:val="28"/>
          <w:szCs w:val="28"/>
        </w:rPr>
        <w:t>Y.IoT</w:t>
      </w:r>
      <w:proofErr w:type="spellEnd"/>
      <w:r w:rsidRPr="003E2630">
        <w:rPr>
          <w:rFonts w:ascii="Calibri" w:hAnsi="Calibri"/>
          <w:sz w:val="28"/>
          <w:szCs w:val="28"/>
        </w:rPr>
        <w:t>-EH-PFE) [</w:t>
      </w:r>
      <w:hyperlink r:id="rId14" w:history="1">
        <w:r w:rsidRPr="003E2630">
          <w:rPr>
            <w:rFonts w:ascii="Calibri" w:hAnsi="Calibri"/>
            <w:color w:val="0000FF"/>
            <w:sz w:val="28"/>
            <w:szCs w:val="28"/>
            <w:u w:val="single"/>
          </w:rPr>
          <w:t>R13</w:t>
        </w:r>
      </w:hyperlink>
      <w:r w:rsidRPr="003E2630">
        <w:rPr>
          <w:rFonts w:ascii="Calibri" w:hAnsi="Calibri"/>
          <w:sz w:val="28"/>
          <w:szCs w:val="28"/>
        </w:rPr>
        <w:t>]</w:t>
      </w:r>
    </w:p>
    <w:p w14:paraId="771C1F62" w14:textId="77777777" w:rsidR="00706F9D" w:rsidRPr="003E2630" w:rsidRDefault="00706F9D" w:rsidP="00706F9D">
      <w:pPr>
        <w:pStyle w:val="Headingb0"/>
      </w:pPr>
      <w:r w:rsidRPr="003E2630">
        <w:t xml:space="preserve">Marcos de evaluación del rendimiento de los sistemas de </w:t>
      </w:r>
      <w:proofErr w:type="spellStart"/>
      <w:r w:rsidRPr="003E2630">
        <w:t>cibersalud</w:t>
      </w:r>
      <w:proofErr w:type="spellEnd"/>
      <w:r w:rsidRPr="003E2630">
        <w:t xml:space="preserve"> en la </w:t>
      </w:r>
      <w:proofErr w:type="spellStart"/>
      <w:r w:rsidRPr="003E2630">
        <w:t>IoT</w:t>
      </w:r>
      <w:proofErr w:type="spellEnd"/>
    </w:p>
    <w:p w14:paraId="0CECF774" w14:textId="77777777" w:rsidR="00706F9D" w:rsidRPr="003E2630" w:rsidRDefault="00706F9D" w:rsidP="00706F9D">
      <w:pPr>
        <w:pStyle w:val="Headingb0"/>
      </w:pPr>
      <w:r w:rsidRPr="003E2630">
        <w:t>Resumen</w:t>
      </w:r>
    </w:p>
    <w:p w14:paraId="79DDD290" w14:textId="77777777" w:rsidR="00706F9D" w:rsidRPr="003E2630" w:rsidRDefault="00706F9D" w:rsidP="00706F9D">
      <w:r w:rsidRPr="003E2630">
        <w:t xml:space="preserve">En la actualidad, los gobiernos y las partes interesadas están aplicando sistemas de </w:t>
      </w:r>
      <w:proofErr w:type="spellStart"/>
      <w:r w:rsidRPr="003E2630">
        <w:t>cibersalud</w:t>
      </w:r>
      <w:proofErr w:type="spellEnd"/>
      <w:r w:rsidRPr="003E2630">
        <w:t xml:space="preserve"> para aumentar la eficacia, la eficiencia y la calidad de los servicios de atención de la salud. La Internet de las cosas (</w:t>
      </w:r>
      <w:proofErr w:type="spellStart"/>
      <w:r w:rsidRPr="003E2630">
        <w:t>IoT</w:t>
      </w:r>
      <w:proofErr w:type="spellEnd"/>
      <w:r w:rsidRPr="003E2630">
        <w:t xml:space="preserve">), como tecnología relativamente nueva, está transformando los sistemas de </w:t>
      </w:r>
      <w:proofErr w:type="spellStart"/>
      <w:r w:rsidRPr="003E2630">
        <w:t>cibersalud</w:t>
      </w:r>
      <w:proofErr w:type="spellEnd"/>
      <w:r w:rsidRPr="003E2630">
        <w:t xml:space="preserve"> para mejorar aún más los servicios de atención de la salud. Sin embargo, esta transformación conlleva la necesidad de crear unos marcos eficaces para la evaluación del rendimiento de los sistemas de </w:t>
      </w:r>
      <w:proofErr w:type="spellStart"/>
      <w:r w:rsidRPr="003E2630">
        <w:t>cibersalud</w:t>
      </w:r>
      <w:proofErr w:type="spellEnd"/>
      <w:r w:rsidRPr="003E2630">
        <w:t xml:space="preserve"> en la </w:t>
      </w:r>
      <w:proofErr w:type="spellStart"/>
      <w:r w:rsidRPr="003E2630">
        <w:t>IoT</w:t>
      </w:r>
      <w:proofErr w:type="spellEnd"/>
      <w:r w:rsidRPr="003E2630">
        <w:t>.</w:t>
      </w:r>
    </w:p>
    <w:p w14:paraId="4DE3CBB5" w14:textId="77777777" w:rsidR="00706F9D" w:rsidRPr="003E2630" w:rsidRDefault="00706F9D" w:rsidP="00706F9D">
      <w:r w:rsidRPr="003E2630">
        <w:t xml:space="preserve">En la presente Recomendación se aborda esta necesidad de unos marcos eficaces para la evaluación del rendimiento de los sistemas de </w:t>
      </w:r>
      <w:proofErr w:type="spellStart"/>
      <w:r w:rsidRPr="003E2630">
        <w:t>cibersalud</w:t>
      </w:r>
      <w:proofErr w:type="spellEnd"/>
      <w:r w:rsidRPr="003E2630">
        <w:t xml:space="preserve"> en la </w:t>
      </w:r>
      <w:proofErr w:type="spellStart"/>
      <w:r w:rsidRPr="003E2630">
        <w:t>IoT</w:t>
      </w:r>
      <w:proofErr w:type="spellEnd"/>
      <w:r w:rsidRPr="003E2630">
        <w:t xml:space="preserve"> e incluye:</w:t>
      </w:r>
    </w:p>
    <w:p w14:paraId="370AC016" w14:textId="77777777" w:rsidR="00706F9D" w:rsidRPr="003E2630" w:rsidRDefault="008E217E" w:rsidP="008E217E">
      <w:pPr>
        <w:pStyle w:val="enumlev1"/>
      </w:pPr>
      <w:r w:rsidRPr="003E2630">
        <w:t>–</w:t>
      </w:r>
      <w:r w:rsidRPr="003E2630">
        <w:tab/>
        <w:t xml:space="preserve">una </w:t>
      </w:r>
      <w:r w:rsidR="00706F9D" w:rsidRPr="003E2630">
        <w:t xml:space="preserve">clasificación de los servicios de </w:t>
      </w:r>
      <w:proofErr w:type="spellStart"/>
      <w:r w:rsidR="00706F9D" w:rsidRPr="003E2630">
        <w:t>cibersalud</w:t>
      </w:r>
      <w:proofErr w:type="spellEnd"/>
      <w:r w:rsidR="00706F9D" w:rsidRPr="003E2630">
        <w:t xml:space="preserve"> en la </w:t>
      </w:r>
      <w:proofErr w:type="spellStart"/>
      <w:r w:rsidR="00706F9D" w:rsidRPr="003E2630">
        <w:t>IoT</w:t>
      </w:r>
      <w:proofErr w:type="spellEnd"/>
      <w:r w:rsidRPr="003E2630">
        <w:t>;</w:t>
      </w:r>
    </w:p>
    <w:p w14:paraId="3277E3F6" w14:textId="77777777" w:rsidR="00706F9D" w:rsidRPr="003E2630" w:rsidRDefault="008E217E" w:rsidP="008E217E">
      <w:pPr>
        <w:pStyle w:val="enumlev1"/>
      </w:pPr>
      <w:r w:rsidRPr="003E2630">
        <w:t>–</w:t>
      </w:r>
      <w:r w:rsidRPr="003E2630">
        <w:tab/>
        <w:t xml:space="preserve">un </w:t>
      </w:r>
      <w:r w:rsidR="00706F9D" w:rsidRPr="003E2630">
        <w:t xml:space="preserve">conjunto no exhaustivo de factores de evaluación del rendimiento no funcionales aplicables a los sistemas de </w:t>
      </w:r>
      <w:proofErr w:type="spellStart"/>
      <w:r w:rsidR="00706F9D" w:rsidRPr="003E2630">
        <w:t>cibersalud</w:t>
      </w:r>
      <w:proofErr w:type="spellEnd"/>
      <w:r w:rsidR="00706F9D" w:rsidRPr="003E2630">
        <w:t xml:space="preserve"> en la </w:t>
      </w:r>
      <w:proofErr w:type="spellStart"/>
      <w:r w:rsidR="00706F9D" w:rsidRPr="003E2630">
        <w:t>IoT</w:t>
      </w:r>
      <w:proofErr w:type="spellEnd"/>
      <w:r w:rsidRPr="003E2630">
        <w:t>;</w:t>
      </w:r>
    </w:p>
    <w:p w14:paraId="3C711149" w14:textId="77777777" w:rsidR="00706F9D" w:rsidRPr="003E2630" w:rsidRDefault="008E217E" w:rsidP="008E217E">
      <w:pPr>
        <w:pStyle w:val="enumlev1"/>
      </w:pPr>
      <w:r w:rsidRPr="003E2630">
        <w:t>–</w:t>
      </w:r>
      <w:r w:rsidRPr="003E2630">
        <w:tab/>
        <w:t xml:space="preserve">marcos </w:t>
      </w:r>
      <w:r w:rsidR="00706F9D" w:rsidRPr="003E2630">
        <w:t xml:space="preserve">de evaluación del rendimiento para los sistemas de </w:t>
      </w:r>
      <w:proofErr w:type="spellStart"/>
      <w:r w:rsidR="00706F9D" w:rsidRPr="003E2630">
        <w:t>cibersalud</w:t>
      </w:r>
      <w:proofErr w:type="spellEnd"/>
      <w:r w:rsidR="00706F9D" w:rsidRPr="003E2630">
        <w:t xml:space="preserve"> en la </w:t>
      </w:r>
      <w:proofErr w:type="spellStart"/>
      <w:r w:rsidR="00706F9D" w:rsidRPr="003E2630">
        <w:t>IoT</w:t>
      </w:r>
      <w:proofErr w:type="spellEnd"/>
      <w:r w:rsidR="00706F9D" w:rsidRPr="003E2630">
        <w:t>.</w:t>
      </w:r>
    </w:p>
    <w:p w14:paraId="58B0EAD8" w14:textId="77777777" w:rsidR="00706F9D" w:rsidRPr="003E2630" w:rsidRDefault="00706F9D" w:rsidP="008E217E">
      <w:pPr>
        <w:rPr>
          <w:sz w:val="28"/>
        </w:rPr>
      </w:pPr>
      <w:r w:rsidRPr="003E2630">
        <w:br w:type="page"/>
      </w:r>
    </w:p>
    <w:p w14:paraId="162E4BB2" w14:textId="77777777" w:rsidR="008E217E" w:rsidRPr="003E2630" w:rsidRDefault="008E217E" w:rsidP="008E217E">
      <w:pPr>
        <w:pStyle w:val="AnnexNotitle"/>
        <w:spacing w:after="480"/>
      </w:pPr>
      <w:r w:rsidRPr="003E2630">
        <w:lastRenderedPageBreak/>
        <w:t>Anexo 2</w:t>
      </w:r>
      <w:r w:rsidRPr="003E2630">
        <w:br/>
      </w:r>
      <w:r w:rsidRPr="003E2630">
        <w:br/>
        <w:t xml:space="preserve">Asunto: Respuesta de Estado Miembro a la Circular 267 de la TSB: Consulta </w:t>
      </w:r>
      <w:r w:rsidRPr="003E2630">
        <w:br/>
        <w:t xml:space="preserve">sobre los proyectos de nueva Recomendación determinada </w:t>
      </w:r>
      <w:r w:rsidRPr="003E2630">
        <w:br/>
        <w:t>UIT-T Y.4471 (ex Y.NDA-</w:t>
      </w:r>
      <w:proofErr w:type="spellStart"/>
      <w:r w:rsidRPr="003E2630">
        <w:t>arch</w:t>
      </w:r>
      <w:proofErr w:type="spellEnd"/>
      <w:r w:rsidRPr="003E2630">
        <w:t xml:space="preserve">), Y.4559 (ex Y.UAV-BSI) </w:t>
      </w:r>
      <w:r w:rsidRPr="003E2630">
        <w:br/>
        <w:t xml:space="preserve">e Y.4908 (ex </w:t>
      </w:r>
      <w:proofErr w:type="spellStart"/>
      <w:r w:rsidRPr="003E2630">
        <w:t>Y.IoT</w:t>
      </w:r>
      <w:proofErr w:type="spellEnd"/>
      <w:r w:rsidRPr="003E2630">
        <w:t>-EH-PFE)</w:t>
      </w:r>
    </w:p>
    <w:tbl>
      <w:tblPr>
        <w:tblW w:w="9639" w:type="dxa"/>
        <w:jc w:val="center"/>
        <w:tblLayout w:type="fixed"/>
        <w:tblLook w:val="04A0" w:firstRow="1" w:lastRow="0" w:firstColumn="1" w:lastColumn="0" w:noHBand="0" w:noVBand="1"/>
      </w:tblPr>
      <w:tblGrid>
        <w:gridCol w:w="1276"/>
        <w:gridCol w:w="4111"/>
        <w:gridCol w:w="1276"/>
        <w:gridCol w:w="2976"/>
      </w:tblGrid>
      <w:tr w:rsidR="008E217E" w:rsidRPr="003E2630" w14:paraId="4826038C" w14:textId="77777777" w:rsidTr="00323789">
        <w:trPr>
          <w:jc w:val="center"/>
        </w:trPr>
        <w:tc>
          <w:tcPr>
            <w:tcW w:w="1276" w:type="dxa"/>
            <w:shd w:val="clear" w:color="auto" w:fill="auto"/>
          </w:tcPr>
          <w:p w14:paraId="091A9C5F" w14:textId="77777777" w:rsidR="008E217E" w:rsidRPr="003E2630" w:rsidRDefault="008E217E" w:rsidP="001B0C2C">
            <w:pPr>
              <w:jc w:val="right"/>
              <w:rPr>
                <w:szCs w:val="24"/>
              </w:rPr>
            </w:pPr>
            <w:r w:rsidRPr="003E2630">
              <w:rPr>
                <w:b/>
                <w:bCs/>
              </w:rPr>
              <w:t>A:</w:t>
            </w:r>
          </w:p>
        </w:tc>
        <w:tc>
          <w:tcPr>
            <w:tcW w:w="4111" w:type="dxa"/>
            <w:tcBorders>
              <w:right w:val="single" w:sz="8" w:space="0" w:color="auto"/>
            </w:tcBorders>
            <w:shd w:val="clear" w:color="auto" w:fill="auto"/>
          </w:tcPr>
          <w:p w14:paraId="5CED9E89" w14:textId="77777777" w:rsidR="008E217E" w:rsidRPr="003E2630" w:rsidRDefault="008E217E" w:rsidP="008E217E">
            <w:pPr>
              <w:rPr>
                <w:bCs/>
              </w:rPr>
            </w:pPr>
            <w:r w:rsidRPr="003E2630">
              <w:rPr>
                <w:bCs/>
              </w:rPr>
              <w:t>Director de la Oficina de Normalización de las Telecomunicaciones</w:t>
            </w:r>
          </w:p>
          <w:p w14:paraId="22E7C630" w14:textId="77777777" w:rsidR="008E217E" w:rsidRPr="003E2630" w:rsidRDefault="008E217E" w:rsidP="008E217E">
            <w:pPr>
              <w:spacing w:before="0"/>
              <w:ind w:right="-284"/>
              <w:rPr>
                <w:bCs/>
              </w:rPr>
            </w:pPr>
            <w:r w:rsidRPr="003E2630">
              <w:rPr>
                <w:bCs/>
              </w:rPr>
              <w:t>Unión Internacional de Telecomunicaciones</w:t>
            </w:r>
          </w:p>
          <w:p w14:paraId="30AADFCD" w14:textId="77777777" w:rsidR="008E217E" w:rsidRPr="003E2630" w:rsidRDefault="008E217E" w:rsidP="008E217E">
            <w:pPr>
              <w:spacing w:before="0"/>
              <w:ind w:right="-284"/>
              <w:rPr>
                <w:szCs w:val="24"/>
              </w:rPr>
            </w:pPr>
            <w:r w:rsidRPr="003E2630">
              <w:rPr>
                <w:bCs/>
              </w:rPr>
              <w:t xml:space="preserve">Place des </w:t>
            </w:r>
            <w:proofErr w:type="spellStart"/>
            <w:r w:rsidRPr="003E2630">
              <w:rPr>
                <w:bCs/>
              </w:rPr>
              <w:t>Nations</w:t>
            </w:r>
            <w:proofErr w:type="spellEnd"/>
            <w:r w:rsidRPr="003E2630">
              <w:rPr>
                <w:bCs/>
              </w:rPr>
              <w:br/>
              <w:t>CH 1211 Ginebra 20, Suiza</w:t>
            </w:r>
          </w:p>
        </w:tc>
        <w:tc>
          <w:tcPr>
            <w:tcW w:w="1276" w:type="dxa"/>
            <w:tcBorders>
              <w:left w:val="single" w:sz="8" w:space="0" w:color="auto"/>
            </w:tcBorders>
            <w:shd w:val="clear" w:color="auto" w:fill="auto"/>
          </w:tcPr>
          <w:p w14:paraId="26589670" w14:textId="77777777" w:rsidR="008E217E" w:rsidRPr="003E2630" w:rsidRDefault="008E217E" w:rsidP="001B0C2C">
            <w:pPr>
              <w:jc w:val="right"/>
              <w:rPr>
                <w:szCs w:val="24"/>
              </w:rPr>
            </w:pPr>
            <w:r w:rsidRPr="003E2630">
              <w:rPr>
                <w:b/>
                <w:bCs/>
              </w:rPr>
              <w:t>De</w:t>
            </w:r>
            <w:r w:rsidRPr="003E2630">
              <w:rPr>
                <w:bCs/>
              </w:rPr>
              <w:t>:</w:t>
            </w:r>
          </w:p>
        </w:tc>
        <w:tc>
          <w:tcPr>
            <w:tcW w:w="2976" w:type="dxa"/>
            <w:shd w:val="clear" w:color="auto" w:fill="auto"/>
          </w:tcPr>
          <w:p w14:paraId="2F900DCC" w14:textId="77777777" w:rsidR="008E217E" w:rsidRPr="003E2630" w:rsidRDefault="008E217E" w:rsidP="008E217E">
            <w:pPr>
              <w:ind w:right="-284"/>
              <w:rPr>
                <w:bCs/>
                <w:highlight w:val="green"/>
              </w:rPr>
            </w:pPr>
            <w:r w:rsidRPr="003E2630">
              <w:rPr>
                <w:bCs/>
                <w:highlight w:val="green"/>
              </w:rPr>
              <w:t>[Nombre]</w:t>
            </w:r>
          </w:p>
          <w:p w14:paraId="446E0D0C" w14:textId="77777777" w:rsidR="008E217E" w:rsidRPr="003E2630" w:rsidRDefault="008E217E" w:rsidP="008E217E">
            <w:pPr>
              <w:spacing w:before="0"/>
              <w:ind w:right="-284"/>
              <w:rPr>
                <w:bCs/>
                <w:highlight w:val="green"/>
              </w:rPr>
            </w:pPr>
            <w:r w:rsidRPr="003E2630">
              <w:rPr>
                <w:bCs/>
                <w:highlight w:val="green"/>
              </w:rPr>
              <w:t>[Cargo oficial/Título]</w:t>
            </w:r>
          </w:p>
          <w:p w14:paraId="4CF75934" w14:textId="77777777" w:rsidR="008E217E" w:rsidRPr="003E2630" w:rsidRDefault="008E217E" w:rsidP="008E217E">
            <w:pPr>
              <w:spacing w:before="0"/>
              <w:rPr>
                <w:szCs w:val="24"/>
              </w:rPr>
            </w:pPr>
            <w:r w:rsidRPr="003E2630">
              <w:rPr>
                <w:bCs/>
                <w:highlight w:val="green"/>
              </w:rPr>
              <w:t>[Dirección]</w:t>
            </w:r>
          </w:p>
        </w:tc>
      </w:tr>
      <w:tr w:rsidR="008E217E" w:rsidRPr="003E2630" w14:paraId="505A97BD" w14:textId="77777777" w:rsidTr="00323789">
        <w:trPr>
          <w:trHeight w:val="923"/>
          <w:jc w:val="center"/>
        </w:trPr>
        <w:tc>
          <w:tcPr>
            <w:tcW w:w="1276" w:type="dxa"/>
            <w:shd w:val="clear" w:color="auto" w:fill="auto"/>
          </w:tcPr>
          <w:p w14:paraId="7562DBA9" w14:textId="77777777" w:rsidR="008E217E" w:rsidRPr="003E2630" w:rsidRDefault="008E217E" w:rsidP="001B0C2C">
            <w:pPr>
              <w:jc w:val="right"/>
              <w:rPr>
                <w:szCs w:val="24"/>
              </w:rPr>
            </w:pPr>
            <w:r w:rsidRPr="003E2630">
              <w:rPr>
                <w:b/>
                <w:bCs/>
              </w:rPr>
              <w:t>Fax</w:t>
            </w:r>
            <w:r w:rsidRPr="003E2630">
              <w:rPr>
                <w:bCs/>
              </w:rPr>
              <w:t>:</w:t>
            </w:r>
            <w:r w:rsidRPr="003E2630">
              <w:rPr>
                <w:bCs/>
              </w:rPr>
              <w:br/>
            </w:r>
            <w:r w:rsidRPr="003E2630">
              <w:rPr>
                <w:b/>
                <w:bCs/>
              </w:rPr>
              <w:t>Correo-e</w:t>
            </w:r>
            <w:r w:rsidRPr="003E2630">
              <w:rPr>
                <w:bCs/>
              </w:rPr>
              <w:t>:</w:t>
            </w:r>
          </w:p>
        </w:tc>
        <w:tc>
          <w:tcPr>
            <w:tcW w:w="4111" w:type="dxa"/>
            <w:tcBorders>
              <w:right w:val="single" w:sz="8" w:space="0" w:color="auto"/>
            </w:tcBorders>
            <w:shd w:val="clear" w:color="auto" w:fill="auto"/>
          </w:tcPr>
          <w:p w14:paraId="6C91DF5F" w14:textId="77777777" w:rsidR="008E217E" w:rsidRPr="003E2630" w:rsidRDefault="008E217E" w:rsidP="001B0C2C">
            <w:pPr>
              <w:rPr>
                <w:szCs w:val="24"/>
              </w:rPr>
            </w:pPr>
            <w:r w:rsidRPr="003E2630">
              <w:rPr>
                <w:bCs/>
              </w:rPr>
              <w:t>+41 22 730 5853</w:t>
            </w:r>
            <w:r w:rsidRPr="003E2630">
              <w:rPr>
                <w:bCs/>
              </w:rPr>
              <w:br/>
            </w:r>
            <w:hyperlink r:id="rId15" w:history="1">
              <w:r w:rsidRPr="003E2630">
                <w:rPr>
                  <w:rStyle w:val="Hyperlink"/>
                  <w:bCs/>
                </w:rPr>
                <w:t>tsbdir@itu.int</w:t>
              </w:r>
            </w:hyperlink>
          </w:p>
        </w:tc>
        <w:tc>
          <w:tcPr>
            <w:tcW w:w="1276" w:type="dxa"/>
            <w:tcBorders>
              <w:left w:val="single" w:sz="8" w:space="0" w:color="auto"/>
            </w:tcBorders>
            <w:shd w:val="clear" w:color="auto" w:fill="auto"/>
          </w:tcPr>
          <w:p w14:paraId="33333ED1" w14:textId="77777777" w:rsidR="008E217E" w:rsidRPr="003E2630" w:rsidRDefault="008E217E" w:rsidP="001B0C2C">
            <w:pPr>
              <w:jc w:val="right"/>
              <w:rPr>
                <w:szCs w:val="24"/>
              </w:rPr>
            </w:pPr>
            <w:r w:rsidRPr="003E2630">
              <w:rPr>
                <w:b/>
                <w:bCs/>
              </w:rPr>
              <w:t>Fax:</w:t>
            </w:r>
            <w:r w:rsidRPr="003E2630">
              <w:rPr>
                <w:b/>
                <w:bCs/>
              </w:rPr>
              <w:br/>
              <w:t>Correo-e</w:t>
            </w:r>
            <w:r w:rsidRPr="003E2630">
              <w:rPr>
                <w:bCs/>
              </w:rPr>
              <w:t>:</w:t>
            </w:r>
          </w:p>
        </w:tc>
        <w:tc>
          <w:tcPr>
            <w:tcW w:w="2976" w:type="dxa"/>
            <w:shd w:val="clear" w:color="auto" w:fill="auto"/>
          </w:tcPr>
          <w:p w14:paraId="4FFDA2C7" w14:textId="77777777" w:rsidR="008E217E" w:rsidRPr="003E2630" w:rsidRDefault="008E217E" w:rsidP="001B0C2C">
            <w:pPr>
              <w:spacing w:before="0"/>
              <w:rPr>
                <w:szCs w:val="24"/>
              </w:rPr>
            </w:pPr>
          </w:p>
        </w:tc>
      </w:tr>
      <w:tr w:rsidR="008E217E" w:rsidRPr="003E2630" w14:paraId="7EA6857E" w14:textId="77777777" w:rsidTr="00323789">
        <w:trPr>
          <w:trHeight w:val="186"/>
          <w:jc w:val="center"/>
        </w:trPr>
        <w:tc>
          <w:tcPr>
            <w:tcW w:w="1276" w:type="dxa"/>
            <w:shd w:val="clear" w:color="auto" w:fill="auto"/>
          </w:tcPr>
          <w:p w14:paraId="3E7C19A2" w14:textId="77777777" w:rsidR="008E217E" w:rsidRPr="003E2630" w:rsidRDefault="008E217E" w:rsidP="001B0C2C">
            <w:pPr>
              <w:spacing w:before="0"/>
              <w:jc w:val="right"/>
              <w:rPr>
                <w:szCs w:val="24"/>
              </w:rPr>
            </w:pPr>
          </w:p>
        </w:tc>
        <w:tc>
          <w:tcPr>
            <w:tcW w:w="4111" w:type="dxa"/>
            <w:tcBorders>
              <w:right w:val="single" w:sz="8" w:space="0" w:color="auto"/>
            </w:tcBorders>
            <w:shd w:val="clear" w:color="auto" w:fill="auto"/>
          </w:tcPr>
          <w:p w14:paraId="39F02BE0" w14:textId="77777777" w:rsidR="008E217E" w:rsidRPr="003E2630" w:rsidRDefault="008E217E" w:rsidP="001B0C2C">
            <w:pPr>
              <w:spacing w:before="0"/>
              <w:rPr>
                <w:szCs w:val="24"/>
              </w:rPr>
            </w:pPr>
          </w:p>
        </w:tc>
        <w:tc>
          <w:tcPr>
            <w:tcW w:w="1276" w:type="dxa"/>
            <w:tcBorders>
              <w:left w:val="single" w:sz="8" w:space="0" w:color="auto"/>
            </w:tcBorders>
            <w:shd w:val="clear" w:color="auto" w:fill="auto"/>
          </w:tcPr>
          <w:p w14:paraId="4DD009EA" w14:textId="77777777" w:rsidR="008E217E" w:rsidRPr="003E2630" w:rsidRDefault="008E217E" w:rsidP="001B0C2C">
            <w:pPr>
              <w:spacing w:before="0"/>
              <w:jc w:val="right"/>
              <w:rPr>
                <w:szCs w:val="24"/>
              </w:rPr>
            </w:pPr>
            <w:r w:rsidRPr="003E2630">
              <w:rPr>
                <w:b/>
                <w:bCs/>
              </w:rPr>
              <w:t>Fecha</w:t>
            </w:r>
            <w:r w:rsidRPr="003E2630">
              <w:rPr>
                <w:bCs/>
              </w:rPr>
              <w:t>:</w:t>
            </w:r>
          </w:p>
        </w:tc>
        <w:tc>
          <w:tcPr>
            <w:tcW w:w="2976" w:type="dxa"/>
            <w:shd w:val="clear" w:color="auto" w:fill="auto"/>
          </w:tcPr>
          <w:p w14:paraId="4119322B" w14:textId="77777777" w:rsidR="008E217E" w:rsidRPr="003E2630" w:rsidRDefault="008E217E" w:rsidP="001B0C2C">
            <w:pPr>
              <w:spacing w:before="0"/>
              <w:rPr>
                <w:szCs w:val="24"/>
                <w:highlight w:val="green"/>
              </w:rPr>
            </w:pPr>
            <w:r w:rsidRPr="003E2630">
              <w:rPr>
                <w:bCs/>
                <w:highlight w:val="green"/>
              </w:rPr>
              <w:t>[Lugar,] [Fecha]</w:t>
            </w:r>
          </w:p>
        </w:tc>
      </w:tr>
    </w:tbl>
    <w:p w14:paraId="555C25DD" w14:textId="77777777" w:rsidR="008E217E" w:rsidRPr="003E2630" w:rsidRDefault="0062669D" w:rsidP="008E217E">
      <w:pPr>
        <w:spacing w:before="480"/>
      </w:pPr>
      <w:r w:rsidRPr="003E2630">
        <w:t>Estimado(a) Señor(a):</w:t>
      </w:r>
    </w:p>
    <w:p w14:paraId="4B256920" w14:textId="77777777" w:rsidR="008E217E" w:rsidRPr="003E2630" w:rsidRDefault="0062669D" w:rsidP="008E217E">
      <w:pPr>
        <w:spacing w:after="240"/>
      </w:pPr>
      <w:r w:rsidRPr="003E2630">
        <w:t>En lo que respecta a la Consulta a los Estados Miembros sobre los proyecto de texto determinados que figuran en la Circular TSB 267, deseo informarle de la opinión de esta Administración, que se refleja en el siguiente cuadro: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577"/>
      </w:tblGrid>
      <w:tr w:rsidR="008E217E" w:rsidRPr="003E2630" w14:paraId="2D69494D" w14:textId="77777777" w:rsidTr="00323789">
        <w:trPr>
          <w:tblHeader/>
          <w:jc w:val="center"/>
        </w:trPr>
        <w:tc>
          <w:tcPr>
            <w:tcW w:w="2067" w:type="dxa"/>
            <w:shd w:val="clear" w:color="auto" w:fill="auto"/>
            <w:vAlign w:val="center"/>
          </w:tcPr>
          <w:p w14:paraId="753EC24B" w14:textId="77777777" w:rsidR="008E217E" w:rsidRPr="003E2630" w:rsidRDefault="008E217E" w:rsidP="001B0C2C">
            <w:pPr>
              <w:spacing w:before="40" w:after="40"/>
              <w:jc w:val="center"/>
              <w:rPr>
                <w:b/>
                <w:bCs/>
                <w:szCs w:val="24"/>
              </w:rPr>
            </w:pPr>
          </w:p>
        </w:tc>
        <w:tc>
          <w:tcPr>
            <w:tcW w:w="7652" w:type="dxa"/>
            <w:shd w:val="clear" w:color="auto" w:fill="auto"/>
            <w:vAlign w:val="center"/>
          </w:tcPr>
          <w:p w14:paraId="03B0B701" w14:textId="77777777" w:rsidR="008E217E" w:rsidRPr="003E2630" w:rsidRDefault="0062669D" w:rsidP="001B0C2C">
            <w:pPr>
              <w:pStyle w:val="TableHead"/>
              <w:spacing w:before="40" w:after="40"/>
            </w:pPr>
            <w:r w:rsidRPr="003E2630">
              <w:t>Seleccione una de las dos casillas</w:t>
            </w:r>
          </w:p>
        </w:tc>
      </w:tr>
      <w:tr w:rsidR="008E217E" w:rsidRPr="003E2630" w14:paraId="75CB2474" w14:textId="77777777" w:rsidTr="00323789">
        <w:trPr>
          <w:trHeight w:val="748"/>
          <w:jc w:val="center"/>
        </w:trPr>
        <w:tc>
          <w:tcPr>
            <w:tcW w:w="2067" w:type="dxa"/>
            <w:vMerge w:val="restart"/>
            <w:shd w:val="clear" w:color="auto" w:fill="auto"/>
            <w:vAlign w:val="center"/>
          </w:tcPr>
          <w:p w14:paraId="3B2DE1B2" w14:textId="77777777" w:rsidR="008E217E" w:rsidRPr="003E2630" w:rsidRDefault="0062669D" w:rsidP="0062669D">
            <w:pPr>
              <w:pStyle w:val="TableHead"/>
              <w:spacing w:before="40" w:after="40"/>
              <w:rPr>
                <w:bCs/>
                <w:szCs w:val="24"/>
              </w:rPr>
            </w:pPr>
            <w:r w:rsidRPr="003E2630">
              <w:rPr>
                <w:bCs/>
                <w:szCs w:val="24"/>
              </w:rPr>
              <w:t>Proyecto de nueva Recomendación UIT</w:t>
            </w:r>
            <w:r w:rsidR="00323789" w:rsidRPr="003E2630">
              <w:rPr>
                <w:bCs/>
                <w:szCs w:val="24"/>
              </w:rPr>
              <w:noBreakHyphen/>
            </w:r>
            <w:r w:rsidRPr="003E2630">
              <w:rPr>
                <w:bCs/>
                <w:szCs w:val="24"/>
              </w:rPr>
              <w:t>T Y.4471 (ex</w:t>
            </w:r>
            <w:r w:rsidR="00323789" w:rsidRPr="003E2630">
              <w:rPr>
                <w:bCs/>
                <w:szCs w:val="24"/>
              </w:rPr>
              <w:t> </w:t>
            </w:r>
            <w:r w:rsidRPr="003E2630">
              <w:rPr>
                <w:bCs/>
                <w:szCs w:val="24"/>
              </w:rPr>
              <w:t>Y.NDA-</w:t>
            </w:r>
            <w:proofErr w:type="spellStart"/>
            <w:r w:rsidRPr="003E2630">
              <w:rPr>
                <w:bCs/>
                <w:szCs w:val="24"/>
              </w:rPr>
              <w:t>arch</w:t>
            </w:r>
            <w:proofErr w:type="spellEnd"/>
            <w:r w:rsidRPr="003E2630">
              <w:rPr>
                <w:bCs/>
                <w:szCs w:val="24"/>
              </w:rPr>
              <w:t>)</w:t>
            </w:r>
          </w:p>
        </w:tc>
        <w:tc>
          <w:tcPr>
            <w:tcW w:w="7652" w:type="dxa"/>
            <w:shd w:val="clear" w:color="auto" w:fill="auto"/>
            <w:vAlign w:val="center"/>
          </w:tcPr>
          <w:p w14:paraId="6A383185" w14:textId="77777777" w:rsidR="008E217E" w:rsidRPr="003E2630" w:rsidRDefault="008E217E" w:rsidP="001B0C2C">
            <w:pPr>
              <w:pStyle w:val="TableText"/>
              <w:ind w:left="567" w:hanging="567"/>
            </w:pPr>
            <w:r w:rsidRPr="003E2630">
              <w:rPr>
                <w:szCs w:val="22"/>
              </w:rPr>
              <w:fldChar w:fldCharType="begin">
                <w:ffData>
                  <w:name w:val="Check1"/>
                  <w:enabled/>
                  <w:calcOnExit w:val="0"/>
                  <w:checkBox>
                    <w:sizeAuto/>
                    <w:default w:val="0"/>
                  </w:checkBox>
                </w:ffData>
              </w:fldChar>
            </w:r>
            <w:r w:rsidRPr="003E2630">
              <w:rPr>
                <w:szCs w:val="22"/>
              </w:rPr>
              <w:instrText xml:space="preserve"> FORMCHECKBOX </w:instrText>
            </w:r>
            <w:r w:rsidR="00FD74B3">
              <w:rPr>
                <w:szCs w:val="22"/>
              </w:rPr>
            </w:r>
            <w:r w:rsidR="00FD74B3">
              <w:rPr>
                <w:szCs w:val="22"/>
              </w:rPr>
              <w:fldChar w:fldCharType="separate"/>
            </w:r>
            <w:r w:rsidRPr="003E2630">
              <w:rPr>
                <w:szCs w:val="22"/>
              </w:rPr>
              <w:fldChar w:fldCharType="end"/>
            </w:r>
            <w:r w:rsidRPr="003E2630">
              <w:rPr>
                <w:szCs w:val="22"/>
              </w:rPr>
              <w:tab/>
            </w:r>
            <w:r w:rsidRPr="003E2630">
              <w:rPr>
                <w:sz w:val="20"/>
              </w:rPr>
              <w:tab/>
            </w:r>
            <w:r w:rsidR="00323789" w:rsidRPr="003E2630">
              <w:rPr>
                <w:b/>
                <w:bCs/>
              </w:rPr>
              <w:t xml:space="preserve">otorga </w:t>
            </w:r>
            <w:r w:rsidR="00323789" w:rsidRPr="003E2630">
              <w:t>autoridad a la Comisión de Estudio 20 a fin de examinar este texto para aprobación (en cuyo caso seleccionará una de las dos opciones</w:t>
            </w:r>
            <w:r w:rsidRPr="003E2630">
              <w:t xml:space="preserve"> ⃝):</w:t>
            </w:r>
          </w:p>
          <w:p w14:paraId="08D09C94" w14:textId="77777777" w:rsidR="008E217E" w:rsidRPr="003E2630" w:rsidRDefault="008E217E" w:rsidP="001B0C2C">
            <w:pPr>
              <w:pStyle w:val="TableText"/>
            </w:pPr>
            <w:r w:rsidRPr="003E2630">
              <w:rPr>
                <w:sz w:val="20"/>
              </w:rPr>
              <w:tab/>
            </w:r>
            <w:r w:rsidRPr="003E2630">
              <w:rPr>
                <w:sz w:val="20"/>
              </w:rPr>
              <w:tab/>
              <w:t>⃝</w:t>
            </w:r>
            <w:r w:rsidRPr="003E2630">
              <w:rPr>
                <w:sz w:val="20"/>
              </w:rPr>
              <w:tab/>
            </w:r>
            <w:r w:rsidR="00323789" w:rsidRPr="003E2630">
              <w:t>Sin comentarios o cambios sugeridos</w:t>
            </w:r>
          </w:p>
          <w:p w14:paraId="46138466" w14:textId="77777777" w:rsidR="008E217E" w:rsidRPr="003E2630" w:rsidRDefault="008E217E" w:rsidP="001B0C2C">
            <w:pPr>
              <w:pStyle w:val="TableText"/>
              <w:ind w:left="851" w:hanging="851"/>
            </w:pPr>
            <w:r w:rsidRPr="003E2630">
              <w:rPr>
                <w:sz w:val="20"/>
              </w:rPr>
              <w:tab/>
            </w:r>
            <w:r w:rsidRPr="003E2630">
              <w:rPr>
                <w:sz w:val="20"/>
              </w:rPr>
              <w:tab/>
              <w:t>⃝</w:t>
            </w:r>
            <w:r w:rsidRPr="003E2630">
              <w:rPr>
                <w:sz w:val="20"/>
              </w:rPr>
              <w:tab/>
            </w:r>
            <w:r w:rsidR="00323789" w:rsidRPr="003E2630">
              <w:t>Se adjuntan los comentarios o cambios sugeridos</w:t>
            </w:r>
          </w:p>
        </w:tc>
      </w:tr>
      <w:tr w:rsidR="008E217E" w:rsidRPr="003E2630" w14:paraId="3CBE2AA5" w14:textId="77777777" w:rsidTr="00323789">
        <w:trPr>
          <w:trHeight w:val="747"/>
          <w:jc w:val="center"/>
        </w:trPr>
        <w:tc>
          <w:tcPr>
            <w:tcW w:w="2067" w:type="dxa"/>
            <w:vMerge/>
            <w:shd w:val="clear" w:color="auto" w:fill="auto"/>
            <w:vAlign w:val="center"/>
          </w:tcPr>
          <w:p w14:paraId="0D426975" w14:textId="77777777" w:rsidR="008E217E" w:rsidRPr="003E2630" w:rsidRDefault="008E217E" w:rsidP="001B0C2C">
            <w:pPr>
              <w:spacing w:before="40" w:after="40"/>
              <w:jc w:val="center"/>
              <w:rPr>
                <w:b/>
                <w:bCs/>
                <w:szCs w:val="24"/>
              </w:rPr>
            </w:pPr>
          </w:p>
        </w:tc>
        <w:tc>
          <w:tcPr>
            <w:tcW w:w="7652" w:type="dxa"/>
            <w:shd w:val="clear" w:color="auto" w:fill="auto"/>
            <w:vAlign w:val="center"/>
          </w:tcPr>
          <w:p w14:paraId="47D475F6" w14:textId="77777777" w:rsidR="008E217E" w:rsidRPr="003E2630" w:rsidRDefault="008E217E" w:rsidP="001B0C2C">
            <w:pPr>
              <w:pStyle w:val="TableText"/>
              <w:ind w:left="567" w:hanging="567"/>
              <w:rPr>
                <w:sz w:val="20"/>
              </w:rPr>
            </w:pPr>
            <w:r w:rsidRPr="003E2630">
              <w:rPr>
                <w:szCs w:val="22"/>
              </w:rPr>
              <w:fldChar w:fldCharType="begin">
                <w:ffData>
                  <w:name w:val="Check1"/>
                  <w:enabled/>
                  <w:calcOnExit w:val="0"/>
                  <w:checkBox>
                    <w:sizeAuto/>
                    <w:default w:val="0"/>
                  </w:checkBox>
                </w:ffData>
              </w:fldChar>
            </w:r>
            <w:r w:rsidRPr="003E2630">
              <w:rPr>
                <w:szCs w:val="22"/>
              </w:rPr>
              <w:instrText xml:space="preserve"> FORMCHECKBOX </w:instrText>
            </w:r>
            <w:r w:rsidR="00FD74B3">
              <w:rPr>
                <w:szCs w:val="22"/>
              </w:rPr>
            </w:r>
            <w:r w:rsidR="00FD74B3">
              <w:rPr>
                <w:szCs w:val="22"/>
              </w:rPr>
              <w:fldChar w:fldCharType="separate"/>
            </w:r>
            <w:r w:rsidRPr="003E2630">
              <w:rPr>
                <w:szCs w:val="22"/>
              </w:rPr>
              <w:fldChar w:fldCharType="end"/>
            </w:r>
            <w:r w:rsidRPr="003E2630">
              <w:rPr>
                <w:szCs w:val="22"/>
              </w:rPr>
              <w:tab/>
            </w:r>
            <w:r w:rsidRPr="003E2630">
              <w:rPr>
                <w:szCs w:val="22"/>
              </w:rPr>
              <w:tab/>
            </w:r>
            <w:r w:rsidR="00323789" w:rsidRPr="003E2630">
              <w:rPr>
                <w:b/>
                <w:bCs/>
              </w:rPr>
              <w:t xml:space="preserve">no otorga autoridad </w:t>
            </w:r>
            <w:r w:rsidR="00323789" w:rsidRPr="003E2630">
              <w:t>a la Comisión de Estudio 20 a fin de examinar este texto para aprobación (se adjuntan los motivos para esta opinión y las posibles modificaciones que permitirían que prosiguieran los trabajos)</w:t>
            </w:r>
          </w:p>
        </w:tc>
      </w:tr>
      <w:tr w:rsidR="008E217E" w:rsidRPr="003E2630" w14:paraId="43787BE0" w14:textId="77777777" w:rsidTr="00323789">
        <w:trPr>
          <w:trHeight w:val="747"/>
          <w:jc w:val="center"/>
        </w:trPr>
        <w:tc>
          <w:tcPr>
            <w:tcW w:w="2067" w:type="dxa"/>
            <w:vMerge w:val="restart"/>
            <w:shd w:val="clear" w:color="auto" w:fill="auto"/>
            <w:vAlign w:val="center"/>
          </w:tcPr>
          <w:p w14:paraId="6676D255" w14:textId="77777777" w:rsidR="008E217E" w:rsidRPr="003E2630" w:rsidRDefault="00323789" w:rsidP="001B0C2C">
            <w:pPr>
              <w:keepNext/>
              <w:keepLines/>
              <w:spacing w:before="40" w:after="40"/>
              <w:jc w:val="center"/>
              <w:rPr>
                <w:b/>
                <w:bCs/>
                <w:sz w:val="22"/>
                <w:szCs w:val="22"/>
              </w:rPr>
            </w:pPr>
            <w:bookmarkStart w:id="7" w:name="lt_pId139"/>
            <w:r w:rsidRPr="003E2630">
              <w:rPr>
                <w:b/>
                <w:bCs/>
                <w:sz w:val="22"/>
                <w:szCs w:val="22"/>
              </w:rPr>
              <w:t xml:space="preserve">Proyecto de nueva Recomendación </w:t>
            </w:r>
            <w:r w:rsidR="008E217E" w:rsidRPr="003E2630">
              <w:rPr>
                <w:b/>
                <w:bCs/>
                <w:sz w:val="22"/>
                <w:szCs w:val="22"/>
              </w:rPr>
              <w:t>UIT-T Y.4559 (ex Y.UAV-BSI)</w:t>
            </w:r>
            <w:bookmarkEnd w:id="7"/>
          </w:p>
        </w:tc>
        <w:tc>
          <w:tcPr>
            <w:tcW w:w="7652" w:type="dxa"/>
            <w:shd w:val="clear" w:color="auto" w:fill="auto"/>
            <w:vAlign w:val="center"/>
          </w:tcPr>
          <w:p w14:paraId="776FF146" w14:textId="77777777" w:rsidR="00323789" w:rsidRPr="003E2630" w:rsidRDefault="00323789" w:rsidP="00323789">
            <w:pPr>
              <w:pStyle w:val="TableText"/>
              <w:ind w:left="567" w:hanging="567"/>
            </w:pPr>
            <w:r w:rsidRPr="003E2630">
              <w:rPr>
                <w:szCs w:val="22"/>
              </w:rPr>
              <w:fldChar w:fldCharType="begin">
                <w:ffData>
                  <w:name w:val="Check1"/>
                  <w:enabled/>
                  <w:calcOnExit w:val="0"/>
                  <w:checkBox>
                    <w:sizeAuto/>
                    <w:default w:val="0"/>
                  </w:checkBox>
                </w:ffData>
              </w:fldChar>
            </w:r>
            <w:r w:rsidRPr="003E2630">
              <w:rPr>
                <w:szCs w:val="22"/>
              </w:rPr>
              <w:instrText xml:space="preserve"> FORMCHECKBOX </w:instrText>
            </w:r>
            <w:r w:rsidR="00FD74B3">
              <w:rPr>
                <w:szCs w:val="22"/>
              </w:rPr>
            </w:r>
            <w:r w:rsidR="00FD74B3">
              <w:rPr>
                <w:szCs w:val="22"/>
              </w:rPr>
              <w:fldChar w:fldCharType="separate"/>
            </w:r>
            <w:r w:rsidRPr="003E2630">
              <w:rPr>
                <w:szCs w:val="22"/>
              </w:rPr>
              <w:fldChar w:fldCharType="end"/>
            </w:r>
            <w:r w:rsidRPr="003E2630">
              <w:rPr>
                <w:szCs w:val="22"/>
              </w:rPr>
              <w:tab/>
            </w:r>
            <w:r w:rsidRPr="003E2630">
              <w:rPr>
                <w:sz w:val="20"/>
              </w:rPr>
              <w:tab/>
            </w:r>
            <w:r w:rsidRPr="003E2630">
              <w:rPr>
                <w:b/>
                <w:bCs/>
              </w:rPr>
              <w:t xml:space="preserve">otorga </w:t>
            </w:r>
            <w:r w:rsidRPr="003E2630">
              <w:t>autoridad a la Comisión de Estudio 20 a fin de examinar este texto para aprobación (en cuyo caso seleccionará una de las dos opciones ⃝):</w:t>
            </w:r>
          </w:p>
          <w:p w14:paraId="1C8807F0" w14:textId="77777777" w:rsidR="00323789" w:rsidRPr="003E2630" w:rsidRDefault="00323789" w:rsidP="00323789">
            <w:pPr>
              <w:pStyle w:val="TableText"/>
            </w:pPr>
            <w:r w:rsidRPr="003E2630">
              <w:rPr>
                <w:sz w:val="20"/>
              </w:rPr>
              <w:tab/>
            </w:r>
            <w:r w:rsidRPr="003E2630">
              <w:rPr>
                <w:sz w:val="20"/>
              </w:rPr>
              <w:tab/>
              <w:t>⃝</w:t>
            </w:r>
            <w:r w:rsidRPr="003E2630">
              <w:rPr>
                <w:sz w:val="20"/>
              </w:rPr>
              <w:tab/>
            </w:r>
            <w:r w:rsidRPr="003E2630">
              <w:t>Sin comentarios o cambios sugeridos</w:t>
            </w:r>
          </w:p>
          <w:p w14:paraId="29A53F41" w14:textId="77777777" w:rsidR="008E217E" w:rsidRPr="003E2630" w:rsidRDefault="00323789" w:rsidP="00323789">
            <w:pPr>
              <w:pStyle w:val="TableText"/>
              <w:keepNext/>
              <w:keepLines/>
              <w:ind w:left="851" w:hanging="851"/>
              <w:rPr>
                <w:szCs w:val="22"/>
              </w:rPr>
            </w:pPr>
            <w:r w:rsidRPr="003E2630">
              <w:rPr>
                <w:sz w:val="20"/>
              </w:rPr>
              <w:tab/>
            </w:r>
            <w:r w:rsidRPr="003E2630">
              <w:rPr>
                <w:sz w:val="20"/>
              </w:rPr>
              <w:tab/>
              <w:t>⃝</w:t>
            </w:r>
            <w:r w:rsidRPr="003E2630">
              <w:rPr>
                <w:sz w:val="20"/>
              </w:rPr>
              <w:tab/>
            </w:r>
            <w:r w:rsidRPr="003E2630">
              <w:t>Se adjuntan los comentarios o cambios sugeridos</w:t>
            </w:r>
          </w:p>
        </w:tc>
      </w:tr>
      <w:tr w:rsidR="008E217E" w:rsidRPr="003E2630" w14:paraId="637833B8" w14:textId="77777777" w:rsidTr="00323789">
        <w:trPr>
          <w:trHeight w:val="747"/>
          <w:jc w:val="center"/>
        </w:trPr>
        <w:tc>
          <w:tcPr>
            <w:tcW w:w="2067" w:type="dxa"/>
            <w:vMerge/>
            <w:shd w:val="clear" w:color="auto" w:fill="auto"/>
            <w:vAlign w:val="center"/>
          </w:tcPr>
          <w:p w14:paraId="0035235C" w14:textId="77777777" w:rsidR="008E217E" w:rsidRPr="003E2630" w:rsidRDefault="008E217E" w:rsidP="001B0C2C">
            <w:pPr>
              <w:keepNext/>
              <w:keepLines/>
              <w:spacing w:before="40" w:after="40"/>
              <w:jc w:val="center"/>
              <w:rPr>
                <w:b/>
                <w:bCs/>
                <w:szCs w:val="24"/>
              </w:rPr>
            </w:pPr>
          </w:p>
        </w:tc>
        <w:tc>
          <w:tcPr>
            <w:tcW w:w="7652" w:type="dxa"/>
            <w:shd w:val="clear" w:color="auto" w:fill="auto"/>
            <w:vAlign w:val="center"/>
          </w:tcPr>
          <w:p w14:paraId="119A31E1" w14:textId="77777777" w:rsidR="008E217E" w:rsidRPr="003E2630" w:rsidRDefault="008E217E" w:rsidP="001B0C2C">
            <w:pPr>
              <w:pStyle w:val="TableText"/>
              <w:keepNext/>
              <w:keepLines/>
              <w:ind w:left="567" w:hanging="567"/>
              <w:rPr>
                <w:szCs w:val="22"/>
              </w:rPr>
            </w:pPr>
            <w:r w:rsidRPr="003E2630">
              <w:rPr>
                <w:szCs w:val="22"/>
              </w:rPr>
              <w:fldChar w:fldCharType="begin">
                <w:ffData>
                  <w:name w:val="Check1"/>
                  <w:enabled/>
                  <w:calcOnExit w:val="0"/>
                  <w:checkBox>
                    <w:sizeAuto/>
                    <w:default w:val="0"/>
                  </w:checkBox>
                </w:ffData>
              </w:fldChar>
            </w:r>
            <w:r w:rsidRPr="003E2630">
              <w:rPr>
                <w:szCs w:val="22"/>
              </w:rPr>
              <w:instrText xml:space="preserve"> FORMCHECKBOX </w:instrText>
            </w:r>
            <w:r w:rsidR="00FD74B3">
              <w:rPr>
                <w:szCs w:val="22"/>
              </w:rPr>
            </w:r>
            <w:r w:rsidR="00FD74B3">
              <w:rPr>
                <w:szCs w:val="22"/>
              </w:rPr>
              <w:fldChar w:fldCharType="separate"/>
            </w:r>
            <w:r w:rsidRPr="003E2630">
              <w:rPr>
                <w:szCs w:val="22"/>
              </w:rPr>
              <w:fldChar w:fldCharType="end"/>
            </w:r>
            <w:r w:rsidRPr="003E2630">
              <w:rPr>
                <w:szCs w:val="22"/>
              </w:rPr>
              <w:tab/>
            </w:r>
            <w:r w:rsidRPr="003E2630">
              <w:rPr>
                <w:szCs w:val="22"/>
              </w:rPr>
              <w:tab/>
            </w:r>
            <w:r w:rsidR="00323789" w:rsidRPr="003E2630">
              <w:rPr>
                <w:b/>
                <w:bCs/>
              </w:rPr>
              <w:t xml:space="preserve">no otorga autoridad </w:t>
            </w:r>
            <w:r w:rsidR="00323789" w:rsidRPr="003E2630">
              <w:t>a la Comisión de Estudio 20 a fin de examinar este texto para aprobación (se adjuntan los motivos para esta opinión y las posibles modificaciones que permitirían que prosiguieran los trabajos)</w:t>
            </w:r>
          </w:p>
        </w:tc>
      </w:tr>
      <w:tr w:rsidR="008E217E" w:rsidRPr="003E2630" w14:paraId="49271A97" w14:textId="77777777" w:rsidTr="00323789">
        <w:trPr>
          <w:trHeight w:val="747"/>
          <w:jc w:val="center"/>
        </w:trPr>
        <w:tc>
          <w:tcPr>
            <w:tcW w:w="2067" w:type="dxa"/>
            <w:vMerge w:val="restart"/>
            <w:shd w:val="clear" w:color="auto" w:fill="auto"/>
            <w:vAlign w:val="center"/>
          </w:tcPr>
          <w:p w14:paraId="1564FDC8" w14:textId="77777777" w:rsidR="008E217E" w:rsidRPr="003E2630" w:rsidRDefault="00323789" w:rsidP="001B0C2C">
            <w:pPr>
              <w:spacing w:before="40" w:after="40"/>
              <w:jc w:val="center"/>
              <w:rPr>
                <w:b/>
                <w:bCs/>
                <w:sz w:val="22"/>
                <w:szCs w:val="22"/>
              </w:rPr>
            </w:pPr>
            <w:bookmarkStart w:id="8" w:name="lt_pId146"/>
            <w:r w:rsidRPr="003E2630">
              <w:rPr>
                <w:b/>
                <w:bCs/>
                <w:sz w:val="22"/>
                <w:szCs w:val="22"/>
              </w:rPr>
              <w:t xml:space="preserve">Proyecto de nueva Recomendación </w:t>
            </w:r>
            <w:r w:rsidR="008E217E" w:rsidRPr="003E2630">
              <w:rPr>
                <w:b/>
                <w:bCs/>
                <w:sz w:val="22"/>
                <w:szCs w:val="22"/>
              </w:rPr>
              <w:t>UIT-T Y.4908 (ex </w:t>
            </w:r>
            <w:proofErr w:type="spellStart"/>
            <w:r w:rsidR="008E217E" w:rsidRPr="003E2630">
              <w:rPr>
                <w:b/>
                <w:bCs/>
                <w:sz w:val="22"/>
                <w:szCs w:val="22"/>
              </w:rPr>
              <w:t>Y.IoT</w:t>
            </w:r>
            <w:proofErr w:type="spellEnd"/>
            <w:r w:rsidR="008E217E" w:rsidRPr="003E2630">
              <w:rPr>
                <w:b/>
                <w:bCs/>
                <w:sz w:val="22"/>
                <w:szCs w:val="22"/>
              </w:rPr>
              <w:t>-EH-PFE)</w:t>
            </w:r>
            <w:bookmarkEnd w:id="8"/>
          </w:p>
        </w:tc>
        <w:tc>
          <w:tcPr>
            <w:tcW w:w="7652" w:type="dxa"/>
            <w:shd w:val="clear" w:color="auto" w:fill="auto"/>
            <w:vAlign w:val="center"/>
          </w:tcPr>
          <w:p w14:paraId="5E68A8D6" w14:textId="77777777" w:rsidR="00323789" w:rsidRPr="003E2630" w:rsidRDefault="00323789" w:rsidP="00323789">
            <w:pPr>
              <w:pStyle w:val="TableText"/>
              <w:ind w:left="567" w:hanging="567"/>
            </w:pPr>
            <w:r w:rsidRPr="003E2630">
              <w:rPr>
                <w:szCs w:val="22"/>
              </w:rPr>
              <w:fldChar w:fldCharType="begin">
                <w:ffData>
                  <w:name w:val="Check1"/>
                  <w:enabled/>
                  <w:calcOnExit w:val="0"/>
                  <w:checkBox>
                    <w:sizeAuto/>
                    <w:default w:val="0"/>
                  </w:checkBox>
                </w:ffData>
              </w:fldChar>
            </w:r>
            <w:r w:rsidRPr="003E2630">
              <w:rPr>
                <w:szCs w:val="22"/>
              </w:rPr>
              <w:instrText xml:space="preserve"> FORMCHECKBOX </w:instrText>
            </w:r>
            <w:r w:rsidR="00FD74B3">
              <w:rPr>
                <w:szCs w:val="22"/>
              </w:rPr>
            </w:r>
            <w:r w:rsidR="00FD74B3">
              <w:rPr>
                <w:szCs w:val="22"/>
              </w:rPr>
              <w:fldChar w:fldCharType="separate"/>
            </w:r>
            <w:r w:rsidRPr="003E2630">
              <w:rPr>
                <w:szCs w:val="22"/>
              </w:rPr>
              <w:fldChar w:fldCharType="end"/>
            </w:r>
            <w:r w:rsidRPr="003E2630">
              <w:rPr>
                <w:szCs w:val="22"/>
              </w:rPr>
              <w:tab/>
            </w:r>
            <w:r w:rsidRPr="003E2630">
              <w:rPr>
                <w:sz w:val="20"/>
              </w:rPr>
              <w:tab/>
            </w:r>
            <w:r w:rsidRPr="003E2630">
              <w:rPr>
                <w:b/>
                <w:bCs/>
              </w:rPr>
              <w:t xml:space="preserve">otorga </w:t>
            </w:r>
            <w:r w:rsidRPr="003E2630">
              <w:t>autoridad a la Comisión de Estudio 20 a fin de examinar este texto para aprobación (en cuyo caso seleccionará una de las dos opciones ⃝):</w:t>
            </w:r>
          </w:p>
          <w:p w14:paraId="70220902" w14:textId="77777777" w:rsidR="00323789" w:rsidRPr="003E2630" w:rsidRDefault="00323789" w:rsidP="00323789">
            <w:pPr>
              <w:pStyle w:val="TableText"/>
            </w:pPr>
            <w:r w:rsidRPr="003E2630">
              <w:rPr>
                <w:sz w:val="20"/>
              </w:rPr>
              <w:tab/>
            </w:r>
            <w:r w:rsidRPr="003E2630">
              <w:rPr>
                <w:sz w:val="20"/>
              </w:rPr>
              <w:tab/>
              <w:t>⃝</w:t>
            </w:r>
            <w:r w:rsidRPr="003E2630">
              <w:rPr>
                <w:sz w:val="20"/>
              </w:rPr>
              <w:tab/>
            </w:r>
            <w:r w:rsidRPr="003E2630">
              <w:t>Sin comentarios o cambios sugeridos</w:t>
            </w:r>
          </w:p>
          <w:p w14:paraId="64C087D0" w14:textId="77777777" w:rsidR="008E217E" w:rsidRPr="003E2630" w:rsidRDefault="00323789" w:rsidP="00323789">
            <w:pPr>
              <w:pStyle w:val="TableText"/>
              <w:ind w:left="851" w:hanging="851"/>
              <w:rPr>
                <w:szCs w:val="22"/>
              </w:rPr>
            </w:pPr>
            <w:r w:rsidRPr="003E2630">
              <w:rPr>
                <w:sz w:val="20"/>
              </w:rPr>
              <w:tab/>
            </w:r>
            <w:r w:rsidRPr="003E2630">
              <w:rPr>
                <w:sz w:val="20"/>
              </w:rPr>
              <w:tab/>
              <w:t>⃝</w:t>
            </w:r>
            <w:r w:rsidRPr="003E2630">
              <w:rPr>
                <w:sz w:val="20"/>
              </w:rPr>
              <w:tab/>
            </w:r>
            <w:r w:rsidRPr="003E2630">
              <w:t>Se adjuntan los comentarios o cambios sugeridos</w:t>
            </w:r>
          </w:p>
        </w:tc>
      </w:tr>
      <w:tr w:rsidR="008E217E" w:rsidRPr="003E2630" w14:paraId="6230A143" w14:textId="77777777" w:rsidTr="00323789">
        <w:trPr>
          <w:trHeight w:val="747"/>
          <w:jc w:val="center"/>
        </w:trPr>
        <w:tc>
          <w:tcPr>
            <w:tcW w:w="2067" w:type="dxa"/>
            <w:vMerge/>
            <w:shd w:val="clear" w:color="auto" w:fill="auto"/>
            <w:vAlign w:val="center"/>
          </w:tcPr>
          <w:p w14:paraId="7C33FF80" w14:textId="77777777" w:rsidR="008E217E" w:rsidRPr="003E2630" w:rsidRDefault="008E217E" w:rsidP="001B0C2C">
            <w:pPr>
              <w:spacing w:before="40" w:after="40"/>
              <w:jc w:val="center"/>
              <w:rPr>
                <w:b/>
                <w:bCs/>
                <w:szCs w:val="24"/>
              </w:rPr>
            </w:pPr>
          </w:p>
        </w:tc>
        <w:tc>
          <w:tcPr>
            <w:tcW w:w="7652" w:type="dxa"/>
            <w:shd w:val="clear" w:color="auto" w:fill="auto"/>
            <w:vAlign w:val="center"/>
          </w:tcPr>
          <w:p w14:paraId="71DDB9DF" w14:textId="77777777" w:rsidR="008E217E" w:rsidRPr="003E2630" w:rsidRDefault="00323789" w:rsidP="001B0C2C">
            <w:pPr>
              <w:pStyle w:val="TableText"/>
              <w:ind w:left="567" w:hanging="567"/>
              <w:rPr>
                <w:szCs w:val="22"/>
              </w:rPr>
            </w:pPr>
            <w:r w:rsidRPr="003E2630">
              <w:rPr>
                <w:szCs w:val="22"/>
              </w:rPr>
              <w:fldChar w:fldCharType="begin">
                <w:ffData>
                  <w:name w:val="Check1"/>
                  <w:enabled/>
                  <w:calcOnExit w:val="0"/>
                  <w:checkBox>
                    <w:sizeAuto/>
                    <w:default w:val="0"/>
                  </w:checkBox>
                </w:ffData>
              </w:fldChar>
            </w:r>
            <w:r w:rsidRPr="003E2630">
              <w:rPr>
                <w:szCs w:val="22"/>
              </w:rPr>
              <w:instrText xml:space="preserve"> FORMCHECKBOX </w:instrText>
            </w:r>
            <w:r w:rsidR="00FD74B3">
              <w:rPr>
                <w:szCs w:val="22"/>
              </w:rPr>
            </w:r>
            <w:r w:rsidR="00FD74B3">
              <w:rPr>
                <w:szCs w:val="22"/>
              </w:rPr>
              <w:fldChar w:fldCharType="separate"/>
            </w:r>
            <w:r w:rsidRPr="003E2630">
              <w:rPr>
                <w:szCs w:val="22"/>
              </w:rPr>
              <w:fldChar w:fldCharType="end"/>
            </w:r>
            <w:r w:rsidRPr="003E2630">
              <w:rPr>
                <w:szCs w:val="22"/>
              </w:rPr>
              <w:tab/>
            </w:r>
            <w:r w:rsidRPr="003E2630">
              <w:rPr>
                <w:szCs w:val="22"/>
              </w:rPr>
              <w:tab/>
            </w:r>
            <w:r w:rsidRPr="003E2630">
              <w:rPr>
                <w:b/>
                <w:bCs/>
              </w:rPr>
              <w:t xml:space="preserve">no otorga autoridad </w:t>
            </w:r>
            <w:r w:rsidRPr="003E2630">
              <w:t>a la Comisión de Estudio 20 a fin de examinar este texto para aprobación (se adjuntan los motivos para esta opinión y las posibles modificaciones que permitirían que prosiguieran los trabajos)</w:t>
            </w:r>
          </w:p>
        </w:tc>
      </w:tr>
    </w:tbl>
    <w:p w14:paraId="7EA76DEA" w14:textId="77777777" w:rsidR="008E217E" w:rsidRPr="003E2630" w:rsidRDefault="00323789" w:rsidP="008E217E">
      <w:pPr>
        <w:spacing w:before="240"/>
      </w:pPr>
      <w:r w:rsidRPr="003E2630">
        <w:lastRenderedPageBreak/>
        <w:t>Atentamente,</w:t>
      </w:r>
    </w:p>
    <w:p w14:paraId="78309D65" w14:textId="77777777" w:rsidR="008E217E" w:rsidRPr="003E2630" w:rsidRDefault="008E217E" w:rsidP="00323789">
      <w:pPr>
        <w:spacing w:before="1200"/>
      </w:pPr>
      <w:r w:rsidRPr="003E2630">
        <w:rPr>
          <w:szCs w:val="24"/>
          <w:highlight w:val="green"/>
        </w:rPr>
        <w:t>[</w:t>
      </w:r>
      <w:r w:rsidR="00323789" w:rsidRPr="003E2630">
        <w:rPr>
          <w:szCs w:val="24"/>
          <w:highlight w:val="green"/>
        </w:rPr>
        <w:t>Nombre</w:t>
      </w:r>
      <w:r w:rsidRPr="003E2630">
        <w:rPr>
          <w:szCs w:val="24"/>
          <w:highlight w:val="green"/>
        </w:rPr>
        <w:t>]</w:t>
      </w:r>
      <w:r w:rsidRPr="003E2630">
        <w:rPr>
          <w:szCs w:val="24"/>
          <w:highlight w:val="green"/>
        </w:rPr>
        <w:br/>
        <w:t>[</w:t>
      </w:r>
      <w:r w:rsidR="00323789" w:rsidRPr="003E2630">
        <w:rPr>
          <w:szCs w:val="24"/>
          <w:highlight w:val="green"/>
        </w:rPr>
        <w:t>Cargo oficial/Título</w:t>
      </w:r>
      <w:r w:rsidRPr="003E2630">
        <w:rPr>
          <w:szCs w:val="24"/>
          <w:highlight w:val="green"/>
        </w:rPr>
        <w:t>]</w:t>
      </w:r>
      <w:r w:rsidRPr="003E2630">
        <w:rPr>
          <w:szCs w:val="24"/>
        </w:rPr>
        <w:br/>
      </w:r>
      <w:r w:rsidR="00323789" w:rsidRPr="003E2630">
        <w:t xml:space="preserve">Administración de </w:t>
      </w:r>
      <w:r w:rsidR="00323789" w:rsidRPr="003E2630">
        <w:rPr>
          <w:highlight w:val="green"/>
        </w:rPr>
        <w:t>[Estado Miembro]</w:t>
      </w:r>
    </w:p>
    <w:p w14:paraId="7C132167" w14:textId="77777777" w:rsidR="008E217E" w:rsidRPr="003E2630" w:rsidRDefault="008E217E" w:rsidP="008E217E"/>
    <w:p w14:paraId="04F5540C" w14:textId="77777777" w:rsidR="008E217E" w:rsidRPr="003E2630" w:rsidRDefault="008E217E" w:rsidP="008E217E">
      <w:pPr>
        <w:spacing w:before="0"/>
        <w:jc w:val="center"/>
      </w:pPr>
      <w:r w:rsidRPr="003E2630">
        <w:t>______________</w:t>
      </w:r>
    </w:p>
    <w:sectPr w:rsidR="008E217E" w:rsidRPr="003E2630"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58D4" w14:textId="77777777" w:rsidR="00207620" w:rsidRDefault="00207620">
      <w:r>
        <w:separator/>
      </w:r>
    </w:p>
  </w:endnote>
  <w:endnote w:type="continuationSeparator" w:id="0">
    <w:p w14:paraId="0246B02E" w14:textId="77777777" w:rsidR="00207620" w:rsidRDefault="0020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BDD46" w14:textId="77777777" w:rsidR="0014464D" w:rsidRPr="003B7682" w:rsidRDefault="0014464D" w:rsidP="00FC416A">
    <w:pPr>
      <w:pStyle w:val="FirstFooter"/>
      <w:ind w:left="-397" w:right="-397"/>
      <w:jc w:val="center"/>
      <w:rPr>
        <w:color w:val="0070C0"/>
        <w:szCs w:val="18"/>
        <w:lang w:val="es-ES"/>
      </w:rPr>
    </w:pPr>
    <w:r w:rsidRPr="003B7682">
      <w:rPr>
        <w:color w:val="0070C0"/>
        <w:szCs w:val="18"/>
        <w:lang w:val="es-ES"/>
      </w:rPr>
      <w:t xml:space="preserve">Unión Internacional de Telecomunicaciones • Place des </w:t>
    </w:r>
    <w:proofErr w:type="spellStart"/>
    <w:r w:rsidRPr="003B7682">
      <w:rPr>
        <w:color w:val="0070C0"/>
        <w:szCs w:val="18"/>
        <w:lang w:val="es-ES"/>
      </w:rPr>
      <w:t>Nations</w:t>
    </w:r>
    <w:proofErr w:type="spellEnd"/>
    <w:r w:rsidRPr="003B7682">
      <w:rPr>
        <w:color w:val="0070C0"/>
        <w:szCs w:val="18"/>
        <w:lang w:val="es-ES"/>
      </w:rPr>
      <w:t>, CH</w:t>
    </w:r>
    <w:r w:rsidRPr="003B7682">
      <w:rPr>
        <w:color w:val="0070C0"/>
        <w:szCs w:val="18"/>
        <w:lang w:val="es-ES"/>
      </w:rPr>
      <w:noBreakHyphen/>
      <w:t xml:space="preserve">1211 Ginebra 20, Suiza </w:t>
    </w:r>
    <w:r w:rsidRPr="003B7682">
      <w:rPr>
        <w:color w:val="0070C0"/>
        <w:szCs w:val="18"/>
        <w:lang w:val="es-ES"/>
      </w:rPr>
      <w:br/>
      <w:t xml:space="preserve">Tel: +41 22 730 5111 • Fax: +41 22 733 7256 • Correo-e: </w:t>
    </w:r>
    <w:hyperlink r:id="rId1" w:history="1">
      <w:r w:rsidRPr="003B7682">
        <w:rPr>
          <w:rStyle w:val="Hyperlink"/>
          <w:color w:val="0070C0"/>
          <w:lang w:val="es-ES"/>
        </w:rPr>
        <w:t>itumail@itu.int</w:t>
      </w:r>
    </w:hyperlink>
    <w:r w:rsidRPr="003B7682">
      <w:rPr>
        <w:color w:val="0070C0"/>
        <w:szCs w:val="18"/>
        <w:lang w:val="es-ES"/>
      </w:rPr>
      <w:t xml:space="preserve"> • </w:t>
    </w:r>
    <w:hyperlink r:id="rId2" w:history="1">
      <w:r w:rsidRPr="003B7682">
        <w:rPr>
          <w:rStyle w:val="Hyperlink"/>
          <w:color w:val="0070C0"/>
          <w:lang w:val="es-ES"/>
        </w:rPr>
        <w:t>www.itu.int</w:t>
      </w:r>
    </w:hyperlink>
    <w:r w:rsidRPr="003B7682">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3A16" w14:textId="77777777" w:rsidR="00207620" w:rsidRDefault="00207620">
      <w:r>
        <w:t>____________________</w:t>
      </w:r>
    </w:p>
  </w:footnote>
  <w:footnote w:type="continuationSeparator" w:id="0">
    <w:p w14:paraId="27036643" w14:textId="77777777" w:rsidR="00207620" w:rsidRDefault="0020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8C47"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C332A2">
      <w:rPr>
        <w:rStyle w:val="PageNumber"/>
        <w:sz w:val="18"/>
        <w:szCs w:val="18"/>
      </w:rPr>
      <w:br/>
    </w:r>
    <w:r w:rsidR="00C332A2" w:rsidRPr="00C332A2">
      <w:rPr>
        <w:rFonts w:ascii="Calibri" w:hAnsi="Calibri"/>
        <w:noProof/>
        <w:sz w:val="18"/>
        <w:szCs w:val="16"/>
        <w:lang w:val="fr-FR"/>
      </w:rPr>
      <w:t>Circula</w:t>
    </w:r>
    <w:r w:rsidR="00C332A2">
      <w:rPr>
        <w:rFonts w:ascii="Calibri" w:hAnsi="Calibri"/>
        <w:noProof/>
        <w:sz w:val="18"/>
        <w:szCs w:val="16"/>
        <w:lang w:val="fr-FR"/>
      </w:rPr>
      <w:t>r</w:t>
    </w:r>
    <w:r w:rsidR="00C332A2" w:rsidRPr="00C332A2">
      <w:rPr>
        <w:rFonts w:ascii="Calibri" w:hAnsi="Calibri"/>
        <w:noProof/>
        <w:sz w:val="18"/>
        <w:szCs w:val="16"/>
        <w:lang w:val="fr-FR"/>
      </w:rPr>
      <w:t xml:space="preserve"> TSB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7620"/>
    <w:rsid w:val="00002529"/>
    <w:rsid w:val="00056D22"/>
    <w:rsid w:val="00083330"/>
    <w:rsid w:val="00085662"/>
    <w:rsid w:val="000C382F"/>
    <w:rsid w:val="000D4082"/>
    <w:rsid w:val="000F5444"/>
    <w:rsid w:val="001173CC"/>
    <w:rsid w:val="0014464D"/>
    <w:rsid w:val="001A54CC"/>
    <w:rsid w:val="00207620"/>
    <w:rsid w:val="00257FB4"/>
    <w:rsid w:val="002E496E"/>
    <w:rsid w:val="00303D62"/>
    <w:rsid w:val="00323789"/>
    <w:rsid w:val="00325C9D"/>
    <w:rsid w:val="00335367"/>
    <w:rsid w:val="00370C2D"/>
    <w:rsid w:val="003B7682"/>
    <w:rsid w:val="003D1E8D"/>
    <w:rsid w:val="003D673B"/>
    <w:rsid w:val="003E2630"/>
    <w:rsid w:val="003F0C77"/>
    <w:rsid w:val="003F2855"/>
    <w:rsid w:val="00401C20"/>
    <w:rsid w:val="00407010"/>
    <w:rsid w:val="004370CC"/>
    <w:rsid w:val="004A7957"/>
    <w:rsid w:val="004C4144"/>
    <w:rsid w:val="0055719E"/>
    <w:rsid w:val="0062669D"/>
    <w:rsid w:val="006969B4"/>
    <w:rsid w:val="006A3F05"/>
    <w:rsid w:val="006E4F7B"/>
    <w:rsid w:val="00706F9D"/>
    <w:rsid w:val="00781E2A"/>
    <w:rsid w:val="007933A2"/>
    <w:rsid w:val="007B6316"/>
    <w:rsid w:val="00814503"/>
    <w:rsid w:val="008258C2"/>
    <w:rsid w:val="008505BD"/>
    <w:rsid w:val="00850C78"/>
    <w:rsid w:val="00876165"/>
    <w:rsid w:val="00884D12"/>
    <w:rsid w:val="008C17AD"/>
    <w:rsid w:val="008D02CD"/>
    <w:rsid w:val="008E217E"/>
    <w:rsid w:val="008E7178"/>
    <w:rsid w:val="0091370C"/>
    <w:rsid w:val="0095172A"/>
    <w:rsid w:val="009A0BA0"/>
    <w:rsid w:val="00A54E47"/>
    <w:rsid w:val="00AB6E3A"/>
    <w:rsid w:val="00AE7093"/>
    <w:rsid w:val="00B422BC"/>
    <w:rsid w:val="00B43F77"/>
    <w:rsid w:val="00B55A3E"/>
    <w:rsid w:val="00B72D49"/>
    <w:rsid w:val="00B87E9E"/>
    <w:rsid w:val="00B95F0A"/>
    <w:rsid w:val="00B96180"/>
    <w:rsid w:val="00BD6D0F"/>
    <w:rsid w:val="00C116FE"/>
    <w:rsid w:val="00C17AC0"/>
    <w:rsid w:val="00C332A2"/>
    <w:rsid w:val="00C34772"/>
    <w:rsid w:val="00C5465A"/>
    <w:rsid w:val="00D54642"/>
    <w:rsid w:val="00DD77C9"/>
    <w:rsid w:val="00DF3538"/>
    <w:rsid w:val="00E6450F"/>
    <w:rsid w:val="00E839B0"/>
    <w:rsid w:val="00E92C09"/>
    <w:rsid w:val="00E9551E"/>
    <w:rsid w:val="00F14380"/>
    <w:rsid w:val="00F6461F"/>
    <w:rsid w:val="00FC416A"/>
    <w:rsid w:val="00FD2B2D"/>
    <w:rsid w:val="00FD74B3"/>
    <w:rsid w:val="00FF0B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4F72EF"/>
  <w15:docId w15:val="{FF122EB9-43D2-4C60-9BDA-0A0B4780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706F9D"/>
    <w:rPr>
      <w:color w:val="605E5C"/>
      <w:shd w:val="clear" w:color="auto" w:fill="E1DFDD"/>
    </w:rPr>
  </w:style>
  <w:style w:type="paragraph" w:customStyle="1" w:styleId="Reasons">
    <w:name w:val="Reasons"/>
    <w:basedOn w:val="Normal"/>
    <w:qFormat/>
    <w:rsid w:val="00706F9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8E217E"/>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20-R-0012/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20-R-0011/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17-SG20-R-0013/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AF8-F70D-4C88-B1E9-74AF5DB7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47</TotalTime>
  <Pages>6</Pages>
  <Words>1588</Words>
  <Characters>8468</Characters>
  <Application>Microsoft Office Word</Application>
  <DocSecurity>0</DocSecurity>
  <Lines>211</Lines>
  <Paragraphs>109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9947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Maguire, Mairéad</cp:lastModifiedBy>
  <cp:revision>20</cp:revision>
  <cp:lastPrinted>2011-04-15T08:24:00Z</cp:lastPrinted>
  <dcterms:created xsi:type="dcterms:W3CDTF">2020-09-04T13:24:00Z</dcterms:created>
  <dcterms:modified xsi:type="dcterms:W3CDTF">2020-09-11T13:43:00Z</dcterms:modified>
</cp:coreProperties>
</file>