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XSpec="center" w:tblpY="664"/>
        <w:tblW w:w="9961" w:type="dxa"/>
        <w:tblLayout w:type="fixed"/>
        <w:tblLook w:val="0000" w:firstRow="0" w:lastRow="0" w:firstColumn="0" w:lastColumn="0" w:noHBand="0" w:noVBand="0"/>
      </w:tblPr>
      <w:tblGrid>
        <w:gridCol w:w="90"/>
        <w:gridCol w:w="90"/>
        <w:gridCol w:w="1134"/>
        <w:gridCol w:w="142"/>
        <w:gridCol w:w="3402"/>
        <w:gridCol w:w="3119"/>
        <w:gridCol w:w="850"/>
        <w:gridCol w:w="1134"/>
      </w:tblGrid>
      <w:tr w:rsidR="00FA46A0" w14:paraId="17DDD473" w14:textId="77777777" w:rsidTr="00777BDB">
        <w:trPr>
          <w:gridBefore w:val="2"/>
          <w:wBefore w:w="180" w:type="dxa"/>
          <w:trHeight w:val="80"/>
        </w:trPr>
        <w:tc>
          <w:tcPr>
            <w:tcW w:w="1276" w:type="dxa"/>
            <w:gridSpan w:val="2"/>
            <w:shd w:val="clear" w:color="auto" w:fill="auto"/>
            <w:tcMar>
              <w:left w:w="0" w:type="dxa"/>
              <w:right w:w="0" w:type="dxa"/>
            </w:tcMar>
            <w:vAlign w:val="center"/>
          </w:tcPr>
          <w:p w14:paraId="37E946B7" w14:textId="77777777" w:rsidR="00FA46A0" w:rsidRDefault="009747C5">
            <w:pPr>
              <w:pStyle w:val="Tabletext"/>
              <w:jc w:val="center"/>
            </w:pPr>
            <w:r>
              <w:rPr>
                <w:noProof/>
                <w:lang w:eastAsia="en-GB"/>
              </w:rPr>
              <w:drawing>
                <wp:inline distT="0" distB="0" distL="0" distR="0" wp14:anchorId="782E31DE" wp14:editId="1F3C0963">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0B4AB586" w14:textId="77777777" w:rsidR="00FA46A0" w:rsidRDefault="00B61012">
            <w:pPr>
              <w:spacing w:before="0"/>
              <w:rPr>
                <w:rFonts w:cs="Times New Roman Bold"/>
                <w:b/>
                <w:bCs/>
                <w:smallCaps/>
                <w:sz w:val="26"/>
                <w:szCs w:val="26"/>
              </w:rPr>
            </w:pPr>
            <w:r>
              <w:rPr>
                <w:rFonts w:cs="Times New Roman Bold"/>
                <w:b/>
                <w:bCs/>
                <w:smallCaps/>
                <w:sz w:val="36"/>
                <w:szCs w:val="36"/>
              </w:rPr>
              <w:t>International telecommunication union</w:t>
            </w:r>
          </w:p>
          <w:p w14:paraId="4C227D64" w14:textId="77777777" w:rsidR="00FA46A0" w:rsidRDefault="00B61012">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gridSpan w:val="2"/>
            <w:shd w:val="clear" w:color="auto" w:fill="auto"/>
            <w:vAlign w:val="center"/>
          </w:tcPr>
          <w:p w14:paraId="62314981" w14:textId="77777777" w:rsidR="00FA46A0" w:rsidRDefault="00FA46A0">
            <w:pPr>
              <w:spacing w:before="0"/>
              <w:jc w:val="right"/>
              <w:rPr>
                <w:rFonts w:ascii="Verdana" w:hAnsi="Verdana"/>
                <w:color w:val="FFFFFF"/>
                <w:sz w:val="26"/>
                <w:szCs w:val="26"/>
              </w:rPr>
            </w:pPr>
          </w:p>
        </w:tc>
      </w:tr>
      <w:tr w:rsidR="00FA46A0" w14:paraId="308746BA" w14:textId="77777777" w:rsidTr="003A2D53">
        <w:trPr>
          <w:gridBefore w:val="2"/>
          <w:wBefore w:w="180" w:type="dxa"/>
          <w:cantSplit/>
          <w:trHeight w:val="807"/>
        </w:trPr>
        <w:tc>
          <w:tcPr>
            <w:tcW w:w="4678" w:type="dxa"/>
            <w:gridSpan w:val="3"/>
            <w:vAlign w:val="center"/>
          </w:tcPr>
          <w:p w14:paraId="342BF98C" w14:textId="77777777" w:rsidR="00FA46A0" w:rsidRDefault="00FA46A0">
            <w:pPr>
              <w:pStyle w:val="Tabletext"/>
              <w:jc w:val="right"/>
            </w:pPr>
          </w:p>
        </w:tc>
        <w:tc>
          <w:tcPr>
            <w:tcW w:w="5103" w:type="dxa"/>
            <w:gridSpan w:val="3"/>
            <w:vAlign w:val="center"/>
          </w:tcPr>
          <w:p w14:paraId="16114B6D" w14:textId="456B3C11" w:rsidR="00FA46A0" w:rsidRDefault="00B61012" w:rsidP="00734AAB">
            <w:pPr>
              <w:pStyle w:val="Tabletext"/>
              <w:spacing w:before="240" w:after="240"/>
              <w:ind w:left="-115"/>
            </w:pPr>
            <w:r>
              <w:t xml:space="preserve">Geneva, </w:t>
            </w:r>
            <w:r w:rsidR="005254FE">
              <w:t>30</w:t>
            </w:r>
            <w:r w:rsidR="00D96B84">
              <w:t xml:space="preserve"> </w:t>
            </w:r>
            <w:r w:rsidR="00FC46B7">
              <w:t>October</w:t>
            </w:r>
            <w:r w:rsidR="004449A1">
              <w:t xml:space="preserve"> </w:t>
            </w:r>
            <w:r w:rsidR="00564751" w:rsidRPr="00564751">
              <w:t>20</w:t>
            </w:r>
            <w:r w:rsidR="003A457D">
              <w:t>20</w:t>
            </w:r>
          </w:p>
        </w:tc>
      </w:tr>
      <w:tr w:rsidR="00FA46A0" w14:paraId="3D01F803" w14:textId="77777777" w:rsidTr="00777BDB">
        <w:trPr>
          <w:cantSplit/>
          <w:trHeight w:val="746"/>
        </w:trPr>
        <w:tc>
          <w:tcPr>
            <w:tcW w:w="1314" w:type="dxa"/>
            <w:gridSpan w:val="3"/>
          </w:tcPr>
          <w:p w14:paraId="50B114E7" w14:textId="77777777" w:rsidR="00FA46A0" w:rsidRPr="00B74D2C" w:rsidRDefault="00B61012" w:rsidP="00BB5590">
            <w:pPr>
              <w:pStyle w:val="Tabletext"/>
              <w:ind w:left="32"/>
              <w:rPr>
                <w:sz w:val="22"/>
                <w:szCs w:val="18"/>
              </w:rPr>
            </w:pPr>
            <w:r w:rsidRPr="00B74D2C">
              <w:rPr>
                <w:b/>
                <w:sz w:val="22"/>
                <w:szCs w:val="18"/>
              </w:rPr>
              <w:t>Ref:</w:t>
            </w:r>
          </w:p>
        </w:tc>
        <w:tc>
          <w:tcPr>
            <w:tcW w:w="3544" w:type="dxa"/>
            <w:gridSpan w:val="2"/>
          </w:tcPr>
          <w:p w14:paraId="347BB8C3" w14:textId="41E80934" w:rsidR="00FA46A0" w:rsidRPr="00B74D2C" w:rsidRDefault="00B61012" w:rsidP="00A13DFF">
            <w:pPr>
              <w:pStyle w:val="Tabletext"/>
              <w:rPr>
                <w:b/>
                <w:bCs/>
                <w:sz w:val="22"/>
                <w:szCs w:val="18"/>
              </w:rPr>
            </w:pPr>
            <w:r w:rsidRPr="00B74D2C">
              <w:rPr>
                <w:b/>
                <w:bCs/>
                <w:sz w:val="22"/>
                <w:szCs w:val="18"/>
              </w:rPr>
              <w:t>TSB Circular</w:t>
            </w:r>
            <w:r w:rsidR="006B75D2" w:rsidRPr="00B74D2C">
              <w:rPr>
                <w:b/>
                <w:bCs/>
                <w:sz w:val="22"/>
                <w:szCs w:val="18"/>
              </w:rPr>
              <w:t xml:space="preserve"> </w:t>
            </w:r>
            <w:r w:rsidR="0081453F">
              <w:rPr>
                <w:b/>
                <w:bCs/>
                <w:sz w:val="22"/>
                <w:szCs w:val="18"/>
              </w:rPr>
              <w:t>2</w:t>
            </w:r>
            <w:r w:rsidR="00C10C4B">
              <w:rPr>
                <w:b/>
                <w:bCs/>
                <w:sz w:val="22"/>
                <w:szCs w:val="18"/>
              </w:rPr>
              <w:t>78</w:t>
            </w:r>
          </w:p>
        </w:tc>
        <w:tc>
          <w:tcPr>
            <w:tcW w:w="5103" w:type="dxa"/>
            <w:gridSpan w:val="3"/>
            <w:vMerge w:val="restart"/>
          </w:tcPr>
          <w:p w14:paraId="096BD853" w14:textId="77777777" w:rsidR="00FF5729" w:rsidRPr="00FF5729" w:rsidRDefault="00B61012" w:rsidP="00FF5729">
            <w:pPr>
              <w:tabs>
                <w:tab w:val="clear" w:pos="794"/>
                <w:tab w:val="clear" w:pos="1191"/>
                <w:tab w:val="clear" w:pos="1588"/>
                <w:tab w:val="clear" w:pos="1985"/>
                <w:tab w:val="left" w:pos="241"/>
              </w:tabs>
              <w:spacing w:before="0"/>
              <w:ind w:left="283" w:hanging="391"/>
              <w:rPr>
                <w:szCs w:val="24"/>
              </w:rPr>
            </w:pPr>
            <w:r>
              <w:rPr>
                <w:b/>
              </w:rPr>
              <w:t>To:</w:t>
            </w:r>
          </w:p>
          <w:p w14:paraId="0956A692" w14:textId="22E8393A" w:rsidR="00FF5729" w:rsidRPr="00FF5729" w:rsidRDefault="00FF5729" w:rsidP="009747C5">
            <w:pPr>
              <w:tabs>
                <w:tab w:val="clear" w:pos="794"/>
                <w:tab w:val="clear" w:pos="1191"/>
                <w:tab w:val="clear" w:pos="1588"/>
                <w:tab w:val="clear" w:pos="1985"/>
              </w:tabs>
              <w:spacing w:before="40" w:after="40"/>
              <w:ind w:left="283" w:hanging="391"/>
              <w:rPr>
                <w:szCs w:val="24"/>
              </w:rPr>
            </w:pPr>
            <w:r w:rsidRPr="00FF5729">
              <w:rPr>
                <w:szCs w:val="24"/>
              </w:rPr>
              <w:t>-</w:t>
            </w:r>
            <w:r w:rsidRPr="00FF5729">
              <w:rPr>
                <w:szCs w:val="24"/>
              </w:rPr>
              <w:tab/>
              <w:t>Administrations of Member States of</w:t>
            </w:r>
            <w:r w:rsidR="00A97013">
              <w:rPr>
                <w:szCs w:val="24"/>
              </w:rPr>
              <w:br/>
            </w:r>
            <w:r w:rsidRPr="00FF5729">
              <w:rPr>
                <w:szCs w:val="24"/>
              </w:rPr>
              <w:t>the Union</w:t>
            </w:r>
            <w:r w:rsidR="00A72C30">
              <w:rPr>
                <w:szCs w:val="24"/>
              </w:rPr>
              <w:t>;</w:t>
            </w:r>
          </w:p>
          <w:p w14:paraId="5C40EE47" w14:textId="41E82E9A" w:rsidR="00FF5729" w:rsidRPr="00FF5729" w:rsidRDefault="00FF5729" w:rsidP="009747C5">
            <w:pPr>
              <w:tabs>
                <w:tab w:val="clear" w:pos="794"/>
                <w:tab w:val="clear" w:pos="1191"/>
                <w:tab w:val="clear" w:pos="1588"/>
                <w:tab w:val="clear" w:pos="1985"/>
              </w:tabs>
              <w:spacing w:before="40" w:after="40"/>
              <w:ind w:left="283" w:hanging="391"/>
              <w:rPr>
                <w:szCs w:val="24"/>
                <w:lang w:val="fr-CH"/>
              </w:rPr>
            </w:pPr>
            <w:r w:rsidRPr="00FF5729">
              <w:rPr>
                <w:szCs w:val="24"/>
                <w:lang w:val="fr-CH"/>
              </w:rPr>
              <w:t>-</w:t>
            </w:r>
            <w:r w:rsidRPr="00FF5729">
              <w:rPr>
                <w:szCs w:val="24"/>
                <w:lang w:val="fr-CH"/>
              </w:rPr>
              <w:tab/>
              <w:t xml:space="preserve">ITU-T </w:t>
            </w:r>
            <w:proofErr w:type="spellStart"/>
            <w:r w:rsidRPr="00FF5729">
              <w:rPr>
                <w:szCs w:val="24"/>
                <w:lang w:val="fr-CH"/>
              </w:rPr>
              <w:t>Sector</w:t>
            </w:r>
            <w:proofErr w:type="spellEnd"/>
            <w:r w:rsidRPr="00FF5729">
              <w:rPr>
                <w:szCs w:val="24"/>
                <w:lang w:val="fr-CH"/>
              </w:rPr>
              <w:t xml:space="preserve"> </w:t>
            </w:r>
            <w:proofErr w:type="gramStart"/>
            <w:r w:rsidRPr="00FF5729">
              <w:rPr>
                <w:szCs w:val="24"/>
                <w:lang w:val="fr-CH"/>
              </w:rPr>
              <w:t>Members</w:t>
            </w:r>
            <w:r w:rsidR="00A72C30">
              <w:rPr>
                <w:szCs w:val="24"/>
                <w:lang w:val="fr-CH"/>
              </w:rPr>
              <w:t>;</w:t>
            </w:r>
            <w:proofErr w:type="gramEnd"/>
          </w:p>
          <w:p w14:paraId="4201FF52" w14:textId="03509D32" w:rsidR="00FF5729" w:rsidRPr="00FF5729" w:rsidRDefault="00FF5729" w:rsidP="009747C5">
            <w:pPr>
              <w:tabs>
                <w:tab w:val="clear" w:pos="794"/>
                <w:tab w:val="clear" w:pos="1191"/>
                <w:tab w:val="clear" w:pos="1588"/>
                <w:tab w:val="clear" w:pos="1985"/>
              </w:tabs>
              <w:spacing w:before="40" w:after="40"/>
              <w:ind w:left="283" w:hanging="391"/>
              <w:rPr>
                <w:szCs w:val="24"/>
                <w:lang w:val="fr-CH"/>
              </w:rPr>
            </w:pPr>
            <w:r w:rsidRPr="00FF5729">
              <w:rPr>
                <w:szCs w:val="24"/>
                <w:lang w:val="fr-CH"/>
              </w:rPr>
              <w:t>-</w:t>
            </w:r>
            <w:r w:rsidRPr="00FF5729">
              <w:rPr>
                <w:szCs w:val="24"/>
                <w:lang w:val="fr-CH"/>
              </w:rPr>
              <w:tab/>
              <w:t xml:space="preserve">ITU-T </w:t>
            </w:r>
            <w:proofErr w:type="gramStart"/>
            <w:r w:rsidRPr="00FF5729">
              <w:rPr>
                <w:szCs w:val="24"/>
                <w:lang w:val="fr-CH"/>
              </w:rPr>
              <w:t>Associates</w:t>
            </w:r>
            <w:r w:rsidR="00A72C30">
              <w:rPr>
                <w:szCs w:val="24"/>
                <w:lang w:val="fr-CH"/>
              </w:rPr>
              <w:t>;</w:t>
            </w:r>
            <w:proofErr w:type="gramEnd"/>
            <w:r w:rsidR="00A672CE">
              <w:rPr>
                <w:szCs w:val="24"/>
                <w:lang w:val="fr-CH"/>
              </w:rPr>
              <w:t xml:space="preserve"> </w:t>
            </w:r>
          </w:p>
          <w:p w14:paraId="1BE71F93" w14:textId="77777777" w:rsidR="00FA46A0" w:rsidRDefault="00FF5729" w:rsidP="009747C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Cs w:val="24"/>
              </w:rPr>
            </w:pPr>
            <w:r w:rsidRPr="00FF5729">
              <w:rPr>
                <w:szCs w:val="24"/>
              </w:rPr>
              <w:t>-</w:t>
            </w:r>
            <w:r w:rsidRPr="00FF5729">
              <w:rPr>
                <w:szCs w:val="24"/>
              </w:rPr>
              <w:tab/>
              <w:t>ITU Academia</w:t>
            </w:r>
          </w:p>
          <w:p w14:paraId="0CB31CAD" w14:textId="77777777" w:rsidR="00777BDB" w:rsidRPr="00963900" w:rsidRDefault="00777BDB" w:rsidP="00777BDB">
            <w:pPr>
              <w:pStyle w:val="Tabletext"/>
              <w:ind w:left="283" w:hanging="391"/>
            </w:pPr>
            <w:r w:rsidRPr="00963900">
              <w:rPr>
                <w:b/>
              </w:rPr>
              <w:t>Copy to:</w:t>
            </w:r>
          </w:p>
          <w:p w14:paraId="4E5FDD42" w14:textId="30D32451" w:rsidR="00777BDB" w:rsidRPr="00963900" w:rsidRDefault="00777BDB" w:rsidP="00777BDB">
            <w:pPr>
              <w:pStyle w:val="Tabletext"/>
              <w:tabs>
                <w:tab w:val="clear" w:pos="284"/>
              </w:tabs>
              <w:ind w:left="283" w:hanging="391"/>
            </w:pPr>
            <w:r w:rsidRPr="00963900">
              <w:t>-</w:t>
            </w:r>
            <w:r w:rsidRPr="00963900">
              <w:tab/>
              <w:t>The Chairm</w:t>
            </w:r>
            <w:r>
              <w:t>e</w:t>
            </w:r>
            <w:r w:rsidRPr="00963900">
              <w:t>n and Vice-Chairmen of</w:t>
            </w:r>
            <w:r w:rsidR="00A97013">
              <w:br/>
            </w:r>
            <w:r w:rsidRPr="00963900">
              <w:t>Study Groups;</w:t>
            </w:r>
          </w:p>
          <w:p w14:paraId="4EB80099" w14:textId="77777777" w:rsidR="00777BDB" w:rsidRPr="00963900" w:rsidRDefault="00777BDB" w:rsidP="00777BDB">
            <w:pPr>
              <w:pStyle w:val="Tabletext"/>
              <w:tabs>
                <w:tab w:val="clear" w:pos="284"/>
              </w:tabs>
              <w:ind w:left="283" w:hanging="391"/>
            </w:pPr>
            <w:r w:rsidRPr="00963900">
              <w:t>-</w:t>
            </w:r>
            <w:r w:rsidRPr="00963900">
              <w:tab/>
              <w:t>The Director of the Telecommunication Development Bureau;</w:t>
            </w:r>
          </w:p>
          <w:p w14:paraId="351F0107" w14:textId="43E5DF94" w:rsidR="00777BDB" w:rsidRDefault="00777BDB" w:rsidP="00777B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pPr>
            <w:r w:rsidRPr="00963900">
              <w:t>-</w:t>
            </w:r>
            <w:r w:rsidRPr="00963900">
              <w:tab/>
              <w:t>The Director of the Radiocommunication Bureau</w:t>
            </w:r>
            <w:r w:rsidR="00792C3D">
              <w:t>;</w:t>
            </w:r>
          </w:p>
          <w:p w14:paraId="64BEFFD0" w14:textId="21809F9C" w:rsidR="00792C3D" w:rsidRDefault="00792C3D" w:rsidP="00777B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pPr>
            <w:r>
              <w:t>-</w:t>
            </w:r>
            <w:r w:rsidR="003A2D53">
              <w:tab/>
            </w:r>
            <w:r>
              <w:t>The Directors of ITU Regional Offices</w:t>
            </w:r>
          </w:p>
          <w:p w14:paraId="61ACCB59" w14:textId="438DE1DF" w:rsidR="00792C3D" w:rsidRPr="00FF5729" w:rsidRDefault="00792C3D" w:rsidP="00777B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Cs w:val="24"/>
              </w:rPr>
            </w:pPr>
          </w:p>
        </w:tc>
      </w:tr>
      <w:tr w:rsidR="00DB073F" w14:paraId="5FC68B29" w14:textId="77777777" w:rsidTr="00777BDB">
        <w:trPr>
          <w:cantSplit/>
          <w:trHeight w:val="221"/>
        </w:trPr>
        <w:tc>
          <w:tcPr>
            <w:tcW w:w="1314" w:type="dxa"/>
            <w:gridSpan w:val="3"/>
          </w:tcPr>
          <w:p w14:paraId="0F946D66" w14:textId="1A48E66E" w:rsidR="00DB073F" w:rsidRPr="00B74D2C" w:rsidRDefault="00DB073F" w:rsidP="00BB5590">
            <w:pPr>
              <w:pStyle w:val="Tabletext"/>
              <w:ind w:left="32"/>
              <w:rPr>
                <w:b/>
                <w:sz w:val="22"/>
                <w:szCs w:val="18"/>
              </w:rPr>
            </w:pPr>
            <w:r w:rsidRPr="00B74D2C">
              <w:rPr>
                <w:b/>
                <w:sz w:val="22"/>
                <w:szCs w:val="18"/>
              </w:rPr>
              <w:t>Contact:</w:t>
            </w:r>
          </w:p>
        </w:tc>
        <w:tc>
          <w:tcPr>
            <w:tcW w:w="3544" w:type="dxa"/>
            <w:gridSpan w:val="2"/>
          </w:tcPr>
          <w:p w14:paraId="4C35A185" w14:textId="757495AE" w:rsidR="00DB073F" w:rsidRPr="00B74D2C" w:rsidRDefault="006B75D2" w:rsidP="00564751">
            <w:pPr>
              <w:pStyle w:val="Tabletext"/>
              <w:rPr>
                <w:sz w:val="22"/>
                <w:szCs w:val="18"/>
              </w:rPr>
            </w:pPr>
            <w:r w:rsidRPr="00B74D2C">
              <w:rPr>
                <w:sz w:val="22"/>
                <w:szCs w:val="18"/>
              </w:rPr>
              <w:t>Vijay Mauree</w:t>
            </w:r>
          </w:p>
        </w:tc>
        <w:tc>
          <w:tcPr>
            <w:tcW w:w="5103" w:type="dxa"/>
            <w:gridSpan w:val="3"/>
            <w:vMerge/>
          </w:tcPr>
          <w:p w14:paraId="40823F63" w14:textId="77777777" w:rsidR="00DB073F" w:rsidRDefault="00DB073F" w:rsidP="00FF5729">
            <w:pPr>
              <w:pStyle w:val="Tabletext"/>
              <w:ind w:left="142" w:hanging="391"/>
            </w:pPr>
          </w:p>
        </w:tc>
      </w:tr>
      <w:tr w:rsidR="00FA46A0" w14:paraId="232D3B3E" w14:textId="77777777" w:rsidTr="00777BDB">
        <w:trPr>
          <w:cantSplit/>
          <w:trHeight w:val="221"/>
        </w:trPr>
        <w:tc>
          <w:tcPr>
            <w:tcW w:w="1314" w:type="dxa"/>
            <w:gridSpan w:val="3"/>
          </w:tcPr>
          <w:p w14:paraId="5ED587B3" w14:textId="77777777" w:rsidR="00FA46A0" w:rsidRPr="00B74D2C" w:rsidRDefault="00B61012" w:rsidP="00BB5590">
            <w:pPr>
              <w:pStyle w:val="Tabletext"/>
              <w:ind w:left="32"/>
              <w:rPr>
                <w:sz w:val="22"/>
                <w:szCs w:val="18"/>
              </w:rPr>
            </w:pPr>
            <w:r w:rsidRPr="00B74D2C">
              <w:rPr>
                <w:b/>
                <w:sz w:val="22"/>
                <w:szCs w:val="18"/>
              </w:rPr>
              <w:t>Tel:</w:t>
            </w:r>
          </w:p>
        </w:tc>
        <w:tc>
          <w:tcPr>
            <w:tcW w:w="3544" w:type="dxa"/>
            <w:gridSpan w:val="2"/>
          </w:tcPr>
          <w:p w14:paraId="40C3B5C5" w14:textId="7D364723" w:rsidR="00FA46A0" w:rsidRPr="00B74D2C" w:rsidRDefault="00C95BF6" w:rsidP="00564751">
            <w:pPr>
              <w:pStyle w:val="Tabletext"/>
              <w:rPr>
                <w:b/>
                <w:sz w:val="22"/>
                <w:szCs w:val="18"/>
              </w:rPr>
            </w:pPr>
            <w:r w:rsidRPr="00B74D2C">
              <w:rPr>
                <w:sz w:val="22"/>
                <w:szCs w:val="18"/>
              </w:rPr>
              <w:t xml:space="preserve">+41 22 730 </w:t>
            </w:r>
            <w:r w:rsidR="006B75D2" w:rsidRPr="00B74D2C">
              <w:rPr>
                <w:sz w:val="22"/>
                <w:szCs w:val="18"/>
              </w:rPr>
              <w:t>5591</w:t>
            </w:r>
          </w:p>
        </w:tc>
        <w:tc>
          <w:tcPr>
            <w:tcW w:w="5103" w:type="dxa"/>
            <w:gridSpan w:val="3"/>
            <w:vMerge/>
          </w:tcPr>
          <w:p w14:paraId="2F2114F1" w14:textId="77777777" w:rsidR="00FA46A0" w:rsidRDefault="00FA46A0" w:rsidP="00FF5729">
            <w:pPr>
              <w:pStyle w:val="Tabletext"/>
              <w:ind w:left="142" w:hanging="391"/>
            </w:pPr>
          </w:p>
        </w:tc>
      </w:tr>
      <w:tr w:rsidR="00FA46A0" w14:paraId="7C655899" w14:textId="77777777" w:rsidTr="00777BDB">
        <w:trPr>
          <w:cantSplit/>
          <w:trHeight w:val="2868"/>
        </w:trPr>
        <w:tc>
          <w:tcPr>
            <w:tcW w:w="1314" w:type="dxa"/>
            <w:gridSpan w:val="3"/>
          </w:tcPr>
          <w:p w14:paraId="5AEED92B" w14:textId="77777777" w:rsidR="00FA46A0" w:rsidRPr="00B74D2C" w:rsidRDefault="00B61012" w:rsidP="00BB5590">
            <w:pPr>
              <w:pStyle w:val="Tabletext"/>
              <w:ind w:left="32"/>
              <w:rPr>
                <w:b/>
                <w:sz w:val="22"/>
                <w:szCs w:val="18"/>
              </w:rPr>
            </w:pPr>
            <w:r w:rsidRPr="00B74D2C">
              <w:rPr>
                <w:b/>
                <w:sz w:val="22"/>
                <w:szCs w:val="18"/>
              </w:rPr>
              <w:t>Fax:</w:t>
            </w:r>
          </w:p>
          <w:p w14:paraId="19467D43" w14:textId="180E1A52" w:rsidR="00777BDB" w:rsidRPr="00B74D2C" w:rsidRDefault="00777BDB" w:rsidP="00BB5590">
            <w:pPr>
              <w:pStyle w:val="Tabletext"/>
              <w:ind w:left="32"/>
              <w:rPr>
                <w:sz w:val="22"/>
                <w:szCs w:val="18"/>
              </w:rPr>
            </w:pPr>
            <w:r w:rsidRPr="00B74D2C">
              <w:rPr>
                <w:b/>
                <w:sz w:val="22"/>
                <w:szCs w:val="18"/>
              </w:rPr>
              <w:t>E-mail:</w:t>
            </w:r>
          </w:p>
        </w:tc>
        <w:tc>
          <w:tcPr>
            <w:tcW w:w="3544" w:type="dxa"/>
            <w:gridSpan w:val="2"/>
          </w:tcPr>
          <w:p w14:paraId="2D2A2CA6" w14:textId="77777777" w:rsidR="00FA46A0" w:rsidRPr="00B74D2C" w:rsidRDefault="00B61012">
            <w:pPr>
              <w:pStyle w:val="Tabletext"/>
              <w:rPr>
                <w:sz w:val="22"/>
                <w:szCs w:val="18"/>
              </w:rPr>
            </w:pPr>
            <w:r w:rsidRPr="00B74D2C">
              <w:rPr>
                <w:sz w:val="22"/>
                <w:szCs w:val="18"/>
              </w:rPr>
              <w:t>+41 22 730 5853</w:t>
            </w:r>
          </w:p>
          <w:p w14:paraId="45FFA5CF" w14:textId="77777777" w:rsidR="00777BDB" w:rsidRPr="00B74D2C" w:rsidRDefault="00F90F68" w:rsidP="00777BDB">
            <w:pPr>
              <w:pStyle w:val="Tabletext"/>
              <w:rPr>
                <w:sz w:val="22"/>
                <w:szCs w:val="18"/>
              </w:rPr>
            </w:pPr>
            <w:hyperlink r:id="rId12" w:history="1">
              <w:r w:rsidR="00777BDB" w:rsidRPr="00B74D2C">
                <w:rPr>
                  <w:rStyle w:val="Hyperlink"/>
                  <w:sz w:val="22"/>
                  <w:szCs w:val="18"/>
                </w:rPr>
                <w:t>tsbevents@itu.int</w:t>
              </w:r>
            </w:hyperlink>
          </w:p>
          <w:p w14:paraId="40402E9C" w14:textId="12A05D5B" w:rsidR="00777BDB" w:rsidRPr="00B74D2C" w:rsidRDefault="00777BDB">
            <w:pPr>
              <w:pStyle w:val="Tabletext"/>
              <w:rPr>
                <w:b/>
                <w:sz w:val="22"/>
                <w:szCs w:val="18"/>
              </w:rPr>
            </w:pPr>
          </w:p>
        </w:tc>
        <w:tc>
          <w:tcPr>
            <w:tcW w:w="5103" w:type="dxa"/>
            <w:gridSpan w:val="3"/>
            <w:vMerge/>
          </w:tcPr>
          <w:p w14:paraId="7948E425" w14:textId="77777777" w:rsidR="00FA46A0" w:rsidRDefault="00FA46A0" w:rsidP="00FF5729">
            <w:pPr>
              <w:pStyle w:val="Tabletext"/>
              <w:ind w:left="142" w:hanging="391"/>
            </w:pPr>
          </w:p>
        </w:tc>
      </w:tr>
      <w:tr w:rsidR="0046092C" w:rsidRPr="002053CA" w14:paraId="30572836" w14:textId="77777777" w:rsidTr="00777BDB">
        <w:trPr>
          <w:gridBefore w:val="1"/>
          <w:gridAfter w:val="1"/>
          <w:wBefore w:w="90" w:type="dxa"/>
          <w:wAfter w:w="1134" w:type="dxa"/>
          <w:cantSplit/>
          <w:trHeight w:val="870"/>
        </w:trPr>
        <w:tc>
          <w:tcPr>
            <w:tcW w:w="8737" w:type="dxa"/>
            <w:gridSpan w:val="6"/>
          </w:tcPr>
          <w:p w14:paraId="69F67E46" w14:textId="12984652" w:rsidR="008867DE" w:rsidRPr="00BB5590" w:rsidRDefault="0046092C" w:rsidP="00BB5590">
            <w:pPr>
              <w:ind w:left="-58"/>
              <w:rPr>
                <w:b/>
                <w:color w:val="000000" w:themeColor="text1"/>
              </w:rPr>
            </w:pPr>
            <w:r>
              <w:rPr>
                <w:b/>
              </w:rPr>
              <w:t>Subject:</w:t>
            </w:r>
            <w:r>
              <w:rPr>
                <w:b/>
              </w:rPr>
              <w:tab/>
            </w:r>
            <w:r w:rsidRPr="009C7EA3">
              <w:rPr>
                <w:b/>
                <w:bCs/>
              </w:rPr>
              <w:t xml:space="preserve">Insights on Digital Financial Services </w:t>
            </w:r>
            <w:r>
              <w:rPr>
                <w:b/>
                <w:bCs/>
              </w:rPr>
              <w:t>during</w:t>
            </w:r>
            <w:r w:rsidRPr="009C7EA3">
              <w:rPr>
                <w:b/>
                <w:bCs/>
              </w:rPr>
              <w:t xml:space="preserve"> COVID-19 </w:t>
            </w:r>
            <w:r>
              <w:rPr>
                <w:b/>
                <w:bCs/>
              </w:rPr>
              <w:t xml:space="preserve">Webinar Series </w:t>
            </w:r>
            <w:r>
              <w:rPr>
                <w:rFonts w:cs="Calibri"/>
                <w:b/>
                <w:bCs/>
                <w:szCs w:val="24"/>
                <w:lang w:val="en-US"/>
              </w:rPr>
              <w:br/>
            </w:r>
            <w:r w:rsidRPr="00BB5590">
              <w:rPr>
                <w:b/>
              </w:rPr>
              <w:tab/>
              <w:t>(</w:t>
            </w:r>
            <w:r w:rsidR="00C10C4B" w:rsidRPr="00BB5590">
              <w:rPr>
                <w:b/>
              </w:rPr>
              <w:t xml:space="preserve">Episode </w:t>
            </w:r>
            <w:r w:rsidR="00C10C4B">
              <w:rPr>
                <w:b/>
                <w:color w:val="000000" w:themeColor="text1"/>
              </w:rPr>
              <w:t xml:space="preserve">12: </w:t>
            </w:r>
            <w:r w:rsidRPr="00263EC2">
              <w:rPr>
                <w:b/>
                <w:color w:val="000000" w:themeColor="text1"/>
              </w:rPr>
              <w:t>Fully Virtual Meeting</w:t>
            </w:r>
            <w:r w:rsidR="00215315">
              <w:rPr>
                <w:b/>
                <w:color w:val="000000" w:themeColor="text1"/>
              </w:rPr>
              <w:t>,</w:t>
            </w:r>
            <w:r w:rsidR="000854BD">
              <w:rPr>
                <w:bCs/>
                <w:color w:val="000000" w:themeColor="text1"/>
              </w:rPr>
              <w:t xml:space="preserve"> </w:t>
            </w:r>
            <w:r w:rsidR="00FC46B7">
              <w:rPr>
                <w:b/>
                <w:bCs/>
              </w:rPr>
              <w:t xml:space="preserve">10 November </w:t>
            </w:r>
            <w:r w:rsidR="00FC46B7" w:rsidRPr="00FC46B7">
              <w:rPr>
                <w:b/>
                <w:bCs/>
              </w:rPr>
              <w:t>2020</w:t>
            </w:r>
            <w:r w:rsidRPr="00263EC2">
              <w:rPr>
                <w:b/>
                <w:color w:val="000000" w:themeColor="text1"/>
              </w:rPr>
              <w:t>)</w:t>
            </w:r>
          </w:p>
        </w:tc>
      </w:tr>
    </w:tbl>
    <w:p w14:paraId="2E79DD16" w14:textId="0C09F92A" w:rsidR="00FA46A0" w:rsidRDefault="00B61012">
      <w:r>
        <w:t>Dear Sir/Madam,</w:t>
      </w:r>
    </w:p>
    <w:p w14:paraId="53FE87F5" w14:textId="69198EF7" w:rsidR="00BB5590" w:rsidRDefault="00DB073F" w:rsidP="00FC46B7">
      <w:bookmarkStart w:id="0" w:name="suitetext"/>
      <w:bookmarkStart w:id="1" w:name="text"/>
      <w:bookmarkEnd w:id="0"/>
      <w:bookmarkEnd w:id="1"/>
      <w:r w:rsidRPr="00DB073F">
        <w:rPr>
          <w:bCs/>
        </w:rPr>
        <w:t>1</w:t>
      </w:r>
      <w:r w:rsidRPr="00DB073F">
        <w:tab/>
      </w:r>
      <w:bookmarkStart w:id="2" w:name="_Hlk38880448"/>
      <w:r w:rsidRPr="00DB073F">
        <w:t>The International Telecommunication (ITU)</w:t>
      </w:r>
      <w:r w:rsidR="00FC46B7">
        <w:t xml:space="preserve"> is organizing the </w:t>
      </w:r>
      <w:r w:rsidR="00AC792D">
        <w:t xml:space="preserve">twelfth episode </w:t>
      </w:r>
      <w:r w:rsidR="00FC46B7">
        <w:t xml:space="preserve">of </w:t>
      </w:r>
      <w:r w:rsidR="00215315">
        <w:t>the</w:t>
      </w:r>
      <w:r w:rsidR="00FC46B7">
        <w:t xml:space="preserve"> webinar</w:t>
      </w:r>
      <w:r w:rsidR="00614B80">
        <w:t xml:space="preserve"> serie</w:t>
      </w:r>
      <w:r w:rsidR="00FC46B7">
        <w:t>s</w:t>
      </w:r>
      <w:r w:rsidR="00EE5435">
        <w:t xml:space="preserve"> on</w:t>
      </w:r>
      <w:r w:rsidR="00911C5C">
        <w:t xml:space="preserve"> </w:t>
      </w:r>
      <w:hyperlink r:id="rId13" w:history="1">
        <w:r w:rsidR="00911C5C" w:rsidRPr="00A97013">
          <w:rPr>
            <w:rStyle w:val="Hyperlink"/>
          </w:rPr>
          <w:t>Insights on Digital Financial Services</w:t>
        </w:r>
        <w:r w:rsidR="00E95209" w:rsidRPr="00A97013">
          <w:rPr>
            <w:rStyle w:val="Hyperlink"/>
          </w:rPr>
          <w:t xml:space="preserve"> (DFS)</w:t>
        </w:r>
        <w:r w:rsidR="00911C5C" w:rsidRPr="00A97013">
          <w:rPr>
            <w:rStyle w:val="Hyperlink"/>
          </w:rPr>
          <w:t xml:space="preserve"> during COVID-19</w:t>
        </w:r>
      </w:hyperlink>
      <w:r w:rsidR="00FC46B7">
        <w:t xml:space="preserve"> on </w:t>
      </w:r>
      <w:r w:rsidR="00FC46B7" w:rsidRPr="00FC46B7">
        <w:rPr>
          <w:b/>
          <w:bCs/>
        </w:rPr>
        <w:t>10</w:t>
      </w:r>
      <w:r w:rsidR="00BB5590">
        <w:rPr>
          <w:b/>
          <w:bCs/>
        </w:rPr>
        <w:t> </w:t>
      </w:r>
      <w:r w:rsidR="00FC46B7" w:rsidRPr="00BB5590">
        <w:rPr>
          <w:b/>
          <w:bCs/>
        </w:rPr>
        <w:t>November</w:t>
      </w:r>
      <w:r w:rsidR="00BB5590" w:rsidRPr="00BB5590">
        <w:rPr>
          <w:b/>
          <w:bCs/>
        </w:rPr>
        <w:t> </w:t>
      </w:r>
      <w:r w:rsidR="00FC46B7" w:rsidRPr="00BB5590">
        <w:rPr>
          <w:b/>
          <w:bCs/>
        </w:rPr>
        <w:t>2020</w:t>
      </w:r>
      <w:r w:rsidR="00FC46B7" w:rsidRPr="00FC46B7">
        <w:rPr>
          <w:b/>
          <w:bCs/>
        </w:rPr>
        <w:t xml:space="preserve"> from 15h00</w:t>
      </w:r>
      <w:r w:rsidR="00FC46B7">
        <w:rPr>
          <w:b/>
          <w:bCs/>
        </w:rPr>
        <w:t xml:space="preserve"> </w:t>
      </w:r>
      <w:r w:rsidR="00FC46B7" w:rsidRPr="00FC46B7">
        <w:rPr>
          <w:b/>
          <w:bCs/>
        </w:rPr>
        <w:t>-</w:t>
      </w:r>
      <w:r w:rsidR="00FC46B7">
        <w:rPr>
          <w:b/>
          <w:bCs/>
        </w:rPr>
        <w:t xml:space="preserve"> </w:t>
      </w:r>
      <w:r w:rsidR="00FC46B7" w:rsidRPr="00FC46B7">
        <w:rPr>
          <w:b/>
          <w:bCs/>
        </w:rPr>
        <w:t xml:space="preserve">16h30 CEST. </w:t>
      </w:r>
      <w:r w:rsidR="00132E69" w:rsidRPr="00777BDB">
        <w:rPr>
          <w:shd w:val="clear" w:color="auto" w:fill="FFFFFF"/>
        </w:rPr>
        <w:t>T</w:t>
      </w:r>
      <w:r w:rsidR="00C10C4B">
        <w:rPr>
          <w:shd w:val="clear" w:color="auto" w:fill="FFFFFF"/>
        </w:rPr>
        <w:t>h</w:t>
      </w:r>
      <w:r w:rsidR="006340C2">
        <w:rPr>
          <w:shd w:val="clear" w:color="auto" w:fill="FFFFFF"/>
        </w:rPr>
        <w:t xml:space="preserve">is episode will discuss the topic </w:t>
      </w:r>
      <w:r w:rsidR="00FC46B7" w:rsidRPr="00FC46B7">
        <w:rPr>
          <w:b/>
          <w:bCs/>
        </w:rPr>
        <w:t>mitigating infrastructure vulnerabilities for digital finance</w:t>
      </w:r>
      <w:r w:rsidR="00FC46B7">
        <w:t xml:space="preserve">. </w:t>
      </w:r>
    </w:p>
    <w:p w14:paraId="7165E7D7" w14:textId="385A2454" w:rsidR="00B6249D" w:rsidRPr="00FC46B7" w:rsidRDefault="00FC46B7" w:rsidP="00FC46B7">
      <w:r>
        <w:t>2</w:t>
      </w:r>
      <w:r w:rsidR="00BB5590">
        <w:tab/>
      </w:r>
      <w:r w:rsidRPr="00FC46B7">
        <w:t xml:space="preserve">The session will focus on the vulnerabilities in the underlying telecom infrastructure such as SS7 as well as SIM cards and their potential threat on digital financial services and best practices for mitigating them. The world of digital finance is hugely dependent on telecommunications infrastructure and services. Due to the dominance of feature phones among users in developing economies, which comprise the majority of digital finance end-users, the channels that the </w:t>
      </w:r>
      <w:r w:rsidRPr="00BB5590">
        <w:t>end</w:t>
      </w:r>
      <w:r w:rsidR="00BB5590">
        <w:noBreakHyphen/>
      </w:r>
      <w:r w:rsidRPr="00BB5590">
        <w:t>user</w:t>
      </w:r>
      <w:r w:rsidRPr="00FC46B7">
        <w:t xml:space="preserve"> communicates with the digital financial services provider are mostly Unstructured Supplementary Service Data (USSD), Short Messaging Service (SMS) and Sim Tool Kit (STK). USSD and SMS as means of communication have long been known as susceptible to attack and have many published vulnerabilities. The SIM card of the phone is another security vulnerability point that needs special attention as well. For instance, SIMs which are vulnerable to </w:t>
      </w:r>
      <w:proofErr w:type="spellStart"/>
      <w:r w:rsidRPr="00FC46B7">
        <w:t>Simjacker</w:t>
      </w:r>
      <w:proofErr w:type="spellEnd"/>
      <w:r w:rsidRPr="00FC46B7">
        <w:t xml:space="preserve"> could be vulnerable to an attack that contains a series of SIM Toolkit (STK) instructions specifically designed to be passed on to the SIM Card within the device. Exploiting these vulnerabilities enables attackers to commit fraud and steal funds from unsuspecting victims, who in in most cases are unaware their account is being compromised or hacked.</w:t>
      </w:r>
    </w:p>
    <w:bookmarkEnd w:id="2"/>
    <w:p w14:paraId="3629B0D6" w14:textId="248AE2DA" w:rsidR="00215315" w:rsidRDefault="00215315" w:rsidP="00BB5590">
      <w:r>
        <w:rPr>
          <w:bCs/>
        </w:rPr>
        <w:t>4</w:t>
      </w:r>
      <w:r w:rsidR="004B4C11" w:rsidRPr="00777BDB">
        <w:tab/>
        <w:t xml:space="preserve">Participation in the webinar </w:t>
      </w:r>
      <w:r w:rsidR="00C10C4B">
        <w:t xml:space="preserve">is </w:t>
      </w:r>
      <w:r w:rsidR="004B4C11" w:rsidRPr="00777BDB">
        <w:t>open to ITU Member States, Sector Members, Associates and Academic Institutions and to any individual from a country that is a member of ITU who wishes to contribute to the work. This includes individuals who are also members of international, regional and national organizations</w:t>
      </w:r>
      <w:r w:rsidR="004B4C11" w:rsidRPr="00C56D9B">
        <w:t xml:space="preserve">. </w:t>
      </w:r>
    </w:p>
    <w:p w14:paraId="5108E31C" w14:textId="3848C5A8" w:rsidR="008849B8" w:rsidRDefault="00215315" w:rsidP="00C10C4B">
      <w:r>
        <w:lastRenderedPageBreak/>
        <w:t>5</w:t>
      </w:r>
      <w:r w:rsidR="00DB073F" w:rsidRPr="00C56D9B">
        <w:tab/>
      </w:r>
      <w:r w:rsidR="003A457D">
        <w:t>All relevant i</w:t>
      </w:r>
      <w:r w:rsidR="00DB073F" w:rsidRPr="00C56D9B">
        <w:t xml:space="preserve">nformation </w:t>
      </w:r>
      <w:r w:rsidR="002053CA">
        <w:t>pertaining</w:t>
      </w:r>
      <w:r w:rsidR="00DB073F" w:rsidRPr="00C56D9B">
        <w:t xml:space="preserve"> to the </w:t>
      </w:r>
      <w:r w:rsidR="003A457D">
        <w:t>webinar</w:t>
      </w:r>
      <w:r w:rsidR="00A00764">
        <w:t xml:space="preserve"> </w:t>
      </w:r>
      <w:r w:rsidR="0006441C">
        <w:t>(speakers, registration</w:t>
      </w:r>
      <w:r w:rsidR="00A00764">
        <w:t xml:space="preserve"> link</w:t>
      </w:r>
      <w:r w:rsidR="0006441C">
        <w:t>, remote connection details)</w:t>
      </w:r>
      <w:r w:rsidR="00DB073F" w:rsidRPr="00C56D9B">
        <w:t xml:space="preserve"> will be </w:t>
      </w:r>
      <w:r w:rsidR="004B4C11">
        <w:t xml:space="preserve">made </w:t>
      </w:r>
      <w:r w:rsidR="00DB073F" w:rsidRPr="00C56D9B">
        <w:t>available</w:t>
      </w:r>
      <w:r w:rsidR="00C10C4B">
        <w:t xml:space="preserve"> here: </w:t>
      </w:r>
      <w:hyperlink r:id="rId14" w:history="1">
        <w:r w:rsidR="00C10C4B" w:rsidRPr="002B193B">
          <w:rPr>
            <w:rStyle w:val="Hyperlink"/>
          </w:rPr>
          <w:t>https://www.itu.int/en/ITU-T/webinars/20201110/Pages/default.aspx</w:t>
        </w:r>
      </w:hyperlink>
      <w:r w:rsidR="00C10C4B">
        <w:t xml:space="preserve"> . T</w:t>
      </w:r>
      <w:r w:rsidR="00C10C4B" w:rsidRPr="00C56D9B">
        <w:t>h</w:t>
      </w:r>
      <w:r w:rsidR="00C10C4B">
        <w:t>e</w:t>
      </w:r>
      <w:r w:rsidR="00C10C4B" w:rsidRPr="00C56D9B">
        <w:t xml:space="preserve"> website will be regularly updated as new or modified information become</w:t>
      </w:r>
      <w:r w:rsidR="00C10C4B">
        <w:t>s</w:t>
      </w:r>
      <w:r w:rsidR="00C10C4B" w:rsidRPr="00C56D9B">
        <w:t xml:space="preserve"> available. Participants are requested to check periodically</w:t>
      </w:r>
      <w:r w:rsidR="00C10C4B">
        <w:t xml:space="preserve"> the webpage</w:t>
      </w:r>
      <w:r w:rsidR="00C10C4B" w:rsidRPr="00C56D9B">
        <w:t xml:space="preserve"> for new updates.</w:t>
      </w:r>
      <w:r w:rsidR="00C10C4B">
        <w:t xml:space="preserve"> You may also </w:t>
      </w:r>
      <w:r w:rsidR="006340C2">
        <w:t xml:space="preserve">check out </w:t>
      </w:r>
      <w:r w:rsidR="00C10C4B">
        <w:t xml:space="preserve">the previous episodes </w:t>
      </w:r>
      <w:r w:rsidR="00DB073F" w:rsidRPr="00C56D9B">
        <w:t>on the</w:t>
      </w:r>
      <w:r w:rsidR="00D61259">
        <w:t xml:space="preserve"> </w:t>
      </w:r>
      <w:r w:rsidR="006340C2">
        <w:t xml:space="preserve">main landing page found </w:t>
      </w:r>
      <w:hyperlink r:id="rId15" w:history="1">
        <w:r w:rsidR="006340C2" w:rsidRPr="006340C2">
          <w:rPr>
            <w:rStyle w:val="Hyperlink"/>
          </w:rPr>
          <w:t>here</w:t>
        </w:r>
      </w:hyperlink>
      <w:r w:rsidR="006340C2">
        <w:t>.</w:t>
      </w:r>
    </w:p>
    <w:p w14:paraId="6CEEAD1F" w14:textId="45ECD3F2" w:rsidR="006507DB" w:rsidRDefault="00B61012" w:rsidP="006507DB">
      <w:pPr>
        <w:spacing w:before="360"/>
      </w:pPr>
      <w:r>
        <w:t>Yours faithfully,</w:t>
      </w:r>
    </w:p>
    <w:p w14:paraId="544863EC" w14:textId="298BCFFE" w:rsidR="00D62702" w:rsidRDefault="00F90F68" w:rsidP="0040033A">
      <w:pPr>
        <w:spacing w:before="960"/>
      </w:pPr>
      <w:r>
        <w:rPr>
          <w:noProof/>
        </w:rPr>
        <w:drawing>
          <wp:anchor distT="0" distB="0" distL="114300" distR="114300" simplePos="0" relativeHeight="251659264" behindDoc="1" locked="0" layoutInCell="1" allowOverlap="1" wp14:anchorId="6B41D89D" wp14:editId="00785A3E">
            <wp:simplePos x="0" y="0"/>
            <wp:positionH relativeFrom="margin">
              <wp:posOffset>0</wp:posOffset>
            </wp:positionH>
            <wp:positionV relativeFrom="paragraph">
              <wp:posOffset>162560</wp:posOffset>
            </wp:positionV>
            <wp:extent cx="744116" cy="3143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ENG.PNG"/>
                    <pic:cNvPicPr/>
                  </pic:nvPicPr>
                  <pic:blipFill>
                    <a:blip r:embed="rId16">
                      <a:extLst>
                        <a:ext uri="{28A0092B-C50C-407E-A947-70E740481C1C}">
                          <a14:useLocalDpi xmlns:a14="http://schemas.microsoft.com/office/drawing/2010/main" val="0"/>
                        </a:ext>
                      </a:extLst>
                    </a:blip>
                    <a:stretch>
                      <a:fillRect/>
                    </a:stretch>
                  </pic:blipFill>
                  <pic:spPr>
                    <a:xfrm>
                      <a:off x="0" y="0"/>
                      <a:ext cx="744116" cy="314325"/>
                    </a:xfrm>
                    <a:prstGeom prst="rect">
                      <a:avLst/>
                    </a:prstGeom>
                  </pic:spPr>
                </pic:pic>
              </a:graphicData>
            </a:graphic>
            <wp14:sizeRelH relativeFrom="margin">
              <wp14:pctWidth>0</wp14:pctWidth>
            </wp14:sizeRelH>
            <wp14:sizeRelV relativeFrom="margin">
              <wp14:pctHeight>0</wp14:pctHeight>
            </wp14:sizeRelV>
          </wp:anchor>
        </w:drawing>
      </w:r>
      <w:r w:rsidR="00263EC2">
        <w:t>Chaesub Lee</w:t>
      </w:r>
      <w:r w:rsidR="00B61012">
        <w:br/>
        <w:t>Director of the Telecommunication</w:t>
      </w:r>
      <w:r w:rsidR="00B61012">
        <w:br/>
        <w:t>Standardization Bureau</w:t>
      </w:r>
    </w:p>
    <w:sectPr w:rsidR="00D62702" w:rsidSect="009C1C76">
      <w:headerReference w:type="default" r:id="rId17"/>
      <w:footerReference w:type="first" r:id="rId18"/>
      <w:type w:val="oddPage"/>
      <w:pgSz w:w="11907" w:h="16834" w:code="9"/>
      <w:pgMar w:top="567" w:right="1134" w:bottom="567" w:left="1089" w:header="567" w:footer="51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9B2DDC" w14:textId="77777777" w:rsidR="00FA1D28" w:rsidRDefault="00FA1D28">
      <w:r>
        <w:separator/>
      </w:r>
    </w:p>
  </w:endnote>
  <w:endnote w:type="continuationSeparator" w:id="0">
    <w:p w14:paraId="6FBA0800" w14:textId="77777777" w:rsidR="00FA1D28" w:rsidRDefault="00FA1D28">
      <w:r>
        <w:continuationSeparator/>
      </w:r>
    </w:p>
  </w:endnote>
  <w:endnote w:type="continuationNotice" w:id="1">
    <w:p w14:paraId="62564C36" w14:textId="77777777" w:rsidR="00FA1D28" w:rsidRDefault="00FA1D2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632E4" w14:textId="77777777" w:rsidR="00FA46A0" w:rsidRDefault="00B61012" w:rsidP="009C1C76">
    <w:pPr>
      <w:pStyle w:val="FirstFooter"/>
      <w:spacing w:before="120"/>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A4B62" w14:textId="77777777" w:rsidR="00FA1D28" w:rsidRDefault="00FA1D28">
      <w:r>
        <w:t>____________________</w:t>
      </w:r>
    </w:p>
  </w:footnote>
  <w:footnote w:type="continuationSeparator" w:id="0">
    <w:p w14:paraId="361BE615" w14:textId="77777777" w:rsidR="00FA1D28" w:rsidRDefault="00FA1D28">
      <w:r>
        <w:continuationSeparator/>
      </w:r>
    </w:p>
  </w:footnote>
  <w:footnote w:type="continuationNotice" w:id="1">
    <w:p w14:paraId="7AE34FC7" w14:textId="77777777" w:rsidR="00FA1D28" w:rsidRDefault="00FA1D2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30215" w14:textId="3151527C" w:rsidR="00FA46A0" w:rsidRDefault="00B61012" w:rsidP="003A2D53">
    <w:pPr>
      <w:pStyle w:val="Header"/>
    </w:pPr>
    <w:r>
      <w:t xml:space="preserve">- </w:t>
    </w:r>
    <w:r w:rsidR="00FA46A0">
      <w:fldChar w:fldCharType="begin"/>
    </w:r>
    <w:r>
      <w:instrText xml:space="preserve"> PAGE   \* MERGEFORMAT </w:instrText>
    </w:r>
    <w:r w:rsidR="00FA46A0">
      <w:fldChar w:fldCharType="separate"/>
    </w:r>
    <w:r w:rsidR="00396C3B">
      <w:rPr>
        <w:noProof/>
      </w:rPr>
      <w:t>2</w:t>
    </w:r>
    <w:r w:rsidR="00FA46A0">
      <w:rPr>
        <w:noProof/>
      </w:rPr>
      <w:fldChar w:fldCharType="end"/>
    </w:r>
    <w:r>
      <w:rPr>
        <w:noProof/>
      </w:rPr>
      <w:t xml:space="preserve"> -</w:t>
    </w:r>
    <w:r w:rsidR="00503ADB">
      <w:rPr>
        <w:noProof/>
      </w:rPr>
      <w:br/>
      <w:t>TSB Circular</w:t>
    </w:r>
    <w:r w:rsidR="00B45EE3">
      <w:rPr>
        <w:noProof/>
      </w:rPr>
      <w:t xml:space="preserve"> </w:t>
    </w:r>
    <w:r w:rsidR="0081453F">
      <w:rPr>
        <w:noProof/>
      </w:rPr>
      <w:t>2</w:t>
    </w:r>
    <w:r w:rsidR="00C10C4B">
      <w:rPr>
        <w:noProof/>
      </w:rPr>
      <w:t>78</w:t>
    </w:r>
  </w:p>
  <w:p w14:paraId="15FF7102" w14:textId="77777777" w:rsidR="003A2D53" w:rsidRDefault="003A2D53" w:rsidP="003A2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E996526"/>
    <w:multiLevelType w:val="hybridMultilevel"/>
    <w:tmpl w:val="827EB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124AA2"/>
    <w:multiLevelType w:val="hybridMultilevel"/>
    <w:tmpl w:val="C48CEB8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751"/>
    <w:rsid w:val="00007640"/>
    <w:rsid w:val="00017751"/>
    <w:rsid w:val="00022E6B"/>
    <w:rsid w:val="0006441C"/>
    <w:rsid w:val="000854BD"/>
    <w:rsid w:val="000B15C8"/>
    <w:rsid w:val="000E167B"/>
    <w:rsid w:val="000E63D4"/>
    <w:rsid w:val="000F12BC"/>
    <w:rsid w:val="001018E1"/>
    <w:rsid w:val="001070C1"/>
    <w:rsid w:val="00112F37"/>
    <w:rsid w:val="00126089"/>
    <w:rsid w:val="00132E69"/>
    <w:rsid w:val="00147578"/>
    <w:rsid w:val="00166F11"/>
    <w:rsid w:val="00184FE3"/>
    <w:rsid w:val="00190890"/>
    <w:rsid w:val="00192949"/>
    <w:rsid w:val="001A34EC"/>
    <w:rsid w:val="001A7804"/>
    <w:rsid w:val="001B207C"/>
    <w:rsid w:val="001B23DC"/>
    <w:rsid w:val="001C6AA9"/>
    <w:rsid w:val="001F3D92"/>
    <w:rsid w:val="002030AC"/>
    <w:rsid w:val="002053CA"/>
    <w:rsid w:val="00205C30"/>
    <w:rsid w:val="00214D55"/>
    <w:rsid w:val="00215315"/>
    <w:rsid w:val="00241385"/>
    <w:rsid w:val="00244C45"/>
    <w:rsid w:val="00256169"/>
    <w:rsid w:val="00263EC2"/>
    <w:rsid w:val="002A598E"/>
    <w:rsid w:val="002D769D"/>
    <w:rsid w:val="002E6464"/>
    <w:rsid w:val="002F3AEA"/>
    <w:rsid w:val="00313877"/>
    <w:rsid w:val="00356B73"/>
    <w:rsid w:val="003746A5"/>
    <w:rsid w:val="00375A8A"/>
    <w:rsid w:val="00396C3B"/>
    <w:rsid w:val="003A0588"/>
    <w:rsid w:val="003A2D53"/>
    <w:rsid w:val="003A457D"/>
    <w:rsid w:val="003C19E2"/>
    <w:rsid w:val="003C6C1A"/>
    <w:rsid w:val="003D4690"/>
    <w:rsid w:val="003F264B"/>
    <w:rsid w:val="0040033A"/>
    <w:rsid w:val="00417BB6"/>
    <w:rsid w:val="00424AB7"/>
    <w:rsid w:val="00426109"/>
    <w:rsid w:val="004449A1"/>
    <w:rsid w:val="00453CEA"/>
    <w:rsid w:val="0046092C"/>
    <w:rsid w:val="00485E1E"/>
    <w:rsid w:val="00487330"/>
    <w:rsid w:val="00491CBA"/>
    <w:rsid w:val="004B4C11"/>
    <w:rsid w:val="004C61AB"/>
    <w:rsid w:val="004E3628"/>
    <w:rsid w:val="00503ADB"/>
    <w:rsid w:val="0050647F"/>
    <w:rsid w:val="00512DD4"/>
    <w:rsid w:val="005254FE"/>
    <w:rsid w:val="00564751"/>
    <w:rsid w:val="005D35EA"/>
    <w:rsid w:val="005D54A8"/>
    <w:rsid w:val="005E003C"/>
    <w:rsid w:val="005F5921"/>
    <w:rsid w:val="00614B80"/>
    <w:rsid w:val="006340C2"/>
    <w:rsid w:val="006507DB"/>
    <w:rsid w:val="00655190"/>
    <w:rsid w:val="00691DF1"/>
    <w:rsid w:val="006B410B"/>
    <w:rsid w:val="006B75D2"/>
    <w:rsid w:val="006C3E27"/>
    <w:rsid w:val="007214BC"/>
    <w:rsid w:val="00724ADE"/>
    <w:rsid w:val="00730A58"/>
    <w:rsid w:val="00733026"/>
    <w:rsid w:val="00734AAB"/>
    <w:rsid w:val="0075165B"/>
    <w:rsid w:val="00755C07"/>
    <w:rsid w:val="00773DBB"/>
    <w:rsid w:val="00777BDB"/>
    <w:rsid w:val="007845BE"/>
    <w:rsid w:val="007867C0"/>
    <w:rsid w:val="00792C3D"/>
    <w:rsid w:val="0079763E"/>
    <w:rsid w:val="007A65E8"/>
    <w:rsid w:val="007B680F"/>
    <w:rsid w:val="007E037C"/>
    <w:rsid w:val="007E6A46"/>
    <w:rsid w:val="0081453F"/>
    <w:rsid w:val="008155B1"/>
    <w:rsid w:val="00856950"/>
    <w:rsid w:val="008849B8"/>
    <w:rsid w:val="008867DE"/>
    <w:rsid w:val="00897A7A"/>
    <w:rsid w:val="008A567A"/>
    <w:rsid w:val="008C194B"/>
    <w:rsid w:val="009015EC"/>
    <w:rsid w:val="00911C5C"/>
    <w:rsid w:val="00923099"/>
    <w:rsid w:val="009320AF"/>
    <w:rsid w:val="009604C5"/>
    <w:rsid w:val="00963900"/>
    <w:rsid w:val="009747C5"/>
    <w:rsid w:val="009B2EB5"/>
    <w:rsid w:val="009C0CE4"/>
    <w:rsid w:val="009C1C76"/>
    <w:rsid w:val="00A00764"/>
    <w:rsid w:val="00A01844"/>
    <w:rsid w:val="00A13DFF"/>
    <w:rsid w:val="00A170F2"/>
    <w:rsid w:val="00A4592D"/>
    <w:rsid w:val="00A672CE"/>
    <w:rsid w:val="00A72C30"/>
    <w:rsid w:val="00A90E48"/>
    <w:rsid w:val="00A97013"/>
    <w:rsid w:val="00AB7EB7"/>
    <w:rsid w:val="00AC123E"/>
    <w:rsid w:val="00AC792D"/>
    <w:rsid w:val="00B2488F"/>
    <w:rsid w:val="00B30862"/>
    <w:rsid w:val="00B33656"/>
    <w:rsid w:val="00B45EE3"/>
    <w:rsid w:val="00B4669D"/>
    <w:rsid w:val="00B61012"/>
    <w:rsid w:val="00B6249D"/>
    <w:rsid w:val="00B74D2C"/>
    <w:rsid w:val="00BB5590"/>
    <w:rsid w:val="00C10B58"/>
    <w:rsid w:val="00C10C4B"/>
    <w:rsid w:val="00C25C25"/>
    <w:rsid w:val="00C329DC"/>
    <w:rsid w:val="00C56D9B"/>
    <w:rsid w:val="00C7274E"/>
    <w:rsid w:val="00C8240A"/>
    <w:rsid w:val="00C87523"/>
    <w:rsid w:val="00C95BF6"/>
    <w:rsid w:val="00CB1857"/>
    <w:rsid w:val="00CD2852"/>
    <w:rsid w:val="00CD7082"/>
    <w:rsid w:val="00D04FFC"/>
    <w:rsid w:val="00D23212"/>
    <w:rsid w:val="00D61259"/>
    <w:rsid w:val="00D62702"/>
    <w:rsid w:val="00D80366"/>
    <w:rsid w:val="00D8175B"/>
    <w:rsid w:val="00D96B84"/>
    <w:rsid w:val="00DB073F"/>
    <w:rsid w:val="00DE6C68"/>
    <w:rsid w:val="00DF2415"/>
    <w:rsid w:val="00E15E03"/>
    <w:rsid w:val="00E3198A"/>
    <w:rsid w:val="00E43161"/>
    <w:rsid w:val="00E55BE0"/>
    <w:rsid w:val="00E708AF"/>
    <w:rsid w:val="00E7624F"/>
    <w:rsid w:val="00E95209"/>
    <w:rsid w:val="00EA2114"/>
    <w:rsid w:val="00EC15F4"/>
    <w:rsid w:val="00EC532B"/>
    <w:rsid w:val="00EE5435"/>
    <w:rsid w:val="00EF32E7"/>
    <w:rsid w:val="00F22314"/>
    <w:rsid w:val="00F436B0"/>
    <w:rsid w:val="00F73E52"/>
    <w:rsid w:val="00F85C94"/>
    <w:rsid w:val="00F90F68"/>
    <w:rsid w:val="00FA1D28"/>
    <w:rsid w:val="00FA4331"/>
    <w:rsid w:val="00FA46A0"/>
    <w:rsid w:val="00FC1C19"/>
    <w:rsid w:val="00FC46B7"/>
    <w:rsid w:val="00FD50EA"/>
    <w:rsid w:val="00FF1231"/>
    <w:rsid w:val="00FF5729"/>
    <w:rsid w:val="00FF6A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B08459"/>
  <w15:docId w15:val="{52A9FFD3-8969-4263-BA9F-01C4B4AC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styleId="UnresolvedMention">
    <w:name w:val="Unresolved Mention"/>
    <w:basedOn w:val="DefaultParagraphFont"/>
    <w:uiPriority w:val="99"/>
    <w:semiHidden/>
    <w:unhideWhenUsed/>
    <w:rsid w:val="002053CA"/>
    <w:rPr>
      <w:color w:val="605E5C"/>
      <w:shd w:val="clear" w:color="auto" w:fill="E1DFDD"/>
    </w:rPr>
  </w:style>
  <w:style w:type="paragraph" w:styleId="ListParagraph">
    <w:name w:val="List Paragraph"/>
    <w:basedOn w:val="Normal"/>
    <w:uiPriority w:val="34"/>
    <w:qFormat/>
    <w:rsid w:val="00614B80"/>
    <w:pPr>
      <w:ind w:left="720"/>
      <w:contextualSpacing/>
    </w:pPr>
  </w:style>
  <w:style w:type="table" w:styleId="TableGrid">
    <w:name w:val="Table Grid"/>
    <w:basedOn w:val="TableNormal"/>
    <w:uiPriority w:val="39"/>
    <w:rsid w:val="00614B8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B4C1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Strong">
    <w:name w:val="Strong"/>
    <w:basedOn w:val="DefaultParagraphFont"/>
    <w:uiPriority w:val="22"/>
    <w:qFormat/>
    <w:rsid w:val="004B4C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31528">
      <w:bodyDiv w:val="1"/>
      <w:marLeft w:val="0"/>
      <w:marRight w:val="0"/>
      <w:marTop w:val="0"/>
      <w:marBottom w:val="0"/>
      <w:divBdr>
        <w:top w:val="none" w:sz="0" w:space="0" w:color="auto"/>
        <w:left w:val="none" w:sz="0" w:space="0" w:color="auto"/>
        <w:bottom w:val="none" w:sz="0" w:space="0" w:color="auto"/>
        <w:right w:val="none" w:sz="0" w:space="0" w:color="auto"/>
      </w:divBdr>
    </w:div>
    <w:div w:id="277571741">
      <w:bodyDiv w:val="1"/>
      <w:marLeft w:val="0"/>
      <w:marRight w:val="0"/>
      <w:marTop w:val="0"/>
      <w:marBottom w:val="0"/>
      <w:divBdr>
        <w:top w:val="none" w:sz="0" w:space="0" w:color="auto"/>
        <w:left w:val="none" w:sz="0" w:space="0" w:color="auto"/>
        <w:bottom w:val="none" w:sz="0" w:space="0" w:color="auto"/>
        <w:right w:val="none" w:sz="0" w:space="0" w:color="auto"/>
      </w:divBdr>
    </w:div>
    <w:div w:id="359472031">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77913997">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0334522">
      <w:bodyDiv w:val="1"/>
      <w:marLeft w:val="0"/>
      <w:marRight w:val="0"/>
      <w:marTop w:val="0"/>
      <w:marBottom w:val="0"/>
      <w:divBdr>
        <w:top w:val="none" w:sz="0" w:space="0" w:color="auto"/>
        <w:left w:val="none" w:sz="0" w:space="0" w:color="auto"/>
        <w:bottom w:val="none" w:sz="0" w:space="0" w:color="auto"/>
        <w:right w:val="none" w:sz="0" w:space="0" w:color="auto"/>
      </w:divBdr>
      <w:divsChild>
        <w:div w:id="1427000180">
          <w:marLeft w:val="0"/>
          <w:marRight w:val="0"/>
          <w:marTop w:val="0"/>
          <w:marBottom w:val="0"/>
          <w:divBdr>
            <w:top w:val="none" w:sz="0" w:space="0" w:color="auto"/>
            <w:left w:val="none" w:sz="0" w:space="0" w:color="auto"/>
            <w:bottom w:val="none" w:sz="0" w:space="0" w:color="auto"/>
            <w:right w:val="none" w:sz="0" w:space="0" w:color="auto"/>
          </w:divBdr>
          <w:divsChild>
            <w:div w:id="1049456496">
              <w:marLeft w:val="0"/>
              <w:marRight w:val="0"/>
              <w:marTop w:val="0"/>
              <w:marBottom w:val="0"/>
              <w:divBdr>
                <w:top w:val="none" w:sz="0" w:space="0" w:color="auto"/>
                <w:left w:val="none" w:sz="0" w:space="0" w:color="auto"/>
                <w:bottom w:val="none" w:sz="0" w:space="0" w:color="auto"/>
                <w:right w:val="none" w:sz="0" w:space="0" w:color="auto"/>
              </w:divBdr>
              <w:divsChild>
                <w:div w:id="448935674">
                  <w:marLeft w:val="0"/>
                  <w:marRight w:val="0"/>
                  <w:marTop w:val="0"/>
                  <w:marBottom w:val="0"/>
                  <w:divBdr>
                    <w:top w:val="none" w:sz="0" w:space="0" w:color="auto"/>
                    <w:left w:val="none" w:sz="0" w:space="0" w:color="auto"/>
                    <w:bottom w:val="none" w:sz="0" w:space="0" w:color="auto"/>
                    <w:right w:val="none" w:sz="0" w:space="0" w:color="auto"/>
                  </w:divBdr>
                  <w:divsChild>
                    <w:div w:id="303236951">
                      <w:marLeft w:val="0"/>
                      <w:marRight w:val="0"/>
                      <w:marTop w:val="0"/>
                      <w:marBottom w:val="0"/>
                      <w:divBdr>
                        <w:top w:val="none" w:sz="0" w:space="0" w:color="auto"/>
                        <w:left w:val="none" w:sz="0" w:space="0" w:color="auto"/>
                        <w:bottom w:val="none" w:sz="0" w:space="0" w:color="auto"/>
                        <w:right w:val="none" w:sz="0" w:space="0" w:color="auto"/>
                      </w:divBdr>
                      <w:divsChild>
                        <w:div w:id="693266893">
                          <w:marLeft w:val="0"/>
                          <w:marRight w:val="0"/>
                          <w:marTop w:val="0"/>
                          <w:marBottom w:val="0"/>
                          <w:divBdr>
                            <w:top w:val="none" w:sz="0" w:space="0" w:color="auto"/>
                            <w:left w:val="none" w:sz="0" w:space="0" w:color="auto"/>
                            <w:bottom w:val="none" w:sz="0" w:space="0" w:color="auto"/>
                            <w:right w:val="none" w:sz="0" w:space="0" w:color="auto"/>
                          </w:divBdr>
                          <w:divsChild>
                            <w:div w:id="1263344159">
                              <w:marLeft w:val="0"/>
                              <w:marRight w:val="0"/>
                              <w:marTop w:val="0"/>
                              <w:marBottom w:val="0"/>
                              <w:divBdr>
                                <w:top w:val="none" w:sz="0" w:space="0" w:color="auto"/>
                                <w:left w:val="none" w:sz="0" w:space="0" w:color="auto"/>
                                <w:bottom w:val="none" w:sz="0" w:space="0" w:color="auto"/>
                                <w:right w:val="none" w:sz="0" w:space="0" w:color="auto"/>
                              </w:divBdr>
                              <w:divsChild>
                                <w:div w:id="331877022">
                                  <w:marLeft w:val="0"/>
                                  <w:marRight w:val="0"/>
                                  <w:marTop w:val="0"/>
                                  <w:marBottom w:val="0"/>
                                  <w:divBdr>
                                    <w:top w:val="none" w:sz="0" w:space="0" w:color="auto"/>
                                    <w:left w:val="none" w:sz="0" w:space="0" w:color="auto"/>
                                    <w:bottom w:val="none" w:sz="0" w:space="0" w:color="auto"/>
                                    <w:right w:val="none" w:sz="0" w:space="0" w:color="auto"/>
                                  </w:divBdr>
                                  <w:divsChild>
                                    <w:div w:id="719860967">
                                      <w:marLeft w:val="0"/>
                                      <w:marRight w:val="0"/>
                                      <w:marTop w:val="0"/>
                                      <w:marBottom w:val="0"/>
                                      <w:divBdr>
                                        <w:top w:val="none" w:sz="0" w:space="0" w:color="auto"/>
                                        <w:left w:val="none" w:sz="0" w:space="0" w:color="auto"/>
                                        <w:bottom w:val="none" w:sz="0" w:space="0" w:color="auto"/>
                                        <w:right w:val="none" w:sz="0" w:space="0" w:color="auto"/>
                                      </w:divBdr>
                                      <w:divsChild>
                                        <w:div w:id="1736967973">
                                          <w:marLeft w:val="0"/>
                                          <w:marRight w:val="0"/>
                                          <w:marTop w:val="0"/>
                                          <w:marBottom w:val="0"/>
                                          <w:divBdr>
                                            <w:top w:val="none" w:sz="0" w:space="0" w:color="auto"/>
                                            <w:left w:val="none" w:sz="0" w:space="0" w:color="auto"/>
                                            <w:bottom w:val="none" w:sz="0" w:space="0" w:color="auto"/>
                                            <w:right w:val="none" w:sz="0" w:space="0" w:color="auto"/>
                                          </w:divBdr>
                                          <w:divsChild>
                                            <w:div w:id="3555426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2171761">
      <w:bodyDiv w:val="1"/>
      <w:marLeft w:val="0"/>
      <w:marRight w:val="0"/>
      <w:marTop w:val="0"/>
      <w:marBottom w:val="0"/>
      <w:divBdr>
        <w:top w:val="none" w:sz="0" w:space="0" w:color="auto"/>
        <w:left w:val="none" w:sz="0" w:space="0" w:color="auto"/>
        <w:bottom w:val="none" w:sz="0" w:space="0" w:color="auto"/>
        <w:right w:val="none" w:sz="0" w:space="0" w:color="auto"/>
      </w:divBdr>
    </w:div>
    <w:div w:id="1078593760">
      <w:bodyDiv w:val="1"/>
      <w:marLeft w:val="0"/>
      <w:marRight w:val="0"/>
      <w:marTop w:val="0"/>
      <w:marBottom w:val="0"/>
      <w:divBdr>
        <w:top w:val="none" w:sz="0" w:space="0" w:color="auto"/>
        <w:left w:val="none" w:sz="0" w:space="0" w:color="auto"/>
        <w:bottom w:val="none" w:sz="0" w:space="0" w:color="auto"/>
        <w:right w:val="none" w:sz="0" w:space="0" w:color="auto"/>
      </w:divBdr>
    </w:div>
    <w:div w:id="1120949954">
      <w:bodyDiv w:val="1"/>
      <w:marLeft w:val="0"/>
      <w:marRight w:val="0"/>
      <w:marTop w:val="0"/>
      <w:marBottom w:val="0"/>
      <w:divBdr>
        <w:top w:val="none" w:sz="0" w:space="0" w:color="auto"/>
        <w:left w:val="none" w:sz="0" w:space="0" w:color="auto"/>
        <w:bottom w:val="none" w:sz="0" w:space="0" w:color="auto"/>
        <w:right w:val="none" w:sz="0" w:space="0" w:color="auto"/>
      </w:divBdr>
    </w:div>
    <w:div w:id="1123157862">
      <w:bodyDiv w:val="1"/>
      <w:marLeft w:val="0"/>
      <w:marRight w:val="0"/>
      <w:marTop w:val="0"/>
      <w:marBottom w:val="0"/>
      <w:divBdr>
        <w:top w:val="none" w:sz="0" w:space="0" w:color="auto"/>
        <w:left w:val="none" w:sz="0" w:space="0" w:color="auto"/>
        <w:bottom w:val="none" w:sz="0" w:space="0" w:color="auto"/>
        <w:right w:val="none" w:sz="0" w:space="0" w:color="auto"/>
      </w:divBdr>
    </w:div>
    <w:div w:id="1125466325">
      <w:bodyDiv w:val="1"/>
      <w:marLeft w:val="0"/>
      <w:marRight w:val="0"/>
      <w:marTop w:val="0"/>
      <w:marBottom w:val="0"/>
      <w:divBdr>
        <w:top w:val="none" w:sz="0" w:space="0" w:color="auto"/>
        <w:left w:val="none" w:sz="0" w:space="0" w:color="auto"/>
        <w:bottom w:val="none" w:sz="0" w:space="0" w:color="auto"/>
        <w:right w:val="none" w:sz="0" w:space="0" w:color="auto"/>
      </w:divBdr>
    </w:div>
    <w:div w:id="1175533909">
      <w:bodyDiv w:val="1"/>
      <w:marLeft w:val="0"/>
      <w:marRight w:val="0"/>
      <w:marTop w:val="0"/>
      <w:marBottom w:val="0"/>
      <w:divBdr>
        <w:top w:val="none" w:sz="0" w:space="0" w:color="auto"/>
        <w:left w:val="none" w:sz="0" w:space="0" w:color="auto"/>
        <w:bottom w:val="none" w:sz="0" w:space="0" w:color="auto"/>
        <w:right w:val="none" w:sz="0" w:space="0" w:color="auto"/>
      </w:divBdr>
    </w:div>
    <w:div w:id="1220436335">
      <w:bodyDiv w:val="1"/>
      <w:marLeft w:val="0"/>
      <w:marRight w:val="0"/>
      <w:marTop w:val="0"/>
      <w:marBottom w:val="0"/>
      <w:divBdr>
        <w:top w:val="none" w:sz="0" w:space="0" w:color="auto"/>
        <w:left w:val="none" w:sz="0" w:space="0" w:color="auto"/>
        <w:bottom w:val="none" w:sz="0" w:space="0" w:color="auto"/>
        <w:right w:val="none" w:sz="0" w:space="0" w:color="auto"/>
      </w:divBdr>
    </w:div>
    <w:div w:id="1233656212">
      <w:bodyDiv w:val="1"/>
      <w:marLeft w:val="0"/>
      <w:marRight w:val="0"/>
      <w:marTop w:val="0"/>
      <w:marBottom w:val="0"/>
      <w:divBdr>
        <w:top w:val="none" w:sz="0" w:space="0" w:color="auto"/>
        <w:left w:val="none" w:sz="0" w:space="0" w:color="auto"/>
        <w:bottom w:val="none" w:sz="0" w:space="0" w:color="auto"/>
        <w:right w:val="none" w:sz="0" w:space="0" w:color="auto"/>
      </w:divBdr>
    </w:div>
    <w:div w:id="1569002170">
      <w:bodyDiv w:val="1"/>
      <w:marLeft w:val="0"/>
      <w:marRight w:val="0"/>
      <w:marTop w:val="0"/>
      <w:marBottom w:val="0"/>
      <w:divBdr>
        <w:top w:val="none" w:sz="0" w:space="0" w:color="auto"/>
        <w:left w:val="none" w:sz="0" w:space="0" w:color="auto"/>
        <w:bottom w:val="none" w:sz="0" w:space="0" w:color="auto"/>
        <w:right w:val="none" w:sz="0" w:space="0" w:color="auto"/>
      </w:divBdr>
    </w:div>
    <w:div w:id="1587884285">
      <w:bodyDiv w:val="1"/>
      <w:marLeft w:val="0"/>
      <w:marRight w:val="0"/>
      <w:marTop w:val="0"/>
      <w:marBottom w:val="0"/>
      <w:divBdr>
        <w:top w:val="none" w:sz="0" w:space="0" w:color="auto"/>
        <w:left w:val="none" w:sz="0" w:space="0" w:color="auto"/>
        <w:bottom w:val="none" w:sz="0" w:space="0" w:color="auto"/>
        <w:right w:val="none" w:sz="0" w:space="0" w:color="auto"/>
      </w:divBdr>
    </w:div>
    <w:div w:id="1618178498">
      <w:bodyDiv w:val="1"/>
      <w:marLeft w:val="0"/>
      <w:marRight w:val="0"/>
      <w:marTop w:val="0"/>
      <w:marBottom w:val="0"/>
      <w:divBdr>
        <w:top w:val="none" w:sz="0" w:space="0" w:color="auto"/>
        <w:left w:val="none" w:sz="0" w:space="0" w:color="auto"/>
        <w:bottom w:val="none" w:sz="0" w:space="0" w:color="auto"/>
        <w:right w:val="none" w:sz="0" w:space="0" w:color="auto"/>
      </w:divBdr>
    </w:div>
    <w:div w:id="1892764933">
      <w:bodyDiv w:val="1"/>
      <w:marLeft w:val="0"/>
      <w:marRight w:val="0"/>
      <w:marTop w:val="0"/>
      <w:marBottom w:val="0"/>
      <w:divBdr>
        <w:top w:val="none" w:sz="0" w:space="0" w:color="auto"/>
        <w:left w:val="none" w:sz="0" w:space="0" w:color="auto"/>
        <w:bottom w:val="none" w:sz="0" w:space="0" w:color="auto"/>
        <w:right w:val="none" w:sz="0" w:space="0" w:color="auto"/>
      </w:divBdr>
    </w:div>
    <w:div w:id="194006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T/webinars/Pages/dfs.asp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sbevents@itu.i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en/ITU-T/webinars/Pages/dfs.asp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webinars/20201110/Pages/default.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E2011685E409408A5E886FA9500CDE" ma:contentTypeVersion="13" ma:contentTypeDescription="Create a new document." ma:contentTypeScope="" ma:versionID="b5298337822dd3832529af440eb2ba80">
  <xsd:schema xmlns:xsd="http://www.w3.org/2001/XMLSchema" xmlns:xs="http://www.w3.org/2001/XMLSchema" xmlns:p="http://schemas.microsoft.com/office/2006/metadata/properties" xmlns:ns3="2ace4c6c-08d7-4276-8a58-3192ba9bb551" xmlns:ns4="e7475014-9825-4b19-8012-afbf711054e8" targetNamespace="http://schemas.microsoft.com/office/2006/metadata/properties" ma:root="true" ma:fieldsID="b6071adc2e96b253d4c2b9bff5d8e41f" ns3:_="" ns4:_="">
    <xsd:import namespace="2ace4c6c-08d7-4276-8a58-3192ba9bb551"/>
    <xsd:import namespace="e7475014-9825-4b19-8012-afbf711054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e4c6c-08d7-4276-8a58-3192ba9bb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475014-9825-4b19-8012-afbf711054e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62AB56-B103-47B6-9BFC-830A665FEEBE}">
  <ds:schemaRefs>
    <ds:schemaRef ds:uri="http://schemas.openxmlformats.org/officeDocument/2006/bibliography"/>
  </ds:schemaRefs>
</ds:datastoreItem>
</file>

<file path=customXml/itemProps2.xml><?xml version="1.0" encoding="utf-8"?>
<ds:datastoreItem xmlns:ds="http://schemas.openxmlformats.org/officeDocument/2006/customXml" ds:itemID="{A5D7E988-E566-4FE4-8D09-019B6079E8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90E950-BF17-4707-A07D-825137B09467}">
  <ds:schemaRefs>
    <ds:schemaRef ds:uri="http://schemas.microsoft.com/sharepoint/v3/contenttype/forms"/>
  </ds:schemaRefs>
</ds:datastoreItem>
</file>

<file path=customXml/itemProps4.xml><?xml version="1.0" encoding="utf-8"?>
<ds:datastoreItem xmlns:ds="http://schemas.openxmlformats.org/officeDocument/2006/customXml" ds:itemID="{958A67BE-862F-4B1F-8F56-F4E92D27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e4c6c-08d7-4276-8a58-3192ba9bb551"/>
    <ds:schemaRef ds:uri="e7475014-9825-4b19-8012-afbf71105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TSB_Circular-E.dotx</Template>
  <TotalTime>6</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3416</CharactersWithSpaces>
  <SharedDoc>false</SharedDoc>
  <HLinks>
    <vt:vector size="42" baseType="variant">
      <vt:variant>
        <vt:i4>5046293</vt:i4>
      </vt:variant>
      <vt:variant>
        <vt:i4>12</vt:i4>
      </vt:variant>
      <vt:variant>
        <vt:i4>0</vt:i4>
      </vt:variant>
      <vt:variant>
        <vt:i4>5</vt:i4>
      </vt:variant>
      <vt:variant>
        <vt:lpwstr>https://www.itu.int/net4/CRM/xreg/web/registration.aspx?Event=C-00007766</vt:lpwstr>
      </vt:variant>
      <vt:variant>
        <vt:lpwstr/>
      </vt:variant>
      <vt:variant>
        <vt:i4>5111829</vt:i4>
      </vt:variant>
      <vt:variant>
        <vt:i4>9</vt:i4>
      </vt:variant>
      <vt:variant>
        <vt:i4>0</vt:i4>
      </vt:variant>
      <vt:variant>
        <vt:i4>5</vt:i4>
      </vt:variant>
      <vt:variant>
        <vt:lpwstr>https://www.itu.int/net4/CRM/xreg/web/Registration.aspx?Event=C-00007765</vt:lpwstr>
      </vt:variant>
      <vt:variant>
        <vt:lpwstr/>
      </vt:variant>
      <vt:variant>
        <vt:i4>80</vt:i4>
      </vt:variant>
      <vt:variant>
        <vt:i4>6</vt:i4>
      </vt:variant>
      <vt:variant>
        <vt:i4>0</vt:i4>
      </vt:variant>
      <vt:variant>
        <vt:i4>5</vt:i4>
      </vt:variant>
      <vt:variant>
        <vt:lpwstr>https://www.itu.int/en/ITU-T/webinars/20200520/Pages/default.aspx</vt:lpwstr>
      </vt:variant>
      <vt:variant>
        <vt:lpwstr/>
      </vt:variant>
      <vt:variant>
        <vt:i4>262227</vt:i4>
      </vt:variant>
      <vt:variant>
        <vt:i4>3</vt:i4>
      </vt:variant>
      <vt:variant>
        <vt:i4>0</vt:i4>
      </vt:variant>
      <vt:variant>
        <vt:i4>5</vt:i4>
      </vt:variant>
      <vt:variant>
        <vt:lpwstr>https://www.itu.int/en/ITU-T/webinars/20200514/Pages/default.aspx</vt:lpwstr>
      </vt:variant>
      <vt:variant>
        <vt:lpwstr/>
      </vt:variant>
      <vt:variant>
        <vt:i4>1966137</vt:i4>
      </vt:variant>
      <vt:variant>
        <vt:i4>0</vt:i4>
      </vt:variant>
      <vt:variant>
        <vt:i4>0</vt:i4>
      </vt:variant>
      <vt:variant>
        <vt:i4>5</vt:i4>
      </vt:variant>
      <vt:variant>
        <vt:lpwstr>mailto:tsbevents@itu.int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Gifty Amoah</dc:creator>
  <cp:keywords/>
  <dc:description/>
  <cp:lastModifiedBy>Braud, Olivia</cp:lastModifiedBy>
  <cp:revision>6</cp:revision>
  <cp:lastPrinted>2020-10-30T12:59:00Z</cp:lastPrinted>
  <dcterms:created xsi:type="dcterms:W3CDTF">2020-10-26T10:34:00Z</dcterms:created>
  <dcterms:modified xsi:type="dcterms:W3CDTF">2020-10-30T12:59:00Z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0x0101006EE2011685E409408A5E886FA9500CDE</vt:lpwstr>
  </property>
</Properties>
</file>