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284"/>
        <w:gridCol w:w="3467"/>
        <w:gridCol w:w="5329"/>
      </w:tblGrid>
      <w:tr w:rsidR="007B6316" w:rsidRPr="0007250D" w14:paraId="170FA235" w14:textId="77777777" w:rsidTr="007B6316">
        <w:trPr>
          <w:cantSplit/>
          <w:trHeight w:val="340"/>
        </w:trPr>
        <w:tc>
          <w:tcPr>
            <w:tcW w:w="1410" w:type="dxa"/>
            <w:gridSpan w:val="2"/>
          </w:tcPr>
          <w:p w14:paraId="76771FE1" w14:textId="77777777" w:rsidR="007B6316" w:rsidRPr="0007250D" w:rsidRDefault="007B6316" w:rsidP="00D0531D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07250D">
              <w:rPr>
                <w:noProof/>
              </w:rPr>
              <w:drawing>
                <wp:inline distT="0" distB="0" distL="0" distR="0" wp14:anchorId="1D182E47" wp14:editId="43B42492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6" w:type="dxa"/>
            <w:gridSpan w:val="2"/>
            <w:vAlign w:val="center"/>
          </w:tcPr>
          <w:p w14:paraId="530EE429" w14:textId="77777777" w:rsidR="007B6316" w:rsidRPr="0007250D" w:rsidRDefault="007B6316" w:rsidP="00D0531D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07250D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7D53E89C" w14:textId="77777777" w:rsidR="007B6316" w:rsidRPr="0007250D" w:rsidRDefault="007B6316" w:rsidP="00D0531D">
            <w:pPr>
              <w:spacing w:before="0"/>
            </w:pPr>
            <w:r w:rsidRPr="0007250D">
              <w:rPr>
                <w:rFonts w:cs="Times New Roman Bold"/>
                <w:b/>
                <w:bCs/>
                <w:smallCaps/>
                <w:sz w:val="28"/>
                <w:szCs w:val="28"/>
              </w:rPr>
              <w:t>Oficina</w:t>
            </w:r>
            <w:r w:rsidRPr="0007250D">
              <w:rPr>
                <w:rFonts w:cs="Times New Roman Bold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07250D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Normalización de las Telecomunicaciones</w:t>
            </w:r>
          </w:p>
        </w:tc>
      </w:tr>
      <w:tr w:rsidR="007B6316" w:rsidRPr="0007250D" w14:paraId="05BD0E24" w14:textId="77777777" w:rsidTr="00FD6A1F">
        <w:trPr>
          <w:cantSplit/>
          <w:trHeight w:val="340"/>
        </w:trPr>
        <w:tc>
          <w:tcPr>
            <w:tcW w:w="1126" w:type="dxa"/>
          </w:tcPr>
          <w:p w14:paraId="4DCE96B5" w14:textId="77777777" w:rsidR="007B6316" w:rsidRPr="0007250D" w:rsidRDefault="007B6316" w:rsidP="00D0531D">
            <w:pPr>
              <w:tabs>
                <w:tab w:val="left" w:pos="4111"/>
              </w:tabs>
              <w:spacing w:after="120"/>
              <w:ind w:left="57"/>
              <w:rPr>
                <w:b/>
                <w:bCs/>
                <w:sz w:val="22"/>
              </w:rPr>
            </w:pPr>
          </w:p>
        </w:tc>
        <w:tc>
          <w:tcPr>
            <w:tcW w:w="3751" w:type="dxa"/>
            <w:gridSpan w:val="2"/>
          </w:tcPr>
          <w:p w14:paraId="0978743A" w14:textId="77777777" w:rsidR="007B6316" w:rsidRPr="0007250D" w:rsidRDefault="007B6316" w:rsidP="00D0531D">
            <w:pPr>
              <w:tabs>
                <w:tab w:val="left" w:pos="4111"/>
              </w:tabs>
              <w:spacing w:after="120"/>
              <w:ind w:left="57"/>
              <w:rPr>
                <w:b/>
              </w:rPr>
            </w:pPr>
          </w:p>
        </w:tc>
        <w:tc>
          <w:tcPr>
            <w:tcW w:w="5329" w:type="dxa"/>
          </w:tcPr>
          <w:p w14:paraId="6D0F79B5" w14:textId="4A9067A9" w:rsidR="007B6316" w:rsidRPr="0007250D" w:rsidRDefault="00840C9C" w:rsidP="00D0531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</w:pPr>
            <w:r w:rsidRPr="0007250D">
              <w:rPr>
                <w:szCs w:val="24"/>
              </w:rPr>
              <w:t xml:space="preserve">Ginebra, </w:t>
            </w:r>
            <w:r w:rsidR="00434968" w:rsidRPr="0007250D">
              <w:rPr>
                <w:szCs w:val="24"/>
              </w:rPr>
              <w:t>23</w:t>
            </w:r>
            <w:r w:rsidRPr="0007250D">
              <w:rPr>
                <w:szCs w:val="24"/>
              </w:rPr>
              <w:t xml:space="preserve"> de </w:t>
            </w:r>
            <w:r w:rsidR="00434968" w:rsidRPr="0007250D">
              <w:rPr>
                <w:szCs w:val="24"/>
              </w:rPr>
              <w:t>diciembre</w:t>
            </w:r>
            <w:r w:rsidRPr="0007250D">
              <w:rPr>
                <w:szCs w:val="24"/>
              </w:rPr>
              <w:t xml:space="preserve"> </w:t>
            </w:r>
            <w:r w:rsidR="00F526FA" w:rsidRPr="0007250D">
              <w:rPr>
                <w:szCs w:val="24"/>
              </w:rPr>
              <w:t xml:space="preserve">de </w:t>
            </w:r>
            <w:r w:rsidRPr="0007250D">
              <w:rPr>
                <w:szCs w:val="24"/>
              </w:rPr>
              <w:t>2020</w:t>
            </w:r>
          </w:p>
        </w:tc>
      </w:tr>
      <w:tr w:rsidR="000219D2" w:rsidRPr="0007250D" w14:paraId="34D80881" w14:textId="77777777" w:rsidTr="00FD6A1F">
        <w:trPr>
          <w:cantSplit/>
          <w:trHeight w:val="340"/>
        </w:trPr>
        <w:tc>
          <w:tcPr>
            <w:tcW w:w="1126" w:type="dxa"/>
          </w:tcPr>
          <w:p w14:paraId="28863E30" w14:textId="68E95ED5" w:rsidR="000219D2" w:rsidRPr="002C24CE" w:rsidRDefault="000219D2" w:rsidP="00B11BC6">
            <w:pPr>
              <w:tabs>
                <w:tab w:val="left" w:pos="4111"/>
              </w:tabs>
              <w:spacing w:before="40" w:after="40"/>
              <w:ind w:left="-10"/>
              <w:rPr>
                <w:szCs w:val="22"/>
              </w:rPr>
            </w:pPr>
            <w:r w:rsidRPr="002C24CE">
              <w:rPr>
                <w:szCs w:val="22"/>
              </w:rPr>
              <w:t>Ref.:</w:t>
            </w:r>
          </w:p>
        </w:tc>
        <w:tc>
          <w:tcPr>
            <w:tcW w:w="3751" w:type="dxa"/>
            <w:gridSpan w:val="2"/>
          </w:tcPr>
          <w:p w14:paraId="3FF87F56" w14:textId="660532D9" w:rsidR="003352B8" w:rsidRPr="0007250D" w:rsidRDefault="000219D2" w:rsidP="00D0531D">
            <w:pPr>
              <w:tabs>
                <w:tab w:val="left" w:pos="4111"/>
              </w:tabs>
              <w:spacing w:before="40" w:after="40"/>
              <w:ind w:left="57"/>
              <w:rPr>
                <w:b/>
              </w:rPr>
            </w:pPr>
            <w:r w:rsidRPr="0007250D">
              <w:rPr>
                <w:b/>
              </w:rPr>
              <w:t xml:space="preserve">Circular TSB </w:t>
            </w:r>
            <w:r w:rsidR="00434968" w:rsidRPr="0007250D">
              <w:rPr>
                <w:b/>
              </w:rPr>
              <w:t>288</w:t>
            </w:r>
            <w:r w:rsidR="00960BA0" w:rsidRPr="0007250D">
              <w:rPr>
                <w:b/>
              </w:rPr>
              <w:br/>
            </w:r>
            <w:r w:rsidR="003352B8" w:rsidRPr="0007250D">
              <w:rPr>
                <w:b/>
              </w:rPr>
              <w:t>FG-</w:t>
            </w:r>
            <w:r w:rsidR="00434968" w:rsidRPr="0007250D">
              <w:rPr>
                <w:b/>
              </w:rPr>
              <w:t>AN/TB</w:t>
            </w:r>
          </w:p>
        </w:tc>
        <w:tc>
          <w:tcPr>
            <w:tcW w:w="5329" w:type="dxa"/>
            <w:vMerge w:val="restart"/>
          </w:tcPr>
          <w:p w14:paraId="6B6B45D1" w14:textId="77777777" w:rsidR="000219D2" w:rsidRPr="0007250D" w:rsidRDefault="000219D2" w:rsidP="00D0531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ind w:left="284" w:hanging="227"/>
              <w:rPr>
                <w:b/>
              </w:rPr>
            </w:pPr>
            <w:bookmarkStart w:id="0" w:name="Addressee_S"/>
            <w:bookmarkEnd w:id="0"/>
            <w:r w:rsidRPr="0007250D">
              <w:rPr>
                <w:b/>
              </w:rPr>
              <w:t>A:</w:t>
            </w:r>
          </w:p>
          <w:p w14:paraId="13DDD794" w14:textId="355028C7" w:rsidR="000219D2" w:rsidRPr="0007250D" w:rsidRDefault="000219D2" w:rsidP="00D0531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07250D">
              <w:t>–</w:t>
            </w:r>
            <w:r w:rsidRPr="0007250D">
              <w:tab/>
              <w:t xml:space="preserve">las Administraciones de los Estados Miembros </w:t>
            </w:r>
            <w:r w:rsidRPr="0007250D">
              <w:br/>
              <w:t>de la Unión;</w:t>
            </w:r>
          </w:p>
          <w:p w14:paraId="40A3FC64" w14:textId="4BA41607" w:rsidR="000219D2" w:rsidRPr="0007250D" w:rsidRDefault="000219D2" w:rsidP="00D0531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07250D">
              <w:t>–</w:t>
            </w:r>
            <w:r w:rsidRPr="0007250D">
              <w:tab/>
              <w:t>los Miembros de Sector del UIT-T;</w:t>
            </w:r>
          </w:p>
          <w:p w14:paraId="6E1667EF" w14:textId="70EDECFF" w:rsidR="000219D2" w:rsidRPr="0007250D" w:rsidRDefault="000219D2" w:rsidP="00D0531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07250D">
              <w:t>–</w:t>
            </w:r>
            <w:r w:rsidRPr="0007250D">
              <w:tab/>
              <w:t>los Asociados del UIT-T;</w:t>
            </w:r>
          </w:p>
          <w:p w14:paraId="3B39D61E" w14:textId="72A9E666" w:rsidR="000219D2" w:rsidRPr="0007250D" w:rsidRDefault="000219D2" w:rsidP="00D0531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07250D">
              <w:t>–</w:t>
            </w:r>
            <w:r w:rsidRPr="0007250D">
              <w:tab/>
              <w:t>las Instituciones Académicas de la UIT</w:t>
            </w:r>
          </w:p>
        </w:tc>
      </w:tr>
      <w:tr w:rsidR="000219D2" w:rsidRPr="0007250D" w14:paraId="38A511E4" w14:textId="77777777" w:rsidTr="00FD6A1F">
        <w:trPr>
          <w:cantSplit/>
        </w:trPr>
        <w:tc>
          <w:tcPr>
            <w:tcW w:w="1126" w:type="dxa"/>
          </w:tcPr>
          <w:p w14:paraId="5ECAFAE7" w14:textId="77777777" w:rsidR="000219D2" w:rsidRPr="002C24CE" w:rsidRDefault="000219D2" w:rsidP="00B11BC6">
            <w:pPr>
              <w:tabs>
                <w:tab w:val="left" w:pos="4111"/>
              </w:tabs>
              <w:spacing w:before="40" w:after="40"/>
              <w:ind w:left="-10"/>
              <w:rPr>
                <w:szCs w:val="22"/>
              </w:rPr>
            </w:pPr>
            <w:r w:rsidRPr="002C24CE">
              <w:rPr>
                <w:szCs w:val="22"/>
              </w:rPr>
              <w:t>Tel.:</w:t>
            </w:r>
          </w:p>
        </w:tc>
        <w:tc>
          <w:tcPr>
            <w:tcW w:w="3751" w:type="dxa"/>
            <w:gridSpan w:val="2"/>
          </w:tcPr>
          <w:p w14:paraId="2C08590B" w14:textId="47FED5DD" w:rsidR="000219D2" w:rsidRPr="0007250D" w:rsidRDefault="000219D2" w:rsidP="00D0531D">
            <w:pPr>
              <w:tabs>
                <w:tab w:val="left" w:pos="4111"/>
              </w:tabs>
              <w:spacing w:before="40" w:after="40"/>
              <w:ind w:left="57"/>
              <w:rPr>
                <w:rStyle w:val="Hyperlink"/>
                <w:color w:val="auto"/>
              </w:rPr>
            </w:pPr>
            <w:r w:rsidRPr="0007250D">
              <w:t xml:space="preserve">+41 22 730 </w:t>
            </w:r>
            <w:r w:rsidR="002C0D72" w:rsidRPr="002C0D72">
              <w:t>5930</w:t>
            </w:r>
          </w:p>
        </w:tc>
        <w:tc>
          <w:tcPr>
            <w:tcW w:w="5329" w:type="dxa"/>
            <w:vMerge/>
          </w:tcPr>
          <w:p w14:paraId="574CCEC4" w14:textId="77777777" w:rsidR="000219D2" w:rsidRPr="0007250D" w:rsidRDefault="000219D2" w:rsidP="00D0531D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0219D2" w:rsidRPr="0007250D" w14:paraId="32E2FBDA" w14:textId="77777777" w:rsidTr="000219D2">
        <w:trPr>
          <w:cantSplit/>
          <w:trHeight w:val="350"/>
        </w:trPr>
        <w:tc>
          <w:tcPr>
            <w:tcW w:w="1126" w:type="dxa"/>
          </w:tcPr>
          <w:p w14:paraId="2FAC25C1" w14:textId="77777777" w:rsidR="000219D2" w:rsidRPr="002C24CE" w:rsidRDefault="000219D2" w:rsidP="00B11BC6">
            <w:pPr>
              <w:tabs>
                <w:tab w:val="left" w:pos="4111"/>
              </w:tabs>
              <w:spacing w:before="40" w:after="40"/>
              <w:ind w:left="-10"/>
              <w:rPr>
                <w:szCs w:val="22"/>
              </w:rPr>
            </w:pPr>
            <w:r w:rsidRPr="002C24CE">
              <w:rPr>
                <w:szCs w:val="22"/>
              </w:rPr>
              <w:t>Fax:</w:t>
            </w:r>
          </w:p>
        </w:tc>
        <w:tc>
          <w:tcPr>
            <w:tcW w:w="3751" w:type="dxa"/>
            <w:gridSpan w:val="2"/>
          </w:tcPr>
          <w:p w14:paraId="7A31335A" w14:textId="0F87834B" w:rsidR="000219D2" w:rsidRPr="0007250D" w:rsidRDefault="000219D2" w:rsidP="00D0531D">
            <w:pPr>
              <w:tabs>
                <w:tab w:val="left" w:pos="4111"/>
              </w:tabs>
              <w:spacing w:before="40" w:after="40"/>
              <w:ind w:left="57"/>
              <w:rPr>
                <w:rStyle w:val="Hyperlink"/>
                <w:color w:val="auto"/>
              </w:rPr>
            </w:pPr>
            <w:r w:rsidRPr="0007250D">
              <w:t>+41 22 730 5853</w:t>
            </w:r>
          </w:p>
        </w:tc>
        <w:tc>
          <w:tcPr>
            <w:tcW w:w="5329" w:type="dxa"/>
            <w:vMerge/>
          </w:tcPr>
          <w:p w14:paraId="4C8C0685" w14:textId="77777777" w:rsidR="000219D2" w:rsidRPr="0007250D" w:rsidRDefault="000219D2" w:rsidP="00D0531D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0219D2" w:rsidRPr="0007250D" w14:paraId="21BC119C" w14:textId="77777777" w:rsidTr="00FD6A1F">
        <w:trPr>
          <w:cantSplit/>
          <w:trHeight w:val="350"/>
        </w:trPr>
        <w:tc>
          <w:tcPr>
            <w:tcW w:w="1126" w:type="dxa"/>
          </w:tcPr>
          <w:p w14:paraId="4857EC39" w14:textId="39F79718" w:rsidR="000219D2" w:rsidRPr="002C24CE" w:rsidRDefault="000219D2" w:rsidP="00B11BC6">
            <w:pPr>
              <w:tabs>
                <w:tab w:val="left" w:pos="4111"/>
              </w:tabs>
              <w:spacing w:before="40" w:after="40"/>
              <w:ind w:left="-10"/>
              <w:rPr>
                <w:szCs w:val="22"/>
              </w:rPr>
            </w:pPr>
            <w:r w:rsidRPr="002C24CE">
              <w:rPr>
                <w:szCs w:val="22"/>
              </w:rPr>
              <w:t>Correo-e:</w:t>
            </w:r>
          </w:p>
        </w:tc>
        <w:tc>
          <w:tcPr>
            <w:tcW w:w="3751" w:type="dxa"/>
            <w:gridSpan w:val="2"/>
          </w:tcPr>
          <w:p w14:paraId="700E2843" w14:textId="0839FD0E" w:rsidR="000219D2" w:rsidRPr="0007250D" w:rsidRDefault="00AE32F9" w:rsidP="00D0531D">
            <w:pPr>
              <w:tabs>
                <w:tab w:val="left" w:pos="4111"/>
              </w:tabs>
              <w:spacing w:before="40" w:after="40"/>
              <w:ind w:left="57"/>
            </w:pPr>
            <w:hyperlink r:id="rId9" w:history="1">
              <w:bookmarkStart w:id="1" w:name="lt_pId041"/>
              <w:r w:rsidR="00D7689C" w:rsidRPr="0007250D">
                <w:rPr>
                  <w:rStyle w:val="Hyperlink"/>
                </w:rPr>
                <w:t>tsbfgan@itu.int</w:t>
              </w:r>
              <w:bookmarkEnd w:id="1"/>
            </w:hyperlink>
          </w:p>
        </w:tc>
        <w:tc>
          <w:tcPr>
            <w:tcW w:w="5329" w:type="dxa"/>
            <w:vMerge/>
          </w:tcPr>
          <w:p w14:paraId="6A2B7F35" w14:textId="77777777" w:rsidR="000219D2" w:rsidRPr="0007250D" w:rsidRDefault="000219D2" w:rsidP="00D0531D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C34772" w:rsidRPr="0007250D" w14:paraId="0E60A5B7" w14:textId="77777777" w:rsidTr="00FD6A1F">
        <w:trPr>
          <w:cantSplit/>
        </w:trPr>
        <w:tc>
          <w:tcPr>
            <w:tcW w:w="1126" w:type="dxa"/>
          </w:tcPr>
          <w:p w14:paraId="48E4A460" w14:textId="5F041071" w:rsidR="00C34772" w:rsidRPr="002C24CE" w:rsidRDefault="00C34772" w:rsidP="00D0531D">
            <w:pPr>
              <w:tabs>
                <w:tab w:val="left" w:pos="4111"/>
              </w:tabs>
              <w:spacing w:before="40"/>
              <w:ind w:left="57"/>
              <w:rPr>
                <w:szCs w:val="22"/>
              </w:rPr>
            </w:pPr>
          </w:p>
        </w:tc>
        <w:tc>
          <w:tcPr>
            <w:tcW w:w="3751" w:type="dxa"/>
            <w:gridSpan w:val="2"/>
          </w:tcPr>
          <w:p w14:paraId="0682C9F9" w14:textId="27176295" w:rsidR="00C34772" w:rsidRPr="0007250D" w:rsidRDefault="00C34772" w:rsidP="00D0531D">
            <w:pPr>
              <w:tabs>
                <w:tab w:val="left" w:pos="4111"/>
              </w:tabs>
              <w:spacing w:before="40"/>
              <w:ind w:left="57"/>
            </w:pPr>
          </w:p>
        </w:tc>
        <w:tc>
          <w:tcPr>
            <w:tcW w:w="5329" w:type="dxa"/>
          </w:tcPr>
          <w:p w14:paraId="628B19CA" w14:textId="1A012E72" w:rsidR="00C34772" w:rsidRPr="0007250D" w:rsidRDefault="00C34772" w:rsidP="00D0531D">
            <w:pPr>
              <w:tabs>
                <w:tab w:val="left" w:pos="4111"/>
              </w:tabs>
              <w:spacing w:before="40"/>
              <w:ind w:left="57"/>
            </w:pPr>
            <w:r w:rsidRPr="0007250D">
              <w:rPr>
                <w:b/>
              </w:rPr>
              <w:t>Copia</w:t>
            </w:r>
            <w:r w:rsidRPr="007B14FB">
              <w:rPr>
                <w:b/>
                <w:bCs/>
              </w:rPr>
              <w:t>:</w:t>
            </w:r>
          </w:p>
          <w:p w14:paraId="4A427199" w14:textId="78638AE0" w:rsidR="00840C9C" w:rsidRPr="0007250D" w:rsidRDefault="00FD6A1F" w:rsidP="00D0531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07250D">
              <w:t>–</w:t>
            </w:r>
            <w:r w:rsidRPr="0007250D">
              <w:tab/>
            </w:r>
            <w:r w:rsidR="002F634E">
              <w:t xml:space="preserve">a </w:t>
            </w:r>
            <w:r w:rsidR="00840C9C" w:rsidRPr="0007250D">
              <w:t>los Presidentes y Vicepresidentes de las Comisiones de Estudio</w:t>
            </w:r>
            <w:r w:rsidR="002C0D72">
              <w:t xml:space="preserve"> del UIT-T</w:t>
            </w:r>
            <w:r w:rsidR="00840C9C" w:rsidRPr="0007250D">
              <w:t>;</w:t>
            </w:r>
          </w:p>
          <w:p w14:paraId="44B31A3E" w14:textId="1EC4892C" w:rsidR="00F526FA" w:rsidRPr="0007250D" w:rsidRDefault="00FD6A1F" w:rsidP="00D0531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07250D">
              <w:t>–</w:t>
            </w:r>
            <w:r w:rsidR="00AC60D8" w:rsidRPr="0007250D">
              <w:tab/>
            </w:r>
            <w:r w:rsidR="002F634E">
              <w:t xml:space="preserve">a </w:t>
            </w:r>
            <w:r w:rsidR="00840C9C" w:rsidRPr="0007250D">
              <w:t>la Directora de la Oficina de Desarrollo de las Telecomunicaciones</w:t>
            </w:r>
            <w:r w:rsidR="00F526FA" w:rsidRPr="0007250D">
              <w:t>;</w:t>
            </w:r>
          </w:p>
          <w:p w14:paraId="0810FA58" w14:textId="4A4C4749" w:rsidR="00C34772" w:rsidRPr="0007250D" w:rsidRDefault="00F526FA" w:rsidP="00D0531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07250D">
              <w:t>–</w:t>
            </w:r>
            <w:r w:rsidRPr="0007250D">
              <w:tab/>
            </w:r>
            <w:r w:rsidR="002F634E">
              <w:t>a</w:t>
            </w:r>
            <w:r w:rsidRPr="0007250D">
              <w:t>l Director de la Oficina de Radiocomunicaciones</w:t>
            </w:r>
          </w:p>
        </w:tc>
      </w:tr>
      <w:tr w:rsidR="007B6316" w:rsidRPr="0007250D" w14:paraId="5C2E0C3F" w14:textId="77777777" w:rsidTr="00FD6A1F">
        <w:trPr>
          <w:cantSplit/>
        </w:trPr>
        <w:tc>
          <w:tcPr>
            <w:tcW w:w="1126" w:type="dxa"/>
          </w:tcPr>
          <w:p w14:paraId="2CC2033F" w14:textId="77777777" w:rsidR="007B6316" w:rsidRPr="002C24CE" w:rsidRDefault="007B6316" w:rsidP="00B11BC6">
            <w:pPr>
              <w:tabs>
                <w:tab w:val="left" w:pos="4111"/>
              </w:tabs>
              <w:ind w:left="-10"/>
              <w:rPr>
                <w:szCs w:val="22"/>
              </w:rPr>
            </w:pPr>
            <w:r w:rsidRPr="00B11BC6">
              <w:rPr>
                <w:b/>
                <w:bCs/>
                <w:szCs w:val="22"/>
              </w:rPr>
              <w:t>Asunto</w:t>
            </w:r>
            <w:r w:rsidRPr="002C24CE">
              <w:rPr>
                <w:szCs w:val="22"/>
              </w:rPr>
              <w:t>:</w:t>
            </w:r>
          </w:p>
        </w:tc>
        <w:tc>
          <w:tcPr>
            <w:tcW w:w="9080" w:type="dxa"/>
            <w:gridSpan w:val="3"/>
          </w:tcPr>
          <w:p w14:paraId="2A035058" w14:textId="4AC29800" w:rsidR="007B6316" w:rsidRPr="0007250D" w:rsidRDefault="00AC60D8" w:rsidP="00D0531D">
            <w:pPr>
              <w:tabs>
                <w:tab w:val="left" w:pos="4111"/>
              </w:tabs>
              <w:ind w:left="57"/>
              <w:rPr>
                <w:b/>
              </w:rPr>
            </w:pPr>
            <w:r w:rsidRPr="0007250D">
              <w:rPr>
                <w:b/>
                <w:bCs/>
              </w:rPr>
              <w:t xml:space="preserve">Creación del nuevo Grupo Temático del UIT-T sobre </w:t>
            </w:r>
            <w:r w:rsidR="006F283A" w:rsidRPr="0007250D">
              <w:rPr>
                <w:b/>
                <w:bCs/>
              </w:rPr>
              <w:t xml:space="preserve">Redes Autónomas </w:t>
            </w:r>
            <w:r w:rsidRPr="0007250D">
              <w:rPr>
                <w:b/>
                <w:bCs/>
              </w:rPr>
              <w:t>y su primera reunión virtual: 2-4 de febrero de 2021</w:t>
            </w:r>
          </w:p>
        </w:tc>
      </w:tr>
    </w:tbl>
    <w:p w14:paraId="6D98A347" w14:textId="32BCF253" w:rsidR="00C34772" w:rsidRPr="0007250D" w:rsidRDefault="00C34772" w:rsidP="00D0531D">
      <w:pPr>
        <w:pStyle w:val="Normalaftertitle0"/>
      </w:pPr>
      <w:bookmarkStart w:id="2" w:name="StartTyping_S"/>
      <w:bookmarkStart w:id="3" w:name="suitetext"/>
      <w:bookmarkStart w:id="4" w:name="text"/>
      <w:bookmarkEnd w:id="2"/>
      <w:bookmarkEnd w:id="3"/>
      <w:bookmarkEnd w:id="4"/>
      <w:r w:rsidRPr="0007250D">
        <w:t>Muy Señora mía/Muy Señor mío</w:t>
      </w:r>
      <w:r w:rsidR="00B11BC6">
        <w:t>,</w:t>
      </w:r>
    </w:p>
    <w:p w14:paraId="2BF8CD0A" w14:textId="4987A9F6" w:rsidR="00D7689C" w:rsidRPr="0007250D" w:rsidRDefault="00D7689C" w:rsidP="00D0531D">
      <w:r w:rsidRPr="0007250D">
        <w:rPr>
          <w:bCs/>
        </w:rPr>
        <w:t>1</w:t>
      </w:r>
      <w:r w:rsidRPr="0007250D">
        <w:tab/>
      </w:r>
      <w:proofErr w:type="gramStart"/>
      <w:r w:rsidRPr="0007250D">
        <w:t>A</w:t>
      </w:r>
      <w:proofErr w:type="gramEnd"/>
      <w:r w:rsidRPr="0007250D">
        <w:t xml:space="preserve"> raíz del acuerdo alcanzado por la Comisión de Estudio 13 del UIT-T en su reunión </w:t>
      </w:r>
      <w:r w:rsidR="00C5668D" w:rsidRPr="0007250D">
        <w:t>virtual de</w:t>
      </w:r>
      <w:r w:rsidRPr="0007250D">
        <w:t xml:space="preserve">l 17 de </w:t>
      </w:r>
      <w:r w:rsidR="00C5668D" w:rsidRPr="0007250D">
        <w:t>diciembre de 2020,</w:t>
      </w:r>
      <w:r w:rsidRPr="0007250D">
        <w:t xml:space="preserve"> tengo el placer de anunciarle la creación del </w:t>
      </w:r>
      <w:hyperlink r:id="rId10" w:history="1">
        <w:r w:rsidRPr="002C0D72">
          <w:rPr>
            <w:rStyle w:val="Hyperlink"/>
            <w:b/>
            <w:bCs/>
          </w:rPr>
          <w:t xml:space="preserve">Grupo Temático </w:t>
        </w:r>
        <w:r w:rsidR="00A97077" w:rsidRPr="002C0D72">
          <w:rPr>
            <w:rStyle w:val="Hyperlink"/>
            <w:b/>
            <w:bCs/>
          </w:rPr>
          <w:t>d</w:t>
        </w:r>
        <w:r w:rsidR="000D64FF" w:rsidRPr="002C0D72">
          <w:rPr>
            <w:rStyle w:val="Hyperlink"/>
            <w:b/>
            <w:bCs/>
          </w:rPr>
          <w:t xml:space="preserve">el </w:t>
        </w:r>
        <w:r w:rsidRPr="002C0D72">
          <w:rPr>
            <w:rStyle w:val="Hyperlink"/>
            <w:b/>
            <w:bCs/>
          </w:rPr>
          <w:t>UIT</w:t>
        </w:r>
        <w:r w:rsidR="00A97077" w:rsidRPr="002C0D72">
          <w:rPr>
            <w:rStyle w:val="Hyperlink"/>
            <w:b/>
            <w:bCs/>
          </w:rPr>
          <w:noBreakHyphen/>
        </w:r>
        <w:r w:rsidRPr="002C0D72">
          <w:rPr>
            <w:rStyle w:val="Hyperlink"/>
            <w:b/>
            <w:bCs/>
          </w:rPr>
          <w:t xml:space="preserve">T </w:t>
        </w:r>
        <w:r w:rsidR="000D64FF" w:rsidRPr="002C0D72">
          <w:rPr>
            <w:rStyle w:val="Hyperlink"/>
            <w:b/>
            <w:bCs/>
          </w:rPr>
          <w:t>sobre Redes Autónomas</w:t>
        </w:r>
      </w:hyperlink>
      <w:r w:rsidR="000D64FF" w:rsidRPr="0007250D">
        <w:t xml:space="preserve"> </w:t>
      </w:r>
      <w:r w:rsidRPr="0007250D">
        <w:t>(FG-</w:t>
      </w:r>
      <w:r w:rsidR="00C5668D" w:rsidRPr="0007250D">
        <w:t>AN</w:t>
      </w:r>
      <w:r w:rsidRPr="0007250D">
        <w:t>).</w:t>
      </w:r>
    </w:p>
    <w:p w14:paraId="05335ED2" w14:textId="144D83B4" w:rsidR="00BE2DAA" w:rsidRPr="0007250D" w:rsidRDefault="00D7689C" w:rsidP="00D0531D">
      <w:r w:rsidRPr="0007250D">
        <w:t>2</w:t>
      </w:r>
      <w:r w:rsidRPr="0007250D">
        <w:tab/>
        <w:t xml:space="preserve">Bajo la presidencia del Sr. </w:t>
      </w:r>
      <w:r w:rsidR="00C5668D" w:rsidRPr="0007250D">
        <w:t>Leon Wong (Rakuten Mobile Inc., Japón),</w:t>
      </w:r>
      <w:r w:rsidRPr="0007250D">
        <w:t xml:space="preserve"> el Grupo Temático redactará informes técnicos y especificaciones en materia de</w:t>
      </w:r>
      <w:r w:rsidR="00BE2DAA" w:rsidRPr="0007250D">
        <w:t xml:space="preserve"> redes autónomas</w:t>
      </w:r>
      <w:r w:rsidR="0051073E" w:rsidRPr="0007250D">
        <w:t xml:space="preserve">, </w:t>
      </w:r>
      <w:r w:rsidR="000D64FF">
        <w:t>que abarcarán</w:t>
      </w:r>
      <w:r w:rsidR="0051073E" w:rsidRPr="0007250D">
        <w:t xml:space="preserve"> </w:t>
      </w:r>
      <w:r w:rsidR="005D0350" w:rsidRPr="0007250D">
        <w:t xml:space="preserve">los conceptos de </w:t>
      </w:r>
      <w:r w:rsidR="0051073E" w:rsidRPr="0007250D">
        <w:t>evolución</w:t>
      </w:r>
      <w:r w:rsidR="005D0350" w:rsidRPr="0007250D">
        <w:t xml:space="preserve"> exploratoria</w:t>
      </w:r>
      <w:r w:rsidR="0051073E" w:rsidRPr="0007250D">
        <w:t xml:space="preserve"> de las redes futuras, experimentación </w:t>
      </w:r>
      <w:r w:rsidR="000D64FF">
        <w:t>adaptativa</w:t>
      </w:r>
      <w:r w:rsidR="0051073E" w:rsidRPr="0007250D">
        <w:t xml:space="preserve"> en tiempo real</w:t>
      </w:r>
      <w:r w:rsidR="000D64FF">
        <w:t xml:space="preserve"> y la</w:t>
      </w:r>
      <w:r w:rsidR="0051073E" w:rsidRPr="0007250D">
        <w:t xml:space="preserve"> adaptación dinámica a entornos, tecnologías y casos de utilización futuros. El Grupo Temático también </w:t>
      </w:r>
      <w:r w:rsidR="000D64FF">
        <w:t>determinará las carencias pertinentes en el ámbito de</w:t>
      </w:r>
      <w:r w:rsidR="0051073E" w:rsidRPr="0007250D">
        <w:t xml:space="preserve"> la normalización de las redes autónomas.</w:t>
      </w:r>
    </w:p>
    <w:p w14:paraId="366BBE17" w14:textId="749023B2" w:rsidR="00D7689C" w:rsidRPr="0007250D" w:rsidRDefault="00D7689C" w:rsidP="00D0531D">
      <w:r w:rsidRPr="0007250D">
        <w:t>3</w:t>
      </w:r>
      <w:r w:rsidRPr="0007250D">
        <w:tab/>
      </w:r>
      <w:bookmarkStart w:id="5" w:name="lt_pId060"/>
      <w:r w:rsidRPr="0007250D">
        <w:t>En el FG-</w:t>
      </w:r>
      <w:r w:rsidR="0051073E" w:rsidRPr="0007250D">
        <w:t>AN</w:t>
      </w:r>
      <w:r w:rsidRPr="0007250D">
        <w:t xml:space="preserve"> podrán participar de forma gratuita todas las partes interesadas competentes, en especial, </w:t>
      </w:r>
      <w:r w:rsidR="005B524F" w:rsidRPr="0007250D">
        <w:t xml:space="preserve">expertos en tecnología de redes de operadores de redes, proveedores de tecnología, organizaciones de normalización e instituciones académicas. </w:t>
      </w:r>
      <w:r w:rsidRPr="0007250D">
        <w:t>Se invita a</w:t>
      </w:r>
      <w:r w:rsidR="005B524F" w:rsidRPr="0007250D">
        <w:t xml:space="preserve"> todas</w:t>
      </w:r>
      <w:r w:rsidRPr="0007250D">
        <w:t xml:space="preserve"> las personas interesadas en recibir noticias y anuncios relacionados con este Grupo a inscribirse en su lista de distribución por correo electrónico. En el siguiente enlace se facilita información adicional sobre el proceso de inscripción: </w:t>
      </w:r>
      <w:hyperlink r:id="rId11" w:history="1">
        <w:bookmarkStart w:id="6" w:name="lt_pId063"/>
        <w:r w:rsidR="005B524F" w:rsidRPr="0007250D">
          <w:rPr>
            <w:rStyle w:val="Hyperlink"/>
          </w:rPr>
          <w:t>https:</w:t>
        </w:r>
      </w:hyperlink>
      <w:bookmarkEnd w:id="6"/>
      <w:r w:rsidR="005B524F" w:rsidRPr="0007250D">
        <w:fldChar w:fldCharType="begin"/>
      </w:r>
      <w:r w:rsidR="005B524F" w:rsidRPr="0007250D">
        <w:instrText xml:space="preserve"> HYPERLINK "https://www.itu.int/en/ITU-T/focusgroups/an/" </w:instrText>
      </w:r>
      <w:r w:rsidR="005B524F" w:rsidRPr="0007250D">
        <w:fldChar w:fldCharType="separate"/>
      </w:r>
      <w:bookmarkStart w:id="7" w:name="lt_pId064"/>
      <w:r w:rsidR="005B524F" w:rsidRPr="0007250D">
        <w:rPr>
          <w:rStyle w:val="Hyperlink"/>
        </w:rPr>
        <w:t>//www.itu.int/en/ITU-T/focusgroups/an/</w:t>
      </w:r>
      <w:bookmarkEnd w:id="7"/>
      <w:r w:rsidR="005B524F" w:rsidRPr="0007250D">
        <w:rPr>
          <w:rStyle w:val="Hyperlink"/>
        </w:rPr>
        <w:fldChar w:fldCharType="end"/>
      </w:r>
      <w:r w:rsidR="00A97077" w:rsidRPr="00A97077">
        <w:t>.</w:t>
      </w:r>
    </w:p>
    <w:bookmarkEnd w:id="5"/>
    <w:p w14:paraId="63C5AC32" w14:textId="56C0770A" w:rsidR="00840C9C" w:rsidRPr="0007250D" w:rsidRDefault="00D7689C" w:rsidP="00D0531D">
      <w:r w:rsidRPr="0007250D">
        <w:rPr>
          <w:szCs w:val="24"/>
        </w:rPr>
        <w:t>4</w:t>
      </w:r>
      <w:r w:rsidRPr="0007250D">
        <w:rPr>
          <w:szCs w:val="24"/>
        </w:rPr>
        <w:tab/>
      </w:r>
      <w:r w:rsidRPr="0007250D">
        <w:t xml:space="preserve">El Grupo ejercerá sus funciones con arreglo a los procedimientos estipulados en la </w:t>
      </w:r>
      <w:hyperlink r:id="rId12" w:history="1">
        <w:r w:rsidRPr="0007250D">
          <w:rPr>
            <w:rStyle w:val="Hyperlink"/>
          </w:rPr>
          <w:t>Recomendación UIT-T A.7</w:t>
        </w:r>
      </w:hyperlink>
      <w:r w:rsidRPr="0007250D">
        <w:t xml:space="preserve">, así como al mandato acordado y detallado en el </w:t>
      </w:r>
      <w:r w:rsidRPr="0007250D">
        <w:rPr>
          <w:b/>
          <w:bCs/>
        </w:rPr>
        <w:t>Anexo 1</w:t>
      </w:r>
      <w:r w:rsidRPr="0007250D">
        <w:t>.</w:t>
      </w:r>
    </w:p>
    <w:p w14:paraId="68A25A10" w14:textId="118E9950" w:rsidR="00D7689C" w:rsidRPr="0007250D" w:rsidRDefault="00D7689C" w:rsidP="00D0531D">
      <w:r w:rsidRPr="0007250D">
        <w:t>5</w:t>
      </w:r>
      <w:r w:rsidRPr="0007250D">
        <w:tab/>
      </w:r>
      <w:r w:rsidRPr="0007250D">
        <w:rPr>
          <w:b/>
          <w:bCs/>
        </w:rPr>
        <w:t>Primera reunión del FG-AN</w:t>
      </w:r>
    </w:p>
    <w:p w14:paraId="37660A87" w14:textId="7A5A9857" w:rsidR="00D7689C" w:rsidRPr="0007250D" w:rsidRDefault="00D7689C" w:rsidP="00D0531D">
      <w:r w:rsidRPr="0007250D">
        <w:t>La primera reunión del FG-</w:t>
      </w:r>
      <w:r w:rsidR="005B524F" w:rsidRPr="0007250D">
        <w:t>AN</w:t>
      </w:r>
      <w:r w:rsidRPr="0007250D">
        <w:t xml:space="preserve"> se celebrará </w:t>
      </w:r>
      <w:r w:rsidR="005B524F" w:rsidRPr="0007250D">
        <w:t xml:space="preserve">de forma virtual </w:t>
      </w:r>
      <w:r w:rsidRPr="0007250D">
        <w:t>del 2</w:t>
      </w:r>
      <w:r w:rsidR="005B524F" w:rsidRPr="0007250D">
        <w:t xml:space="preserve"> al 4 de febrero de 2021</w:t>
      </w:r>
      <w:r w:rsidR="000D64FF">
        <w:t xml:space="preserve"> </w:t>
      </w:r>
      <w:r w:rsidR="004309FF">
        <w:t>(</w:t>
      </w:r>
      <w:r w:rsidR="005B524F" w:rsidRPr="0007250D">
        <w:t>13.00</w:t>
      </w:r>
      <w:r w:rsidR="00A97077">
        <w:noBreakHyphen/>
      </w:r>
      <w:r w:rsidR="005B524F" w:rsidRPr="0007250D">
        <w:t xml:space="preserve">16.00 horas </w:t>
      </w:r>
      <w:r w:rsidR="000D64FF">
        <w:t>(</w:t>
      </w:r>
      <w:r w:rsidR="005B524F" w:rsidRPr="0007250D">
        <w:t>CET</w:t>
      </w:r>
      <w:r w:rsidR="000D64FF">
        <w:t>)</w:t>
      </w:r>
      <w:r w:rsidR="004309FF">
        <w:t>)</w:t>
      </w:r>
      <w:r w:rsidR="005B524F" w:rsidRPr="0007250D">
        <w:t xml:space="preserve">. </w:t>
      </w:r>
      <w:r w:rsidR="007E0C95" w:rsidRPr="0007250D">
        <w:t>Entre l</w:t>
      </w:r>
      <w:r w:rsidRPr="0007250D">
        <w:t xml:space="preserve">os objetivos de la primera reunión </w:t>
      </w:r>
      <w:r w:rsidR="007E0C95" w:rsidRPr="0007250D">
        <w:t>figuran</w:t>
      </w:r>
      <w:r w:rsidRPr="0007250D">
        <w:t>:</w:t>
      </w:r>
    </w:p>
    <w:p w14:paraId="60AEBA67" w14:textId="3FC3E889" w:rsidR="00D7689C" w:rsidRPr="0007250D" w:rsidRDefault="00D7689C" w:rsidP="00D0531D">
      <w:pPr>
        <w:pStyle w:val="enumlev1"/>
      </w:pPr>
      <w:r w:rsidRPr="0007250D">
        <w:t>•</w:t>
      </w:r>
      <w:r w:rsidRPr="0007250D">
        <w:tab/>
      </w:r>
      <w:r w:rsidR="007E0C95" w:rsidRPr="0007250D">
        <w:t>celebrar un debate sobre las redes autónomas, incluidos casos de uso,</w:t>
      </w:r>
      <w:r w:rsidRPr="0007250D">
        <w:t xml:space="preserve"> requisitos, expectativas, desafíos, lagunas de investigación y necesidades en materia de normalización;</w:t>
      </w:r>
    </w:p>
    <w:p w14:paraId="56559147" w14:textId="67980046" w:rsidR="00D7689C" w:rsidRPr="0007250D" w:rsidRDefault="00D7689C" w:rsidP="00D0531D">
      <w:pPr>
        <w:pStyle w:val="enumlev1"/>
      </w:pPr>
      <w:r w:rsidRPr="0007250D">
        <w:lastRenderedPageBreak/>
        <w:t>•</w:t>
      </w:r>
      <w:r w:rsidRPr="0007250D">
        <w:tab/>
      </w:r>
      <w:r w:rsidR="007E0C95" w:rsidRPr="0007250D">
        <w:t>acordar</w:t>
      </w:r>
      <w:r w:rsidRPr="0007250D">
        <w:t xml:space="preserve"> la estructura, los productos previstos, las responsabilidades y el cronograma del Grupo</w:t>
      </w:r>
      <w:r w:rsidR="007E0C95" w:rsidRPr="0007250D">
        <w:t>;</w:t>
      </w:r>
      <w:r w:rsidRPr="0007250D">
        <w:t xml:space="preserve"> y</w:t>
      </w:r>
    </w:p>
    <w:p w14:paraId="30A390A7" w14:textId="35A6D8A3" w:rsidR="00D7689C" w:rsidRPr="0007250D" w:rsidRDefault="00D7689C" w:rsidP="00D0531D">
      <w:pPr>
        <w:pStyle w:val="enumlev1"/>
      </w:pPr>
      <w:r w:rsidRPr="0007250D">
        <w:t>•</w:t>
      </w:r>
      <w:r w:rsidRPr="0007250D">
        <w:tab/>
      </w:r>
      <w:r w:rsidR="007E0C95" w:rsidRPr="0007250D">
        <w:t>examinar</w:t>
      </w:r>
      <w:r w:rsidRPr="0007250D">
        <w:t xml:space="preserve"> las contribuciones escritas, tras l</w:t>
      </w:r>
      <w:r w:rsidR="002E648A" w:rsidRPr="0007250D">
        <w:t>o</w:t>
      </w:r>
      <w:r w:rsidRPr="0007250D">
        <w:t xml:space="preserve"> cual se emprenderá la elaboración de los productos.</w:t>
      </w:r>
    </w:p>
    <w:p w14:paraId="71793CE4" w14:textId="2CB642B2" w:rsidR="00840C9C" w:rsidRPr="0007250D" w:rsidRDefault="002E0106" w:rsidP="00D0531D">
      <w:r w:rsidRPr="0007250D">
        <w:t>6</w:t>
      </w:r>
      <w:r w:rsidRPr="0007250D">
        <w:tab/>
      </w:r>
      <w:r w:rsidRPr="0007250D">
        <w:rPr>
          <w:b/>
          <w:bCs/>
        </w:rPr>
        <w:t xml:space="preserve">Se invita a presentar contribuciones </w:t>
      </w:r>
      <w:r w:rsidR="005D0350" w:rsidRPr="0007250D">
        <w:rPr>
          <w:b/>
          <w:bCs/>
        </w:rPr>
        <w:t>por escrito</w:t>
      </w:r>
      <w:r w:rsidRPr="0007250D">
        <w:t xml:space="preserve"> sobre 1)</w:t>
      </w:r>
      <w:r w:rsidR="00812F3C">
        <w:t xml:space="preserve"> </w:t>
      </w:r>
      <w:r w:rsidR="007E0C95" w:rsidRPr="0007250D">
        <w:t>casos de uso específicos y cuestiones de normalización</w:t>
      </w:r>
      <w:r w:rsidR="00612736" w:rsidRPr="0007250D">
        <w:t xml:space="preserve"> conexas</w:t>
      </w:r>
      <w:r w:rsidR="007E0C95" w:rsidRPr="0007250D">
        <w:t xml:space="preserve">; y 2) conceptos </w:t>
      </w:r>
      <w:r w:rsidR="00612736" w:rsidRPr="0007250D">
        <w:t>básicos</w:t>
      </w:r>
      <w:r w:rsidR="007E0C95" w:rsidRPr="0007250D">
        <w:t xml:space="preserve"> </w:t>
      </w:r>
      <w:r w:rsidR="002E648A" w:rsidRPr="0007250D">
        <w:t xml:space="preserve">relacionados con </w:t>
      </w:r>
      <w:r w:rsidR="007E0C95" w:rsidRPr="0007250D">
        <w:t>las redes autónomas,</w:t>
      </w:r>
      <w:r w:rsidR="005D0350" w:rsidRPr="0007250D">
        <w:t xml:space="preserve"> incluidas la evolución exploratoria, la experimentación </w:t>
      </w:r>
      <w:r w:rsidR="000D64FF">
        <w:t>adaptativa</w:t>
      </w:r>
      <w:r w:rsidR="005D0350" w:rsidRPr="0007250D">
        <w:t xml:space="preserve"> en tiempo real y la adaptación dinámica, así como como </w:t>
      </w:r>
      <w:r w:rsidR="007E0C95" w:rsidRPr="0007250D">
        <w:t>términos, definiciones, conceptos, requisitos, lagunas de investigación, métodos, formatos</w:t>
      </w:r>
      <w:r w:rsidR="005D0350" w:rsidRPr="0007250D">
        <w:t xml:space="preserve"> y ecosistemas</w:t>
      </w:r>
      <w:r w:rsidR="007E0C95" w:rsidRPr="0007250D">
        <w:t xml:space="preserve"> (norma</w:t>
      </w:r>
      <w:r w:rsidR="005D0350" w:rsidRPr="0007250D">
        <w:t>tivo</w:t>
      </w:r>
      <w:r w:rsidR="007E0C95" w:rsidRPr="0007250D">
        <w:t>s)</w:t>
      </w:r>
      <w:r w:rsidR="005D0350" w:rsidRPr="0007250D">
        <w:t xml:space="preserve">. Las contribuciones por escrito deberán enviarse por correo electrónico a la </w:t>
      </w:r>
      <w:r w:rsidR="002C0D72">
        <w:t>s</w:t>
      </w:r>
      <w:r w:rsidR="005D0350" w:rsidRPr="0007250D">
        <w:t>ecretaría del Grupo (</w:t>
      </w:r>
      <w:hyperlink r:id="rId13" w:history="1">
        <w:r w:rsidR="005D0350" w:rsidRPr="0007250D">
          <w:rPr>
            <w:rStyle w:val="Hyperlink"/>
          </w:rPr>
          <w:t>tsbfgan@itu.int</w:t>
        </w:r>
      </w:hyperlink>
      <w:r w:rsidR="005D0350" w:rsidRPr="0007250D">
        <w:t xml:space="preserve">), a más tardar el </w:t>
      </w:r>
      <w:r w:rsidR="005D0350" w:rsidRPr="0007250D">
        <w:rPr>
          <w:b/>
          <w:bCs/>
        </w:rPr>
        <w:t>27 de enero de 2021</w:t>
      </w:r>
      <w:r w:rsidR="005D0350" w:rsidRPr="0007250D">
        <w:t>, utilizando</w:t>
      </w:r>
      <w:r w:rsidRPr="0007250D">
        <w:t xml:space="preserve"> la</w:t>
      </w:r>
      <w:r w:rsidR="005D0350" w:rsidRPr="0007250D">
        <w:t>s</w:t>
      </w:r>
      <w:r w:rsidRPr="0007250D">
        <w:t xml:space="preserve"> plantilla</w:t>
      </w:r>
      <w:r w:rsidR="005D0350" w:rsidRPr="0007250D">
        <w:t>s</w:t>
      </w:r>
      <w:r w:rsidRPr="0007250D">
        <w:t xml:space="preserve"> disponible</w:t>
      </w:r>
      <w:r w:rsidR="005D0350" w:rsidRPr="0007250D">
        <w:t>s</w:t>
      </w:r>
      <w:r w:rsidRPr="0007250D">
        <w:t xml:space="preserve"> en la </w:t>
      </w:r>
      <w:hyperlink r:id="rId14" w:history="1">
        <w:r w:rsidRPr="0007250D">
          <w:rPr>
            <w:rStyle w:val="Hyperlink"/>
          </w:rPr>
          <w:t xml:space="preserve">página web del </w:t>
        </w:r>
        <w:r w:rsidR="005D0350" w:rsidRPr="0007250D">
          <w:rPr>
            <w:rStyle w:val="Hyperlink"/>
          </w:rPr>
          <w:t>FG-AN</w:t>
        </w:r>
      </w:hyperlink>
      <w:r w:rsidRPr="0007250D">
        <w:t>. Se facilitará acceso a los documentos</w:t>
      </w:r>
      <w:r w:rsidR="005D0350" w:rsidRPr="0007250D">
        <w:t xml:space="preserve"> de la reunión</w:t>
      </w:r>
      <w:r w:rsidRPr="0007250D">
        <w:t xml:space="preserve"> a través de dicha </w:t>
      </w:r>
      <w:hyperlink r:id="rId15" w:history="1">
        <w:r w:rsidRPr="002C0D72">
          <w:rPr>
            <w:rStyle w:val="Hyperlink"/>
          </w:rPr>
          <w:t>página web</w:t>
        </w:r>
      </w:hyperlink>
      <w:r w:rsidRPr="0007250D">
        <w:t xml:space="preserve"> (es necesaria una cuenta TIES o cuenta de invitado).</w:t>
      </w:r>
    </w:p>
    <w:p w14:paraId="7C680C94" w14:textId="75423F6E" w:rsidR="00DF55ED" w:rsidRPr="0007250D" w:rsidRDefault="003B4A52" w:rsidP="00D0531D">
      <w:bookmarkStart w:id="8" w:name="_Hlk35426551"/>
      <w:r w:rsidRPr="0007250D">
        <w:t>7</w:t>
      </w:r>
      <w:r w:rsidR="00840C9C" w:rsidRPr="0007250D">
        <w:tab/>
      </w:r>
      <w:bookmarkStart w:id="9" w:name="lt_pId084"/>
      <w:bookmarkEnd w:id="8"/>
      <w:r w:rsidR="00AB4368">
        <w:t xml:space="preserve">Durante </w:t>
      </w:r>
      <w:r w:rsidR="00AB4368" w:rsidRPr="0007250D">
        <w:t>los tres días de reunión</w:t>
      </w:r>
      <w:r w:rsidR="00AB4368">
        <w:t>,</w:t>
      </w:r>
      <w:r w:rsidR="00AB4368" w:rsidRPr="0007250D">
        <w:t xml:space="preserve"> </w:t>
      </w:r>
      <w:r w:rsidR="00AB4368">
        <w:t>l</w:t>
      </w:r>
      <w:r w:rsidR="005D0350" w:rsidRPr="0007250D">
        <w:t xml:space="preserve">as sesiones tendrán lugar de las </w:t>
      </w:r>
      <w:r w:rsidR="00380A42" w:rsidRPr="0007250D">
        <w:t>13</w:t>
      </w:r>
      <w:bookmarkEnd w:id="9"/>
      <w:r w:rsidR="005D0350" w:rsidRPr="0007250D">
        <w:t>.</w:t>
      </w:r>
      <w:r w:rsidR="00380A42" w:rsidRPr="0007250D">
        <w:t xml:space="preserve">00 </w:t>
      </w:r>
      <w:r w:rsidR="005D0350" w:rsidRPr="0007250D">
        <w:t>a las</w:t>
      </w:r>
      <w:r w:rsidR="00380A42" w:rsidRPr="0007250D">
        <w:t xml:space="preserve"> 16</w:t>
      </w:r>
      <w:bookmarkStart w:id="10" w:name="lt_pId086"/>
      <w:r w:rsidR="005D0350" w:rsidRPr="0007250D">
        <w:t>.</w:t>
      </w:r>
      <w:r w:rsidR="00380A42" w:rsidRPr="0007250D">
        <w:t>00</w:t>
      </w:r>
      <w:r w:rsidR="005D0350" w:rsidRPr="0007250D">
        <w:t xml:space="preserve"> horas</w:t>
      </w:r>
      <w:r w:rsidR="00380A42" w:rsidRPr="0007250D">
        <w:t xml:space="preserve"> (CET).</w:t>
      </w:r>
      <w:bookmarkEnd w:id="10"/>
      <w:r w:rsidR="00380A42" w:rsidRPr="0007250D">
        <w:t xml:space="preserve"> </w:t>
      </w:r>
      <w:r w:rsidR="005D0350" w:rsidRPr="0007250D">
        <w:t xml:space="preserve">El orden del día de la reunión estará disponible en la </w:t>
      </w:r>
      <w:hyperlink r:id="rId16" w:history="1">
        <w:r w:rsidR="005D0350" w:rsidRPr="0007250D">
          <w:rPr>
            <w:rStyle w:val="Hyperlink"/>
          </w:rPr>
          <w:t>página web de</w:t>
        </w:r>
        <w:r w:rsidR="002C0D72">
          <w:rPr>
            <w:rStyle w:val="Hyperlink"/>
          </w:rPr>
          <w:t>l</w:t>
        </w:r>
        <w:r w:rsidR="005D0350" w:rsidRPr="0007250D">
          <w:rPr>
            <w:rStyle w:val="Hyperlink"/>
          </w:rPr>
          <w:t xml:space="preserve"> FG-AN</w:t>
        </w:r>
      </w:hyperlink>
      <w:r w:rsidR="005D0350" w:rsidRPr="0007250D">
        <w:t xml:space="preserve"> antes de la reunión. </w:t>
      </w:r>
      <w:r w:rsidR="00EF2D68" w:rsidRPr="0007250D">
        <w:t>En la misma página web se publicará l</w:t>
      </w:r>
      <w:r w:rsidR="005D0350" w:rsidRPr="0007250D">
        <w:t xml:space="preserve">a documentación correspondiente, la información </w:t>
      </w:r>
      <w:r w:rsidR="00EF2D68" w:rsidRPr="0007250D">
        <w:t>relativa a</w:t>
      </w:r>
      <w:r w:rsidR="005D0350" w:rsidRPr="0007250D">
        <w:t xml:space="preserve"> la participación a distancia y otr</w:t>
      </w:r>
      <w:r w:rsidR="00EF2D68" w:rsidRPr="0007250D">
        <w:t>os datos conexos.</w:t>
      </w:r>
    </w:p>
    <w:p w14:paraId="1DA76276" w14:textId="18718E76" w:rsidR="00380A42" w:rsidRPr="0007250D" w:rsidRDefault="00380A42" w:rsidP="00D0531D">
      <w:r w:rsidRPr="0007250D">
        <w:t>8</w:t>
      </w:r>
      <w:r w:rsidRPr="0007250D">
        <w:tab/>
      </w:r>
      <w:bookmarkStart w:id="11" w:name="lt_pId090"/>
      <w:r w:rsidR="00EF2D68" w:rsidRPr="0007250D">
        <w:t>La reunión se celebrará exclusivamente en inglés.</w:t>
      </w:r>
      <w:bookmarkEnd w:id="11"/>
    </w:p>
    <w:p w14:paraId="5CE4377E" w14:textId="520317E7" w:rsidR="00380A42" w:rsidRPr="0007250D" w:rsidRDefault="00380A42" w:rsidP="00D0531D">
      <w:r w:rsidRPr="0007250D">
        <w:t>9</w:t>
      </w:r>
      <w:r w:rsidRPr="0007250D">
        <w:tab/>
        <w:t xml:space="preserve">A fin de que la UIT pueda adoptar las disposiciones logísticas necesarias, se invita a los participantes a inscribirse en línea en la </w:t>
      </w:r>
      <w:hyperlink r:id="rId17" w:history="1">
        <w:r w:rsidRPr="0007250D">
          <w:rPr>
            <w:rStyle w:val="Hyperlink"/>
          </w:rPr>
          <w:t>página web del FG-</w:t>
        </w:r>
        <w:r w:rsidR="00EF2D68" w:rsidRPr="0007250D">
          <w:rPr>
            <w:rStyle w:val="Hyperlink"/>
          </w:rPr>
          <w:t>AN</w:t>
        </w:r>
      </w:hyperlink>
      <w:r w:rsidRPr="0007250D">
        <w:t xml:space="preserve"> lo antes posible y </w:t>
      </w:r>
      <w:r w:rsidRPr="0007250D">
        <w:rPr>
          <w:b/>
        </w:rPr>
        <w:t>a más tardar el</w:t>
      </w:r>
      <w:r w:rsidRPr="0007250D">
        <w:rPr>
          <w:b/>
          <w:bCs/>
        </w:rPr>
        <w:t xml:space="preserve"> </w:t>
      </w:r>
      <w:r w:rsidR="00AB4368">
        <w:rPr>
          <w:b/>
          <w:bCs/>
        </w:rPr>
        <w:t>22 de enero</w:t>
      </w:r>
      <w:r w:rsidRPr="0007250D">
        <w:rPr>
          <w:bCs/>
        </w:rPr>
        <w:t>.</w:t>
      </w:r>
      <w:r w:rsidRPr="0007250D">
        <w:rPr>
          <w:rFonts w:ascii="Calibri" w:hAnsi="Calibri"/>
        </w:rPr>
        <w:t xml:space="preserve"> </w:t>
      </w:r>
      <w:r w:rsidR="00AB4368" w:rsidRPr="00AB4368">
        <w:rPr>
          <w:rFonts w:ascii="Calibri" w:hAnsi="Calibri"/>
          <w:b/>
          <w:bCs/>
          <w:u w:val="single"/>
        </w:rPr>
        <w:t>E</w:t>
      </w:r>
      <w:r w:rsidR="00EF2D68" w:rsidRPr="0007250D">
        <w:rPr>
          <w:rFonts w:ascii="Calibri" w:hAnsi="Calibri"/>
          <w:b/>
          <w:bCs/>
          <w:u w:val="single"/>
        </w:rPr>
        <w:t>s obligatori</w:t>
      </w:r>
      <w:r w:rsidR="00AB4368">
        <w:rPr>
          <w:rFonts w:ascii="Calibri" w:hAnsi="Calibri"/>
          <w:b/>
          <w:bCs/>
          <w:u w:val="single"/>
        </w:rPr>
        <w:t>o inscribirse</w:t>
      </w:r>
      <w:r w:rsidR="00EF2D68" w:rsidRPr="0007250D">
        <w:rPr>
          <w:rFonts w:ascii="Calibri" w:hAnsi="Calibri"/>
          <w:b/>
          <w:bCs/>
          <w:u w:val="single"/>
        </w:rPr>
        <w:t xml:space="preserve"> para participar en la reunión del Grupo</w:t>
      </w:r>
      <w:r w:rsidR="00AB4368">
        <w:rPr>
          <w:rFonts w:ascii="Calibri" w:hAnsi="Calibri"/>
          <w:b/>
          <w:bCs/>
          <w:u w:val="single"/>
        </w:rPr>
        <w:t xml:space="preserve"> Temático</w:t>
      </w:r>
      <w:r w:rsidRPr="0007250D">
        <w:rPr>
          <w:bCs/>
        </w:rPr>
        <w:t>.</w:t>
      </w:r>
    </w:p>
    <w:p w14:paraId="734E029F" w14:textId="6E5A5135" w:rsidR="00840C9C" w:rsidRPr="0007250D" w:rsidRDefault="00840C9C" w:rsidP="002C0D72">
      <w:pPr>
        <w:pStyle w:val="Headingb0"/>
        <w:spacing w:after="120"/>
      </w:pPr>
      <w:r w:rsidRPr="0007250D">
        <w:t>Plazos clave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507"/>
      </w:tblGrid>
      <w:tr w:rsidR="00840C9C" w:rsidRPr="0007250D" w14:paraId="465FE001" w14:textId="77777777" w:rsidTr="002F634E">
        <w:trPr>
          <w:jc w:val="center"/>
        </w:trPr>
        <w:tc>
          <w:tcPr>
            <w:tcW w:w="1102" w:type="pct"/>
            <w:shd w:val="clear" w:color="auto" w:fill="auto"/>
          </w:tcPr>
          <w:p w14:paraId="12C7838D" w14:textId="4E153052" w:rsidR="00840C9C" w:rsidRPr="0007250D" w:rsidRDefault="00380A42" w:rsidP="00D0531D">
            <w:pPr>
              <w:pStyle w:val="Tabletext0"/>
              <w:keepNext/>
              <w:keepLines/>
            </w:pPr>
            <w:r w:rsidRPr="0007250D">
              <w:t>22</w:t>
            </w:r>
            <w:r w:rsidR="00840C9C" w:rsidRPr="0007250D">
              <w:t xml:space="preserve"> de </w:t>
            </w:r>
            <w:r w:rsidRPr="0007250D">
              <w:t>enero</w:t>
            </w:r>
            <w:r w:rsidR="00840C9C" w:rsidRPr="0007250D">
              <w:t xml:space="preserve"> de 202</w:t>
            </w:r>
            <w:r w:rsidRPr="0007250D">
              <w:t>1</w:t>
            </w:r>
          </w:p>
        </w:tc>
        <w:tc>
          <w:tcPr>
            <w:tcW w:w="3898" w:type="pct"/>
            <w:shd w:val="clear" w:color="auto" w:fill="auto"/>
          </w:tcPr>
          <w:p w14:paraId="0B0E8062" w14:textId="26EEBCB7" w:rsidR="00840C9C" w:rsidRPr="0007250D" w:rsidRDefault="00840C9C" w:rsidP="00D0531D">
            <w:pPr>
              <w:pStyle w:val="Tabletext0"/>
              <w:ind w:left="284" w:hanging="284"/>
            </w:pPr>
            <w:r w:rsidRPr="0007250D">
              <w:t>–</w:t>
            </w:r>
            <w:r w:rsidRPr="0007250D">
              <w:tab/>
            </w:r>
            <w:r w:rsidR="00EF2D68" w:rsidRPr="0007250D">
              <w:t xml:space="preserve">Inscripción (mediante el formulario de inscripción en línea disponible en la </w:t>
            </w:r>
            <w:hyperlink r:id="rId18" w:history="1">
              <w:r w:rsidR="00EF2D68" w:rsidRPr="0007250D">
                <w:rPr>
                  <w:rStyle w:val="Hyperlink"/>
                </w:rPr>
                <w:t>página web del FG-AN</w:t>
              </w:r>
            </w:hyperlink>
            <w:r w:rsidR="00EF2D68" w:rsidRPr="0007250D">
              <w:t>)</w:t>
            </w:r>
          </w:p>
        </w:tc>
      </w:tr>
      <w:tr w:rsidR="00840C9C" w:rsidRPr="0007250D" w14:paraId="31B772AE" w14:textId="77777777" w:rsidTr="002F634E">
        <w:trPr>
          <w:jc w:val="center"/>
        </w:trPr>
        <w:tc>
          <w:tcPr>
            <w:tcW w:w="1102" w:type="pct"/>
            <w:shd w:val="clear" w:color="auto" w:fill="auto"/>
          </w:tcPr>
          <w:p w14:paraId="67216D3D" w14:textId="0C2B9CB1" w:rsidR="00840C9C" w:rsidRPr="0007250D" w:rsidRDefault="00380A42" w:rsidP="00D0531D">
            <w:pPr>
              <w:pStyle w:val="Tabletext0"/>
            </w:pPr>
            <w:r w:rsidRPr="0007250D">
              <w:t>27</w:t>
            </w:r>
            <w:r w:rsidR="00840C9C" w:rsidRPr="0007250D">
              <w:t xml:space="preserve"> de </w:t>
            </w:r>
            <w:r w:rsidRPr="0007250D">
              <w:t>enero</w:t>
            </w:r>
            <w:r w:rsidR="00840C9C" w:rsidRPr="0007250D">
              <w:t xml:space="preserve"> de 202</w:t>
            </w:r>
            <w:r w:rsidRPr="0007250D">
              <w:t>1</w:t>
            </w:r>
          </w:p>
        </w:tc>
        <w:tc>
          <w:tcPr>
            <w:tcW w:w="3898" w:type="pct"/>
            <w:shd w:val="clear" w:color="auto" w:fill="auto"/>
          </w:tcPr>
          <w:p w14:paraId="0868A610" w14:textId="58B661FE" w:rsidR="00840C9C" w:rsidRPr="0007250D" w:rsidRDefault="00840C9C" w:rsidP="00D0531D">
            <w:pPr>
              <w:pStyle w:val="Tabletext0"/>
              <w:ind w:left="284" w:hanging="284"/>
            </w:pPr>
            <w:r w:rsidRPr="0007250D">
              <w:t>–</w:t>
            </w:r>
            <w:r w:rsidRPr="0007250D">
              <w:tab/>
            </w:r>
            <w:r w:rsidR="00380A42" w:rsidRPr="0007250D">
              <w:t xml:space="preserve">Presentación de las contribuciones por escrito (por correo-e a </w:t>
            </w:r>
            <w:hyperlink r:id="rId19" w:history="1">
              <w:r w:rsidR="00EF2D68" w:rsidRPr="0007250D">
                <w:rPr>
                  <w:rStyle w:val="Hyperlink"/>
                </w:rPr>
                <w:t>tsbfgan@itu.int</w:t>
              </w:r>
            </w:hyperlink>
            <w:r w:rsidR="00EF2D68" w:rsidRPr="0007250D">
              <w:rPr>
                <w:szCs w:val="22"/>
              </w:rPr>
              <w:t>)</w:t>
            </w:r>
            <w:hyperlink r:id="rId20" w:history="1"/>
          </w:p>
        </w:tc>
      </w:tr>
    </w:tbl>
    <w:p w14:paraId="153B514B" w14:textId="3BFA0FB4" w:rsidR="00840C9C" w:rsidRDefault="00840C9C" w:rsidP="00812F3C">
      <w:pPr>
        <w:pStyle w:val="Normalaftertitle0"/>
      </w:pPr>
      <w:r w:rsidRPr="0007250D">
        <w:t xml:space="preserve">Le deseo </w:t>
      </w:r>
      <w:r w:rsidR="00AD25EB" w:rsidRPr="0007250D">
        <w:t xml:space="preserve">mucho éxito en </w:t>
      </w:r>
      <w:r w:rsidR="00AB4368">
        <w:t>el estudio</w:t>
      </w:r>
      <w:r w:rsidR="00AD25EB" w:rsidRPr="0007250D">
        <w:t xml:space="preserve"> de est</w:t>
      </w:r>
      <w:r w:rsidR="004309FF">
        <w:t>e</w:t>
      </w:r>
      <w:r w:rsidR="00AD25EB" w:rsidRPr="0007250D">
        <w:t xml:space="preserve"> nuev</w:t>
      </w:r>
      <w:r w:rsidR="004309FF">
        <w:t>o</w:t>
      </w:r>
      <w:r w:rsidR="00AD25EB" w:rsidRPr="0007250D">
        <w:t xml:space="preserve"> </w:t>
      </w:r>
      <w:r w:rsidR="004309FF">
        <w:t>ámbito</w:t>
      </w:r>
      <w:r w:rsidR="00AD25EB" w:rsidRPr="0007250D">
        <w:t xml:space="preserve"> técnic</w:t>
      </w:r>
      <w:r w:rsidR="004309FF">
        <w:t>o</w:t>
      </w:r>
      <w:r w:rsidR="00AD25EB" w:rsidRPr="0007250D">
        <w:t xml:space="preserve">, así como </w:t>
      </w:r>
      <w:r w:rsidRPr="0007250D">
        <w:t>una reunión</w:t>
      </w:r>
      <w:r w:rsidR="00EF2D68" w:rsidRPr="0007250D">
        <w:t xml:space="preserve"> virtual</w:t>
      </w:r>
      <w:r w:rsidRPr="0007250D">
        <w:t xml:space="preserve"> agradable y productiva.</w:t>
      </w:r>
    </w:p>
    <w:p w14:paraId="19483425" w14:textId="674627FD" w:rsidR="0029652A" w:rsidRPr="0029652A" w:rsidRDefault="0029652A" w:rsidP="00B11BC6">
      <w:r w:rsidRPr="0029652A">
        <w:t>Atentamente,</w:t>
      </w:r>
    </w:p>
    <w:p w14:paraId="62A6E1E8" w14:textId="09790AC7" w:rsidR="0029652A" w:rsidRPr="0007250D" w:rsidRDefault="00AE32F9" w:rsidP="00B11BC6">
      <w:pPr>
        <w:spacing w:before="96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F593948" wp14:editId="60525D69">
            <wp:simplePos x="0" y="0"/>
            <wp:positionH relativeFrom="column">
              <wp:posOffset>-1905</wp:posOffset>
            </wp:positionH>
            <wp:positionV relativeFrom="paragraph">
              <wp:posOffset>144780</wp:posOffset>
            </wp:positionV>
            <wp:extent cx="740206" cy="333375"/>
            <wp:effectExtent l="0" t="0" r="3175" b="0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206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652A" w:rsidRPr="0029652A">
        <w:t>Chaesub Lee</w:t>
      </w:r>
      <w:r w:rsidR="0029652A" w:rsidRPr="0029652A">
        <w:br/>
      </w:r>
      <w:proofErr w:type="gramStart"/>
      <w:r w:rsidR="0029652A" w:rsidRPr="0029652A">
        <w:t>Director</w:t>
      </w:r>
      <w:proofErr w:type="gramEnd"/>
      <w:r w:rsidR="0029652A" w:rsidRPr="0029652A">
        <w:t xml:space="preserve"> de la Oficina de</w:t>
      </w:r>
      <w:r w:rsidR="0029652A" w:rsidRPr="0029652A">
        <w:br/>
        <w:t>Normalización de las Telecomunicaciones</w:t>
      </w:r>
    </w:p>
    <w:p w14:paraId="388B44A7" w14:textId="77777777" w:rsidR="00A97077" w:rsidRPr="0029652A" w:rsidRDefault="00380A42" w:rsidP="0029652A">
      <w:pPr>
        <w:spacing w:before="600"/>
      </w:pPr>
      <w:bookmarkStart w:id="12" w:name="lt_pId106"/>
      <w:r w:rsidRPr="0007250D">
        <w:rPr>
          <w:b/>
          <w:bCs/>
        </w:rPr>
        <w:t>Anex</w:t>
      </w:r>
      <w:r w:rsidR="00EF2D68" w:rsidRPr="0007250D">
        <w:rPr>
          <w:b/>
          <w:bCs/>
        </w:rPr>
        <w:t>o</w:t>
      </w:r>
      <w:r w:rsidRPr="0007250D">
        <w:rPr>
          <w:b/>
          <w:bCs/>
        </w:rPr>
        <w:t>s</w:t>
      </w:r>
      <w:r w:rsidRPr="0029652A">
        <w:t>:</w:t>
      </w:r>
      <w:bookmarkEnd w:id="12"/>
      <w:r w:rsidRPr="0029652A">
        <w:t xml:space="preserve"> 1</w:t>
      </w:r>
    </w:p>
    <w:p w14:paraId="633BFB9C" w14:textId="67DA30B4" w:rsidR="00380A42" w:rsidRPr="0007250D" w:rsidRDefault="00380A42" w:rsidP="00A97077">
      <w:r w:rsidRPr="0007250D">
        <w:br w:type="page"/>
      </w:r>
    </w:p>
    <w:p w14:paraId="6451F067" w14:textId="3EC69F0B" w:rsidR="00380A42" w:rsidRPr="0007250D" w:rsidRDefault="0029652A" w:rsidP="00D0531D">
      <w:pPr>
        <w:pStyle w:val="AnnexNotitle"/>
      </w:pPr>
      <w:r w:rsidRPr="0007250D">
        <w:rPr>
          <w:bCs/>
        </w:rPr>
        <w:lastRenderedPageBreak/>
        <w:t xml:space="preserve">Anexo </w:t>
      </w:r>
      <w:r w:rsidR="00380A42" w:rsidRPr="0007250D">
        <w:rPr>
          <w:bCs/>
        </w:rPr>
        <w:t>1</w:t>
      </w:r>
      <w:r w:rsidR="00380A42" w:rsidRPr="0007250D">
        <w:rPr>
          <w:bCs/>
        </w:rPr>
        <w:br/>
      </w:r>
      <w:r w:rsidR="00380A42" w:rsidRPr="0007250D">
        <w:rPr>
          <w:bCs/>
        </w:rPr>
        <w:br/>
      </w:r>
      <w:r w:rsidR="00AB4368" w:rsidRPr="0007250D">
        <w:t>Mandato</w:t>
      </w:r>
      <w:r w:rsidR="00380A42" w:rsidRPr="0007250D">
        <w:t>:</w:t>
      </w:r>
      <w:r w:rsidR="00380A42" w:rsidRPr="0007250D">
        <w:br/>
      </w:r>
      <w:r w:rsidR="00AB4368" w:rsidRPr="0007250D">
        <w:t xml:space="preserve">Grupo Temático del </w:t>
      </w:r>
      <w:r w:rsidR="00380A42" w:rsidRPr="0007250D">
        <w:t xml:space="preserve">UIT-T </w:t>
      </w:r>
      <w:r w:rsidR="00AB4368" w:rsidRPr="0007250D">
        <w:t xml:space="preserve">sobre Redes Autónomas </w:t>
      </w:r>
      <w:r w:rsidR="00380A42" w:rsidRPr="0007250D">
        <w:t>(FG-</w:t>
      </w:r>
      <w:r w:rsidR="00AD25EB" w:rsidRPr="0007250D">
        <w:t>AN</w:t>
      </w:r>
      <w:r w:rsidR="00380A42" w:rsidRPr="0007250D">
        <w:t>)</w:t>
      </w:r>
    </w:p>
    <w:p w14:paraId="4F414356" w14:textId="13FAB228" w:rsidR="00380A42" w:rsidRPr="0007250D" w:rsidRDefault="00380A42" w:rsidP="00D0531D">
      <w:pPr>
        <w:pStyle w:val="Heading1"/>
        <w:rPr>
          <w:lang w:eastAsia="zh-CN"/>
        </w:rPr>
      </w:pPr>
      <w:r w:rsidRPr="0007250D">
        <w:t>1</w:t>
      </w:r>
      <w:r w:rsidRPr="0007250D">
        <w:tab/>
        <w:t>Motivación y alcance</w:t>
      </w:r>
    </w:p>
    <w:p w14:paraId="280A724F" w14:textId="7FB086B2" w:rsidR="00380A42" w:rsidRPr="0007250D" w:rsidRDefault="00D0531D" w:rsidP="00A97077">
      <w:bookmarkStart w:id="13" w:name="lt_pId113"/>
      <w:r w:rsidRPr="0007250D">
        <w:t>La</w:t>
      </w:r>
      <w:r w:rsidR="006352CA" w:rsidRPr="0007250D">
        <w:t xml:space="preserve"> infraestructura que </w:t>
      </w:r>
      <w:r w:rsidR="00AB4368">
        <w:t>conforman</w:t>
      </w:r>
      <w:r w:rsidR="006352CA" w:rsidRPr="0007250D">
        <w:t xml:space="preserve"> la</w:t>
      </w:r>
      <w:r w:rsidRPr="0007250D">
        <w:t xml:space="preserve"> redes de comunicación actuales y futuras </w:t>
      </w:r>
      <w:r w:rsidR="006352CA" w:rsidRPr="0007250D">
        <w:t xml:space="preserve">ocupa un lugar central </w:t>
      </w:r>
      <w:r w:rsidRPr="0007250D">
        <w:t>e</w:t>
      </w:r>
      <w:r w:rsidR="006352CA" w:rsidRPr="0007250D">
        <w:t>n</w:t>
      </w:r>
      <w:r w:rsidRPr="0007250D">
        <w:t xml:space="preserve"> la vida cotidiana</w:t>
      </w:r>
      <w:r w:rsidR="006352CA" w:rsidRPr="0007250D">
        <w:t xml:space="preserve"> de las personas y da soporte a todo tipo de interacciones</w:t>
      </w:r>
      <w:r w:rsidRPr="0007250D">
        <w:t xml:space="preserve">, desde el estudio hasta el comercio y desde el ocio hasta los servicios de emergencia. A medida que la demanda y las expectativas </w:t>
      </w:r>
      <w:r w:rsidR="006352CA" w:rsidRPr="0007250D">
        <w:t>vinculadas a</w:t>
      </w:r>
      <w:r w:rsidRPr="0007250D">
        <w:t xml:space="preserve"> las redes de comunicación </w:t>
      </w:r>
      <w:r w:rsidR="006352CA" w:rsidRPr="0007250D">
        <w:t xml:space="preserve">crecen, </w:t>
      </w:r>
      <w:r w:rsidRPr="0007250D">
        <w:t xml:space="preserve">debido </w:t>
      </w:r>
      <w:r w:rsidR="00CB6647">
        <w:t>a la ampliación</w:t>
      </w:r>
      <w:r w:rsidRPr="0007250D">
        <w:t xml:space="preserve"> de la</w:t>
      </w:r>
      <w:r w:rsidR="006352CA" w:rsidRPr="0007250D">
        <w:t xml:space="preserve"> base de abonado</w:t>
      </w:r>
      <w:r w:rsidRPr="0007250D">
        <w:t xml:space="preserve">s y a las nuevas expectativas de servicio, los operadores deben encontrar nuevas formas de hacer frente a </w:t>
      </w:r>
      <w:r w:rsidR="00AB4368">
        <w:t>las</w:t>
      </w:r>
      <w:r w:rsidRPr="0007250D">
        <w:t xml:space="preserve"> presiones</w:t>
      </w:r>
      <w:r w:rsidR="00AB4368">
        <w:t xml:space="preserve"> conexas</w:t>
      </w:r>
      <w:r w:rsidR="006352CA" w:rsidRPr="0007250D">
        <w:t>, manteniendo bajo control los gastos de explotación</w:t>
      </w:r>
      <w:r w:rsidRPr="0007250D">
        <w:t xml:space="preserve">. Mediante la transformación digital </w:t>
      </w:r>
      <w:r w:rsidR="006352CA" w:rsidRPr="0007250D">
        <w:t xml:space="preserve">encaminada </w:t>
      </w:r>
      <w:r w:rsidRPr="0007250D">
        <w:t>a la virtualización de</w:t>
      </w:r>
      <w:r w:rsidR="006352CA" w:rsidRPr="0007250D">
        <w:t xml:space="preserve">l </w:t>
      </w:r>
      <w:r w:rsidR="006352CA" w:rsidRPr="002F634E">
        <w:rPr>
          <w:i/>
          <w:iCs/>
        </w:rPr>
        <w:t>software</w:t>
      </w:r>
      <w:r w:rsidRPr="0007250D">
        <w:t xml:space="preserve">, los operadores han </w:t>
      </w:r>
      <w:r w:rsidR="006352CA" w:rsidRPr="0007250D">
        <w:t xml:space="preserve">ido unificando </w:t>
      </w:r>
      <w:r w:rsidRPr="0007250D">
        <w:t>y simplifica</w:t>
      </w:r>
      <w:r w:rsidR="006352CA" w:rsidRPr="0007250D">
        <w:t>n</w:t>
      </w:r>
      <w:r w:rsidRPr="0007250D">
        <w:t xml:space="preserve">do </w:t>
      </w:r>
      <w:r w:rsidR="006352CA" w:rsidRPr="0007250D">
        <w:t>progresivamente</w:t>
      </w:r>
      <w:r w:rsidRPr="0007250D">
        <w:t xml:space="preserve"> la infraestructura de telecomunicaciones</w:t>
      </w:r>
      <w:r w:rsidR="00AB4368">
        <w:t xml:space="preserve"> y han </w:t>
      </w:r>
      <w:r w:rsidR="006352CA" w:rsidRPr="0007250D">
        <w:t>presenta</w:t>
      </w:r>
      <w:r w:rsidR="00CB6647">
        <w:t>do</w:t>
      </w:r>
      <w:r w:rsidR="006352CA" w:rsidRPr="0007250D">
        <w:t xml:space="preserve"> un </w:t>
      </w:r>
      <w:r w:rsidRPr="0007250D">
        <w:rPr>
          <w:i/>
          <w:iCs/>
        </w:rPr>
        <w:t>mecanismo</w:t>
      </w:r>
      <w:r w:rsidRPr="0007250D">
        <w:t xml:space="preserve"> para</w:t>
      </w:r>
      <w:r w:rsidR="006352CA" w:rsidRPr="0007250D">
        <w:t xml:space="preserve"> la gestión de</w:t>
      </w:r>
      <w:r w:rsidRPr="0007250D">
        <w:t xml:space="preserve"> la red. </w:t>
      </w:r>
      <w:r w:rsidR="006352CA" w:rsidRPr="0007250D">
        <w:t>No obstante</w:t>
      </w:r>
      <w:r w:rsidRPr="0007250D">
        <w:t xml:space="preserve">, el </w:t>
      </w:r>
      <w:r w:rsidRPr="0007250D">
        <w:rPr>
          <w:i/>
          <w:iCs/>
        </w:rPr>
        <w:t>control</w:t>
      </w:r>
      <w:r w:rsidRPr="0007250D">
        <w:t xml:space="preserve"> de</w:t>
      </w:r>
      <w:r w:rsidR="006352CA" w:rsidRPr="0007250D">
        <w:t xml:space="preserve"> este </w:t>
      </w:r>
      <w:r w:rsidRPr="0007250D">
        <w:t xml:space="preserve">mecanismo sigue </w:t>
      </w:r>
      <w:r w:rsidR="00CB6647">
        <w:t>dependiendo</w:t>
      </w:r>
      <w:r w:rsidRPr="0007250D">
        <w:t xml:space="preserve"> principalmente </w:t>
      </w:r>
      <w:r w:rsidR="00CB6647">
        <w:t xml:space="preserve">de </w:t>
      </w:r>
      <w:r w:rsidRPr="0007250D">
        <w:t xml:space="preserve">operadores humanos o </w:t>
      </w:r>
      <w:r w:rsidR="00CB6647">
        <w:t>de</w:t>
      </w:r>
      <w:r w:rsidRPr="0007250D">
        <w:t xml:space="preserve"> procesos automatizados bien definidos. Los operadores humanos </w:t>
      </w:r>
      <w:r w:rsidR="0020051C" w:rsidRPr="0007250D">
        <w:t>carecen de</w:t>
      </w:r>
      <w:r w:rsidRPr="0007250D">
        <w:t xml:space="preserve"> la capacidad necesaria para dar una respuesta oportuna ante las presiones </w:t>
      </w:r>
      <w:r w:rsidR="0020051C" w:rsidRPr="0007250D">
        <w:t xml:space="preserve">antes </w:t>
      </w:r>
      <w:r w:rsidRPr="0007250D">
        <w:t>mencionadas y l</w:t>
      </w:r>
      <w:r w:rsidR="0020051C" w:rsidRPr="0007250D">
        <w:t>os procesos de</w:t>
      </w:r>
      <w:r w:rsidRPr="0007250D">
        <w:t xml:space="preserve"> automatización predefinida no</w:t>
      </w:r>
      <w:r w:rsidR="0020051C" w:rsidRPr="0007250D">
        <w:t xml:space="preserve"> pueden </w:t>
      </w:r>
      <w:r w:rsidRPr="0007250D">
        <w:t>adaptarse a</w:t>
      </w:r>
      <w:r w:rsidR="0020051C" w:rsidRPr="0007250D">
        <w:t xml:space="preserve"> un entorno en constante evolución, ni </w:t>
      </w:r>
      <w:r w:rsidRPr="0007250D">
        <w:t>a</w:t>
      </w:r>
      <w:r w:rsidR="00AB4368">
        <w:t>l cúmulo de</w:t>
      </w:r>
      <w:r w:rsidRPr="0007250D">
        <w:t xml:space="preserve"> problemas </w:t>
      </w:r>
      <w:r w:rsidR="00AB4368">
        <w:t>detectados en las</w:t>
      </w:r>
      <w:r w:rsidRPr="0007250D">
        <w:t xml:space="preserve"> red</w:t>
      </w:r>
      <w:r w:rsidR="00AB4368">
        <w:t>es</w:t>
      </w:r>
      <w:r w:rsidRPr="0007250D">
        <w:t xml:space="preserve"> moderna</w:t>
      </w:r>
      <w:r w:rsidR="00AB4368">
        <w:t>s</w:t>
      </w:r>
      <w:r w:rsidRPr="0007250D">
        <w:t xml:space="preserve"> de </w:t>
      </w:r>
      <w:r w:rsidR="0020051C" w:rsidRPr="002F634E">
        <w:rPr>
          <w:i/>
          <w:iCs/>
        </w:rPr>
        <w:t>software</w:t>
      </w:r>
      <w:r w:rsidRPr="0007250D">
        <w:t xml:space="preserve"> de telecomunicaciones. De ahí la necesidad de que las futuras redes se conviertan en </w:t>
      </w:r>
      <w:r w:rsidRPr="0007250D">
        <w:rPr>
          <w:i/>
          <w:iCs/>
        </w:rPr>
        <w:t>redes autónomas</w:t>
      </w:r>
      <w:r w:rsidRPr="0007250D">
        <w:t>.</w:t>
      </w:r>
      <w:bookmarkEnd w:id="13"/>
    </w:p>
    <w:p w14:paraId="33D00A0E" w14:textId="3E6E9D67" w:rsidR="00380A42" w:rsidRPr="0007250D" w:rsidRDefault="00D0531D" w:rsidP="00A97077">
      <w:bookmarkStart w:id="14" w:name="lt_pId119"/>
      <w:r w:rsidRPr="0007250D">
        <w:t>Las redes autónomas son</w:t>
      </w:r>
      <w:r w:rsidR="0020051C" w:rsidRPr="0007250D">
        <w:t xml:space="preserve"> redes</w:t>
      </w:r>
      <w:r w:rsidR="00AB4368">
        <w:t xml:space="preserve"> capaces </w:t>
      </w:r>
      <w:r w:rsidRPr="0007250D">
        <w:t>de vigilar</w:t>
      </w:r>
      <w:r w:rsidR="0020051C" w:rsidRPr="0007250D">
        <w:t>se</w:t>
      </w:r>
      <w:r w:rsidRPr="0007250D">
        <w:t>,</w:t>
      </w:r>
      <w:r w:rsidR="0020051C" w:rsidRPr="0007250D">
        <w:t xml:space="preserve"> explotarse, </w:t>
      </w:r>
      <w:r w:rsidR="0007250D">
        <w:t>r</w:t>
      </w:r>
      <w:r w:rsidRPr="0007250D">
        <w:t>ecuperar</w:t>
      </w:r>
      <w:r w:rsidR="0020051C" w:rsidRPr="0007250D">
        <w:t>se</w:t>
      </w:r>
      <w:r w:rsidRPr="0007250D">
        <w:t xml:space="preserve">, </w:t>
      </w:r>
      <w:r w:rsidR="0007250D" w:rsidRPr="0007250D">
        <w:t>restablecerse</w:t>
      </w:r>
      <w:r w:rsidRPr="0007250D">
        <w:t>, proteger</w:t>
      </w:r>
      <w:r w:rsidR="0020051C" w:rsidRPr="0007250D">
        <w:t>se</w:t>
      </w:r>
      <w:r w:rsidRPr="0007250D">
        <w:t xml:space="preserve">, </w:t>
      </w:r>
      <w:r w:rsidR="0020051C" w:rsidRPr="0007250D">
        <w:t>o</w:t>
      </w:r>
      <w:r w:rsidRPr="0007250D">
        <w:t>ptimizar</w:t>
      </w:r>
      <w:r w:rsidR="0020051C" w:rsidRPr="0007250D">
        <w:t>se</w:t>
      </w:r>
      <w:r w:rsidRPr="0007250D">
        <w:t xml:space="preserve"> y configurarse</w:t>
      </w:r>
      <w:r w:rsidR="0007250D">
        <w:t xml:space="preserve"> a sí mismas</w:t>
      </w:r>
      <w:r w:rsidR="00AB4368">
        <w:t>, es decir, redes dotadas de lo que</w:t>
      </w:r>
      <w:r w:rsidR="0020051C" w:rsidRPr="0007250D">
        <w:t xml:space="preserve"> se </w:t>
      </w:r>
      <w:r w:rsidRPr="0007250D">
        <w:t xml:space="preserve">conoce comúnmente como propiedades </w:t>
      </w:r>
      <w:r w:rsidR="0007250D">
        <w:t>reflexivas</w:t>
      </w:r>
      <w:r w:rsidRPr="0007250D">
        <w:t xml:space="preserve">. </w:t>
      </w:r>
      <w:r w:rsidR="00B516DF" w:rsidRPr="0007250D">
        <w:t>L</w:t>
      </w:r>
      <w:r w:rsidRPr="0007250D">
        <w:t>a autonomía</w:t>
      </w:r>
      <w:r w:rsidR="00B516DF" w:rsidRPr="0007250D">
        <w:t xml:space="preserve"> repercut</w:t>
      </w:r>
      <w:r w:rsidR="00AB4368">
        <w:t>e</w:t>
      </w:r>
      <w:r w:rsidR="00B516DF" w:rsidRPr="0007250D">
        <w:t xml:space="preserve"> en todos los ámbitos de</w:t>
      </w:r>
      <w:r w:rsidRPr="0007250D">
        <w:t xml:space="preserve"> la red, inclu</w:t>
      </w:r>
      <w:r w:rsidR="00B516DF" w:rsidRPr="0007250D">
        <w:t xml:space="preserve">idas </w:t>
      </w:r>
      <w:r w:rsidRPr="0007250D">
        <w:t xml:space="preserve">la planificación, la seguridad, la auditoría, </w:t>
      </w:r>
      <w:r w:rsidR="00B516DF" w:rsidRPr="0007250D">
        <w:t>la catalogación</w:t>
      </w:r>
      <w:r w:rsidRPr="0007250D">
        <w:t xml:space="preserve">, la optimización, la orquestación y la calidad </w:t>
      </w:r>
      <w:r w:rsidR="00B516DF" w:rsidRPr="0007250D">
        <w:t>percibida</w:t>
      </w:r>
      <w:r w:rsidRPr="0007250D">
        <w:t>. Al mismo tiempo, la autonomía plantea</w:t>
      </w:r>
      <w:r w:rsidR="00CB6647">
        <w:t xml:space="preserve"> una serie de</w:t>
      </w:r>
      <w:r w:rsidRPr="0007250D">
        <w:t xml:space="preserve"> cuestiones</w:t>
      </w:r>
      <w:r w:rsidR="00B516DF" w:rsidRPr="0007250D">
        <w:t xml:space="preserve"> relacionadas con l</w:t>
      </w:r>
      <w:r w:rsidRPr="0007250D">
        <w:t xml:space="preserve">a responsabilidad de </w:t>
      </w:r>
      <w:r w:rsidR="00395674">
        <w:t>las</w:t>
      </w:r>
      <w:r w:rsidRPr="0007250D">
        <w:t xml:space="preserve"> decisiones</w:t>
      </w:r>
      <w:r w:rsidR="00CB6647">
        <w:t xml:space="preserve"> no adoptadas </w:t>
      </w:r>
      <w:r w:rsidR="00B516DF" w:rsidRPr="0007250D">
        <w:t>por</w:t>
      </w:r>
      <w:r w:rsidRPr="0007250D">
        <w:t xml:space="preserve"> </w:t>
      </w:r>
      <w:r w:rsidR="00CB6647">
        <w:t>personas</w:t>
      </w:r>
      <w:r w:rsidR="00395674">
        <w:t xml:space="preserve"> que</w:t>
      </w:r>
      <w:r w:rsidRPr="0007250D">
        <w:t xml:space="preserve"> afectan a los clientes.</w:t>
      </w:r>
      <w:bookmarkEnd w:id="14"/>
    </w:p>
    <w:p w14:paraId="0907EFDD" w14:textId="3DCDDA15" w:rsidR="00B516DF" w:rsidRPr="0007250D" w:rsidRDefault="00395674" w:rsidP="00A97077">
      <w:bookmarkStart w:id="15" w:name="lt_pId123"/>
      <w:r w:rsidRPr="0007250D">
        <w:t>En el ámbito de las telecomunicaciones</w:t>
      </w:r>
      <w:r>
        <w:t>,</w:t>
      </w:r>
      <w:r w:rsidRPr="0007250D">
        <w:t xml:space="preserve"> </w:t>
      </w:r>
      <w:r>
        <w:t>l</w:t>
      </w:r>
      <w:r w:rsidR="00D0531D" w:rsidRPr="0007250D">
        <w:t xml:space="preserve">os avances en la virtualización y las tecnologías </w:t>
      </w:r>
      <w:r w:rsidR="00B516DF" w:rsidRPr="0007250D">
        <w:t>de computación en la</w:t>
      </w:r>
      <w:r w:rsidR="00D0531D" w:rsidRPr="0007250D">
        <w:t xml:space="preserve"> nube han allanado el camino para el control autónomo de</w:t>
      </w:r>
      <w:r w:rsidR="00B516DF" w:rsidRPr="0007250D">
        <w:t xml:space="preserve">l </w:t>
      </w:r>
      <w:r w:rsidR="00B516DF" w:rsidRPr="002F634E">
        <w:rPr>
          <w:i/>
          <w:iCs/>
        </w:rPr>
        <w:t>software</w:t>
      </w:r>
      <w:r w:rsidR="00D0531D" w:rsidRPr="0007250D">
        <w:t xml:space="preserve">. Las </w:t>
      </w:r>
      <w:r w:rsidR="00B516DF" w:rsidRPr="0007250D">
        <w:t xml:space="preserve">tecnologías de computación en la nube y la virtualización del </w:t>
      </w:r>
      <w:r w:rsidR="00B516DF" w:rsidRPr="002F634E">
        <w:rPr>
          <w:i/>
          <w:iCs/>
        </w:rPr>
        <w:t>software</w:t>
      </w:r>
      <w:r w:rsidR="00B516DF" w:rsidRPr="0007250D">
        <w:t xml:space="preserve"> han hecho </w:t>
      </w:r>
      <w:r w:rsidR="00B516DF" w:rsidRPr="0070095B">
        <w:t>posibles</w:t>
      </w:r>
      <w:r w:rsidR="00B516DF" w:rsidRPr="0007250D">
        <w:t xml:space="preserve"> unas </w:t>
      </w:r>
      <w:r w:rsidR="00D0531D" w:rsidRPr="0007250D">
        <w:t>arquitecturas de red más propicias a la integración de las tecnologías de aprendizaje automático</w:t>
      </w:r>
      <w:r w:rsidR="00B516DF" w:rsidRPr="0007250D">
        <w:t xml:space="preserve"> y</w:t>
      </w:r>
      <w:r w:rsidR="00D0531D" w:rsidRPr="0007250D">
        <w:t>,</w:t>
      </w:r>
      <w:r w:rsidR="00B516DF" w:rsidRPr="0007250D">
        <w:t xml:space="preserve"> en última instancia, a la automatización de</w:t>
      </w:r>
      <w:r w:rsidR="00D0531D" w:rsidRPr="0007250D">
        <w:t xml:space="preserve"> su </w:t>
      </w:r>
      <w:r w:rsidR="00B516DF" w:rsidRPr="0007250D">
        <w:t>funcionamiento.</w:t>
      </w:r>
      <w:r w:rsidR="00D0531D" w:rsidRPr="0007250D">
        <w:t xml:space="preserve"> La labor realizada en l</w:t>
      </w:r>
      <w:r w:rsidR="00B516DF" w:rsidRPr="0007250D">
        <w:t>a Comisión de Estudio</w:t>
      </w:r>
      <w:r w:rsidR="00D0531D" w:rsidRPr="0007250D">
        <w:t xml:space="preserve"> 13 en relación con los casos de uso, los requisitos y la arquitectura de la computación en</w:t>
      </w:r>
      <w:r w:rsidR="00B516DF" w:rsidRPr="0007250D">
        <w:t xml:space="preserve"> la</w:t>
      </w:r>
      <w:r w:rsidR="00D0531D" w:rsidRPr="0007250D">
        <w:t xml:space="preserve"> nube y la integración de la </w:t>
      </w:r>
      <w:r w:rsidR="00B516DF" w:rsidRPr="0007250D">
        <w:t>inteligencia artificial</w:t>
      </w:r>
      <w:r>
        <w:t xml:space="preserve"> </w:t>
      </w:r>
      <w:r w:rsidR="00B516DF" w:rsidRPr="0007250D">
        <w:t>(</w:t>
      </w:r>
      <w:r w:rsidR="00D0531D" w:rsidRPr="0007250D">
        <w:t>IA</w:t>
      </w:r>
      <w:r w:rsidR="00B516DF" w:rsidRPr="0007250D">
        <w:t>) y el aprendizaje automático (</w:t>
      </w:r>
      <w:r w:rsidR="00D0531D" w:rsidRPr="0007250D">
        <w:t>ML</w:t>
      </w:r>
      <w:r w:rsidR="00B516DF" w:rsidRPr="0007250D">
        <w:t>)</w:t>
      </w:r>
      <w:r w:rsidR="00D0531D" w:rsidRPr="0007250D">
        <w:t xml:space="preserve"> en las redes</w:t>
      </w:r>
      <w:r w:rsidRPr="00395674">
        <w:t xml:space="preserve"> </w:t>
      </w:r>
      <w:r w:rsidRPr="0007250D">
        <w:t>futuras</w:t>
      </w:r>
      <w:r w:rsidR="00D0531D" w:rsidRPr="0007250D">
        <w:t>, incluida la 5G, es</w:t>
      </w:r>
      <w:r w:rsidR="00B516DF" w:rsidRPr="0007250D">
        <w:t xml:space="preserve"> perfectamente acorde a </w:t>
      </w:r>
      <w:r w:rsidR="00D0531D" w:rsidRPr="0007250D">
        <w:t>la propuesta de</w:t>
      </w:r>
      <w:r w:rsidR="00B516DF" w:rsidRPr="0007250D">
        <w:t xml:space="preserve"> creación de</w:t>
      </w:r>
      <w:r w:rsidR="00D0531D" w:rsidRPr="0007250D">
        <w:t xml:space="preserve"> un Grupo </w:t>
      </w:r>
      <w:r w:rsidR="00B516DF" w:rsidRPr="0007250D">
        <w:t xml:space="preserve">Temático </w:t>
      </w:r>
      <w:r w:rsidR="00D0531D" w:rsidRPr="0007250D">
        <w:t>sobre Redes Autónomas (FG</w:t>
      </w:r>
      <w:r w:rsidR="00D773E8">
        <w:t>-</w:t>
      </w:r>
      <w:r w:rsidR="00D0531D" w:rsidRPr="0007250D">
        <w:t>AN).</w:t>
      </w:r>
      <w:bookmarkStart w:id="16" w:name="lt_pId126"/>
      <w:bookmarkEnd w:id="15"/>
    </w:p>
    <w:p w14:paraId="0B9F888B" w14:textId="235BD6DD" w:rsidR="00380A42" w:rsidRPr="0007250D" w:rsidRDefault="00D0531D" w:rsidP="00A97077">
      <w:r w:rsidRPr="0007250D">
        <w:t xml:space="preserve">Dada la magnitud del desafío, este Grupo </w:t>
      </w:r>
      <w:r w:rsidR="00FE7811" w:rsidRPr="0007250D">
        <w:t>Temático</w:t>
      </w:r>
      <w:r w:rsidRPr="0007250D">
        <w:t xml:space="preserve"> </w:t>
      </w:r>
      <w:r w:rsidR="00FE7811" w:rsidRPr="0007250D">
        <w:t>ejercerá las veces de</w:t>
      </w:r>
      <w:r w:rsidRPr="0007250D">
        <w:t xml:space="preserve"> plataforma abierta para el estudio prenormativo </w:t>
      </w:r>
      <w:r w:rsidR="00FE7811" w:rsidRPr="0007250D">
        <w:t>de las</w:t>
      </w:r>
      <w:r w:rsidRPr="0007250D">
        <w:t xml:space="preserve"> redes autónomas, permitiendo </w:t>
      </w:r>
      <w:r w:rsidR="00FE7811" w:rsidRPr="0007250D">
        <w:t xml:space="preserve">así </w:t>
      </w:r>
      <w:r w:rsidRPr="0007250D">
        <w:t xml:space="preserve">la colaboración entre expertos de la UIT, </w:t>
      </w:r>
      <w:r w:rsidR="00FE7811" w:rsidRPr="0007250D">
        <w:t>organizaciones de normalización</w:t>
      </w:r>
      <w:r w:rsidRPr="0007250D">
        <w:t>,</w:t>
      </w:r>
      <w:r w:rsidR="00FE7811" w:rsidRPr="0007250D">
        <w:t xml:space="preserve"> empresas e instituciones académicas y la creación de sinergias entre los talentos y los</w:t>
      </w:r>
      <w:r w:rsidRPr="0007250D">
        <w:t xml:space="preserve"> conocimientos</w:t>
      </w:r>
      <w:r w:rsidR="00FE7811" w:rsidRPr="0007250D">
        <w:t xml:space="preserve"> teóricos y prácticos </w:t>
      </w:r>
      <w:r w:rsidRPr="0007250D">
        <w:t xml:space="preserve">adecuados para abordar la </w:t>
      </w:r>
      <w:r w:rsidR="00FE7811" w:rsidRPr="0007250D">
        <w:t xml:space="preserve">cuestión de la </w:t>
      </w:r>
      <w:r w:rsidRPr="0007250D">
        <w:t xml:space="preserve">autonomía </w:t>
      </w:r>
      <w:r w:rsidR="00FE7811" w:rsidRPr="0007250D">
        <w:t>de</w:t>
      </w:r>
      <w:r w:rsidRPr="0007250D">
        <w:t xml:space="preserve"> las redes futuras de manera oportuna. El Grupo</w:t>
      </w:r>
      <w:r w:rsidR="00FE7811" w:rsidRPr="0007250D">
        <w:t xml:space="preserve"> Temático</w:t>
      </w:r>
      <w:r w:rsidRPr="0007250D">
        <w:t xml:space="preserve"> </w:t>
      </w:r>
      <w:r w:rsidR="00FE7811" w:rsidRPr="0007250D">
        <w:t>estudiará</w:t>
      </w:r>
      <w:r w:rsidRPr="0007250D">
        <w:t xml:space="preserve"> técnicas de inteligencia creativa que </w:t>
      </w:r>
      <w:r w:rsidR="00FE7811" w:rsidRPr="0007250D">
        <w:t>saquen partido de</w:t>
      </w:r>
      <w:r w:rsidRPr="0007250D">
        <w:t xml:space="preserve"> los mecanismos de evolución en línea, </w:t>
      </w:r>
      <w:r w:rsidR="00FE7811" w:rsidRPr="0007250D">
        <w:t>utilizando</w:t>
      </w:r>
      <w:r w:rsidRPr="0007250D">
        <w:t xml:space="preserve"> la adaptación como catalizador para lograr redes autónomas. El </w:t>
      </w:r>
      <w:r w:rsidR="00FE7811" w:rsidRPr="0007250D">
        <w:t>Grupo Temático</w:t>
      </w:r>
      <w:r w:rsidRPr="0007250D">
        <w:t xml:space="preserve"> </w:t>
      </w:r>
      <w:r w:rsidR="00FE7811" w:rsidRPr="0007250D">
        <w:t>analizará</w:t>
      </w:r>
      <w:r w:rsidRPr="0007250D">
        <w:t xml:space="preserve"> y estudiará </w:t>
      </w:r>
      <w:r w:rsidR="00FE7811" w:rsidRPr="0007250D">
        <w:t>conceptos tales</w:t>
      </w:r>
      <w:r w:rsidRPr="0007250D">
        <w:t xml:space="preserve"> como la evolución exploratoria, </w:t>
      </w:r>
      <w:r w:rsidR="00395674">
        <w:t>los</w:t>
      </w:r>
      <w:r w:rsidRPr="0007250D">
        <w:t xml:space="preserve"> comportamiento</w:t>
      </w:r>
      <w:r w:rsidR="00395674">
        <w:t>s</w:t>
      </w:r>
      <w:r w:rsidRPr="0007250D">
        <w:t xml:space="preserve"> emergente</w:t>
      </w:r>
      <w:r w:rsidR="00395674">
        <w:t>s</w:t>
      </w:r>
      <w:r w:rsidRPr="0007250D">
        <w:t xml:space="preserve"> y la experimentación </w:t>
      </w:r>
      <w:r w:rsidR="000D64FF">
        <w:t>adaptativa</w:t>
      </w:r>
      <w:r w:rsidRPr="0007250D">
        <w:t xml:space="preserve"> en tiempo real para permitir </w:t>
      </w:r>
      <w:r w:rsidR="00FE7811" w:rsidRPr="0007250D">
        <w:t>la autonomía de la red</w:t>
      </w:r>
      <w:r w:rsidRPr="0007250D">
        <w:t xml:space="preserve">. </w:t>
      </w:r>
      <w:r w:rsidRPr="0007250D">
        <w:lastRenderedPageBreak/>
        <w:t xml:space="preserve">En conjunto, estos </w:t>
      </w:r>
      <w:r w:rsidR="00FE7811" w:rsidRPr="0007250D">
        <w:t xml:space="preserve">conceptos integrarán </w:t>
      </w:r>
      <w:r w:rsidRPr="0007250D">
        <w:t>una nueva capa de abstracción</w:t>
      </w:r>
      <w:r w:rsidR="00FE7811" w:rsidRPr="0007250D">
        <w:t xml:space="preserve"> y presentarán </w:t>
      </w:r>
      <w:r w:rsidRPr="0007250D">
        <w:t xml:space="preserve">un mecanismo de evolución </w:t>
      </w:r>
      <w:r w:rsidR="00FE7811" w:rsidRPr="0007250D">
        <w:t xml:space="preserve">que actuará </w:t>
      </w:r>
      <w:r w:rsidRPr="0007250D">
        <w:t xml:space="preserve">como catalizador de la autonomía. </w:t>
      </w:r>
      <w:r w:rsidR="00FE7811" w:rsidRPr="0007250D">
        <w:t>De una</w:t>
      </w:r>
      <w:r w:rsidRPr="0007250D">
        <w:t xml:space="preserve"> forma</w:t>
      </w:r>
      <w:r w:rsidR="00FE7811" w:rsidRPr="0007250D">
        <w:t xml:space="preserve"> tan</w:t>
      </w:r>
      <w:r w:rsidRPr="0007250D">
        <w:t xml:space="preserve"> intencionada como necesaria, se pretende que est</w:t>
      </w:r>
      <w:r w:rsidR="00FE7811" w:rsidRPr="0007250D">
        <w:t>os</w:t>
      </w:r>
      <w:r w:rsidRPr="0007250D">
        <w:t xml:space="preserve"> esfuerzo</w:t>
      </w:r>
      <w:r w:rsidR="00FE7811" w:rsidRPr="0007250D">
        <w:t>s</w:t>
      </w:r>
      <w:r w:rsidRPr="0007250D">
        <w:t xml:space="preserve"> sea</w:t>
      </w:r>
      <w:r w:rsidR="00FE7811" w:rsidRPr="0007250D">
        <w:t>n</w:t>
      </w:r>
      <w:r w:rsidRPr="0007250D">
        <w:t xml:space="preserve"> complementario</w:t>
      </w:r>
      <w:r w:rsidR="00FE7811" w:rsidRPr="0007250D">
        <w:t xml:space="preserve">s y compatibles con </w:t>
      </w:r>
      <w:r w:rsidRPr="0007250D">
        <w:t>los trabajos</w:t>
      </w:r>
      <w:r w:rsidR="00FE7811" w:rsidRPr="0007250D">
        <w:t xml:space="preserve"> que están llevando a cabo las organizaciones de normalización, las instituciones académicas,</w:t>
      </w:r>
      <w:r w:rsidRPr="0007250D">
        <w:t xml:space="preserve"> los grupos de </w:t>
      </w:r>
      <w:r w:rsidR="00395674">
        <w:t xml:space="preserve">interesados en el </w:t>
      </w:r>
      <w:r w:rsidRPr="0007250D">
        <w:t xml:space="preserve">código abierto y los investigadores </w:t>
      </w:r>
      <w:bookmarkEnd w:id="16"/>
      <w:r w:rsidR="00FE7811" w:rsidRPr="0007250D">
        <w:t>del sector.</w:t>
      </w:r>
    </w:p>
    <w:p w14:paraId="09AAC95D" w14:textId="1A7B7939" w:rsidR="00380A42" w:rsidRPr="0007250D" w:rsidRDefault="00380A42" w:rsidP="00A97077">
      <w:pPr>
        <w:pStyle w:val="Heading1"/>
      </w:pPr>
      <w:r w:rsidRPr="00AB0DFB">
        <w:t>2</w:t>
      </w:r>
      <w:r w:rsidRPr="00AB0DFB">
        <w:tab/>
      </w:r>
      <w:bookmarkStart w:id="17" w:name="lt_pId132"/>
      <w:r w:rsidRPr="00AB0DFB">
        <w:t>Obje</w:t>
      </w:r>
      <w:r w:rsidR="00D0531D" w:rsidRPr="00AB0DFB">
        <w:t>tivos del</w:t>
      </w:r>
      <w:r w:rsidRPr="00AB0DFB">
        <w:t xml:space="preserve"> FG-AN</w:t>
      </w:r>
      <w:bookmarkEnd w:id="17"/>
    </w:p>
    <w:p w14:paraId="32E3CC5C" w14:textId="692DEC24" w:rsidR="00D0531D" w:rsidRPr="0007250D" w:rsidRDefault="00D0531D" w:rsidP="001F548B">
      <w:bookmarkStart w:id="18" w:name="lt_pId133"/>
      <w:r w:rsidRPr="0007250D">
        <w:t xml:space="preserve">El objetivo principal del </w:t>
      </w:r>
      <w:r w:rsidR="00FE7811" w:rsidRPr="0007250D">
        <w:t>Grupo Temático</w:t>
      </w:r>
      <w:r w:rsidRPr="0007250D">
        <w:t xml:space="preserve"> es proporcionar una plataforma abierta para</w:t>
      </w:r>
      <w:r w:rsidR="001F548B" w:rsidRPr="0007250D">
        <w:t xml:space="preserve"> realizar</w:t>
      </w:r>
      <w:r w:rsidRPr="0007250D">
        <w:t xml:space="preserve"> actividades </w:t>
      </w:r>
      <w:r w:rsidR="00F514DB">
        <w:t xml:space="preserve">en la materia </w:t>
      </w:r>
      <w:r w:rsidRPr="0007250D">
        <w:t>previas a la norma</w:t>
      </w:r>
      <w:r w:rsidR="00F514DB">
        <w:t>lización</w:t>
      </w:r>
      <w:r w:rsidRPr="0007250D">
        <w:t xml:space="preserve"> y aprovechar las tecnologías de </w:t>
      </w:r>
      <w:r w:rsidR="001F548B" w:rsidRPr="0007250D">
        <w:t>terceras partes según proceda.</w:t>
      </w:r>
      <w:bookmarkStart w:id="19" w:name="lt_pId134"/>
      <w:bookmarkEnd w:id="18"/>
    </w:p>
    <w:p w14:paraId="0B67900B" w14:textId="6967B080" w:rsidR="00380A42" w:rsidRPr="0007250D" w:rsidRDefault="00D0531D" w:rsidP="001F548B">
      <w:r w:rsidRPr="0007250D">
        <w:t xml:space="preserve">Los conceptos </w:t>
      </w:r>
      <w:r w:rsidR="001F548B" w:rsidRPr="0007250D">
        <w:t>básicos</w:t>
      </w:r>
      <w:r w:rsidRPr="0007250D">
        <w:t xml:space="preserve"> de las redes autónomas son:</w:t>
      </w:r>
      <w:bookmarkEnd w:id="19"/>
    </w:p>
    <w:p w14:paraId="4EE83A1D" w14:textId="11866EC7" w:rsidR="00D0531D" w:rsidRPr="0007250D" w:rsidRDefault="00A97077" w:rsidP="00A97077">
      <w:pPr>
        <w:pStyle w:val="enumlev1"/>
      </w:pPr>
      <w:bookmarkStart w:id="20" w:name="lt_pId135"/>
      <w:r>
        <w:t>•</w:t>
      </w:r>
      <w:r>
        <w:tab/>
      </w:r>
      <w:r w:rsidR="001F548B" w:rsidRPr="0007250D">
        <w:t>la e</w:t>
      </w:r>
      <w:r w:rsidR="00D0531D" w:rsidRPr="0007250D">
        <w:t>volución exploratoria</w:t>
      </w:r>
      <w:r w:rsidR="001F548B" w:rsidRPr="0007250D">
        <w:t>;</w:t>
      </w:r>
    </w:p>
    <w:p w14:paraId="0B54547A" w14:textId="721DAB7E" w:rsidR="001F548B" w:rsidRPr="0007250D" w:rsidRDefault="00A97077" w:rsidP="00A97077">
      <w:pPr>
        <w:pStyle w:val="enumlev1"/>
      </w:pPr>
      <w:r>
        <w:t>•</w:t>
      </w:r>
      <w:r>
        <w:tab/>
      </w:r>
      <w:r w:rsidR="001F548B" w:rsidRPr="0007250D">
        <w:t>la e</w:t>
      </w:r>
      <w:r w:rsidR="00D0531D" w:rsidRPr="0007250D">
        <w:t xml:space="preserve">xperimentación </w:t>
      </w:r>
      <w:r w:rsidR="000D64FF">
        <w:t>adaptativa</w:t>
      </w:r>
      <w:r w:rsidR="00D0531D" w:rsidRPr="0007250D">
        <w:t xml:space="preserve"> en tiempo real</w:t>
      </w:r>
      <w:r w:rsidR="001F548B" w:rsidRPr="0007250D">
        <w:t>; y</w:t>
      </w:r>
    </w:p>
    <w:p w14:paraId="4D33CEF8" w14:textId="7748F31C" w:rsidR="00380A42" w:rsidRPr="0007250D" w:rsidRDefault="00A97077" w:rsidP="00A97077">
      <w:pPr>
        <w:pStyle w:val="enumlev1"/>
      </w:pPr>
      <w:r>
        <w:t>•</w:t>
      </w:r>
      <w:r>
        <w:tab/>
      </w:r>
      <w:r w:rsidR="001F548B" w:rsidRPr="0007250D">
        <w:t>la a</w:t>
      </w:r>
      <w:r w:rsidR="00D0531D" w:rsidRPr="0007250D">
        <w:t>daptación dinámica</w:t>
      </w:r>
      <w:r w:rsidR="001F548B" w:rsidRPr="0007250D">
        <w:t>.</w:t>
      </w:r>
      <w:bookmarkEnd w:id="20"/>
    </w:p>
    <w:p w14:paraId="5797F0EF" w14:textId="3CA921C1" w:rsidR="00380A42" w:rsidRPr="0007250D" w:rsidRDefault="00D0531D" w:rsidP="00D0531D">
      <w:bookmarkStart w:id="21" w:name="lt_pId138"/>
      <w:r w:rsidRPr="0007250D">
        <w:t xml:space="preserve">Más concretamente, </w:t>
      </w:r>
      <w:r w:rsidR="00F514DB">
        <w:t xml:space="preserve">estos conceptos </w:t>
      </w:r>
      <w:r w:rsidRPr="0007250D">
        <w:t>incluye</w:t>
      </w:r>
      <w:r w:rsidR="00F514DB">
        <w:t>n</w:t>
      </w:r>
      <w:r w:rsidR="00380A42" w:rsidRPr="0007250D">
        <w:t>:</w:t>
      </w:r>
      <w:bookmarkEnd w:id="21"/>
    </w:p>
    <w:p w14:paraId="7B02EFCA" w14:textId="29B6979B" w:rsidR="00380A42" w:rsidRPr="0007250D" w:rsidRDefault="00A97077" w:rsidP="00A97077">
      <w:pPr>
        <w:pStyle w:val="enumlev1"/>
      </w:pPr>
      <w:bookmarkStart w:id="22" w:name="lt_pId139"/>
      <w:r>
        <w:t>•</w:t>
      </w:r>
      <w:r>
        <w:tab/>
      </w:r>
      <w:r w:rsidR="00022AFA" w:rsidRPr="00A97077">
        <w:rPr>
          <w:b/>
          <w:bCs/>
        </w:rPr>
        <w:t>Estudiar el significado y las características de las redes autónomas:</w:t>
      </w:r>
      <w:bookmarkEnd w:id="22"/>
    </w:p>
    <w:p w14:paraId="3AB618F6" w14:textId="4A3255BC" w:rsidR="00380A42" w:rsidRPr="0007250D" w:rsidRDefault="00A97077" w:rsidP="00A97077">
      <w:pPr>
        <w:pStyle w:val="enumlev2"/>
      </w:pPr>
      <w:bookmarkStart w:id="23" w:name="lt_pId140"/>
      <w:r w:rsidRPr="00487556">
        <w:t>–</w:t>
      </w:r>
      <w:r>
        <w:tab/>
      </w:r>
      <w:r w:rsidR="00022AFA" w:rsidRPr="0007250D">
        <w:t xml:space="preserve">Centrarse especialmente en las definiciones de conceptos </w:t>
      </w:r>
      <w:r w:rsidR="004A512C" w:rsidRPr="0007250D">
        <w:t>relacionados con</w:t>
      </w:r>
      <w:r w:rsidR="00022AFA" w:rsidRPr="0007250D">
        <w:t xml:space="preserve"> la creatividad </w:t>
      </w:r>
      <w:r w:rsidR="00CB6647">
        <w:t>de</w:t>
      </w:r>
      <w:r w:rsidR="004A512C" w:rsidRPr="0007250D">
        <w:t xml:space="preserve"> </w:t>
      </w:r>
      <w:r w:rsidR="00022AFA" w:rsidRPr="0007250D">
        <w:t xml:space="preserve">las redes autónomas, los bucles cerrados o </w:t>
      </w:r>
      <w:r w:rsidR="002F634E">
        <w:t>"</w:t>
      </w:r>
      <w:r w:rsidR="00022AFA" w:rsidRPr="0007250D">
        <w:t>controladores</w:t>
      </w:r>
      <w:r w:rsidR="002F634E">
        <w:t>"</w:t>
      </w:r>
      <w:r w:rsidR="00022AFA" w:rsidRPr="0007250D">
        <w:t xml:space="preserve"> como facilitadores de la autonomía </w:t>
      </w:r>
      <w:r w:rsidR="004A512C" w:rsidRPr="0007250D">
        <w:t>de</w:t>
      </w:r>
      <w:r w:rsidR="00022AFA" w:rsidRPr="0007250D">
        <w:t xml:space="preserve"> las redes futuras (incluidas las IMT-2020), la exploración, experimentación y adaptación en el contexto de las redes autónomas y cualquier otro concepto integral desarrollado</w:t>
      </w:r>
      <w:r w:rsidR="004A512C" w:rsidRPr="0007250D">
        <w:t xml:space="preserve"> en el marco de los estudios del Grupo Temático </w:t>
      </w:r>
      <w:r w:rsidR="00022AFA" w:rsidRPr="0007250D">
        <w:t xml:space="preserve">sobre </w:t>
      </w:r>
      <w:r w:rsidR="004A512C" w:rsidRPr="0007250D">
        <w:t>Redes Autónomas</w:t>
      </w:r>
      <w:r w:rsidR="00022AFA" w:rsidRPr="0007250D">
        <w:t>.</w:t>
      </w:r>
      <w:bookmarkEnd w:id="23"/>
    </w:p>
    <w:p w14:paraId="76E86384" w14:textId="323238B2" w:rsidR="00380A42" w:rsidRPr="0007250D" w:rsidRDefault="002F634E" w:rsidP="002F634E">
      <w:pPr>
        <w:pStyle w:val="enumlev3"/>
      </w:pPr>
      <w:bookmarkStart w:id="24" w:name="lt_pId141"/>
      <w:r>
        <w:t>•</w:t>
      </w:r>
      <w:r>
        <w:tab/>
      </w:r>
      <w:r w:rsidR="00493A89" w:rsidRPr="0007250D">
        <w:t xml:space="preserve">NOTA </w:t>
      </w:r>
      <w:r w:rsidR="004A512C" w:rsidRPr="0007250D">
        <w:t>–</w:t>
      </w:r>
      <w:r w:rsidR="00493A89" w:rsidRPr="0007250D">
        <w:t xml:space="preserve"> </w:t>
      </w:r>
      <w:r w:rsidR="004A512C" w:rsidRPr="0007250D">
        <w:t>Existen diversos términos para designar un bucle cerrado, por ejemplo</w:t>
      </w:r>
      <w:r w:rsidR="00F514DB">
        <w:t>,</w:t>
      </w:r>
      <w:r w:rsidR="004A512C" w:rsidRPr="0007250D">
        <w:t xml:space="preserve"> </w:t>
      </w:r>
      <w:r w:rsidR="00493A89" w:rsidRPr="0007250D">
        <w:t xml:space="preserve">bucle cognitivo, </w:t>
      </w:r>
      <w:r w:rsidR="004A512C" w:rsidRPr="0007250D">
        <w:t>bucle MAPE-K (</w:t>
      </w:r>
      <w:r w:rsidR="00F514DB">
        <w:t>Supervisar</w:t>
      </w:r>
      <w:r>
        <w:t>-</w:t>
      </w:r>
      <w:r w:rsidR="004A512C" w:rsidRPr="0007250D">
        <w:t>Analizar</w:t>
      </w:r>
      <w:r>
        <w:t>-</w:t>
      </w:r>
      <w:r w:rsidR="004A512C" w:rsidRPr="0007250D">
        <w:t>Planear</w:t>
      </w:r>
      <w:r>
        <w:t>-</w:t>
      </w:r>
      <w:r w:rsidR="004A512C" w:rsidRPr="0007250D">
        <w:t>Ejecutar sobre una base</w:t>
      </w:r>
      <w:r w:rsidR="00F514DB">
        <w:t xml:space="preserve"> teórica</w:t>
      </w:r>
      <w:r w:rsidR="004A512C" w:rsidRPr="0007250D">
        <w:t xml:space="preserve"> compartida</w:t>
      </w:r>
      <w:r w:rsidR="00493A89" w:rsidRPr="0007250D">
        <w:t>),</w:t>
      </w:r>
      <w:r w:rsidR="004A512C" w:rsidRPr="0007250D">
        <w:t xml:space="preserve"> bucle</w:t>
      </w:r>
      <w:r w:rsidR="00493A89" w:rsidRPr="0007250D">
        <w:t xml:space="preserve"> </w:t>
      </w:r>
      <w:r w:rsidR="004A512C" w:rsidRPr="0007250D">
        <w:t>OODA (Observar-Orientar-Decidir-Actuar</w:t>
      </w:r>
      <w:r w:rsidR="00493A89" w:rsidRPr="0007250D">
        <w:t>), etc.</w:t>
      </w:r>
      <w:bookmarkEnd w:id="24"/>
    </w:p>
    <w:p w14:paraId="4C3EAA1A" w14:textId="376D952D" w:rsidR="00380A42" w:rsidRPr="0007250D" w:rsidRDefault="00A97077" w:rsidP="00A97077">
      <w:pPr>
        <w:pStyle w:val="enumlev2"/>
      </w:pPr>
      <w:bookmarkStart w:id="25" w:name="lt_pId142"/>
      <w:r>
        <w:t>–</w:t>
      </w:r>
      <w:r>
        <w:tab/>
      </w:r>
      <w:r w:rsidR="00493A89" w:rsidRPr="0007250D">
        <w:t xml:space="preserve">Estudiar estas taxonomías u ontologías elaboradas por </w:t>
      </w:r>
      <w:r w:rsidR="004A512C" w:rsidRPr="0007250D">
        <w:t>personas</w:t>
      </w:r>
      <w:r w:rsidR="00493A89" w:rsidRPr="0007250D">
        <w:t xml:space="preserve"> o</w:t>
      </w:r>
      <w:r w:rsidR="004A512C" w:rsidRPr="0007250D">
        <w:t xml:space="preserve"> por</w:t>
      </w:r>
      <w:r w:rsidR="00493A89" w:rsidRPr="0007250D">
        <w:t xml:space="preserve"> máquinas</w:t>
      </w:r>
      <w:r w:rsidR="004A512C" w:rsidRPr="0007250D">
        <w:t>,</w:t>
      </w:r>
      <w:r w:rsidR="00493A89" w:rsidRPr="0007250D">
        <w:t xml:space="preserve"> que los </w:t>
      </w:r>
      <w:r w:rsidR="004A512C" w:rsidRPr="0007250D">
        <w:t xml:space="preserve">facilitadores tecnológicos utilizan </w:t>
      </w:r>
      <w:r w:rsidR="00493A89" w:rsidRPr="0007250D">
        <w:t>para lograr los conceptos clave.</w:t>
      </w:r>
      <w:bookmarkEnd w:id="25"/>
    </w:p>
    <w:p w14:paraId="1B1077B2" w14:textId="02009E84" w:rsidR="00380A42" w:rsidRPr="0007250D" w:rsidRDefault="00A97077" w:rsidP="00A97077">
      <w:pPr>
        <w:pStyle w:val="enumlev2"/>
      </w:pPr>
      <w:bookmarkStart w:id="26" w:name="lt_pId143"/>
      <w:r>
        <w:t>–</w:t>
      </w:r>
      <w:r>
        <w:tab/>
      </w:r>
      <w:r w:rsidR="00057B52" w:rsidRPr="0007250D">
        <w:t>Elaborar</w:t>
      </w:r>
      <w:r w:rsidR="00493A89" w:rsidRPr="0007250D">
        <w:t xml:space="preserve"> un producto </w:t>
      </w:r>
      <w:r w:rsidR="00057B52" w:rsidRPr="0007250D">
        <w:t>sobre e</w:t>
      </w:r>
      <w:r w:rsidR="00493A89" w:rsidRPr="0007250D">
        <w:t xml:space="preserve">l panorama </w:t>
      </w:r>
      <w:r w:rsidR="00057B52" w:rsidRPr="0007250D">
        <w:t xml:space="preserve">general </w:t>
      </w:r>
      <w:r w:rsidR="00493A89" w:rsidRPr="0007250D">
        <w:t>de las redes autónomas en el contexto de la autoadaptación</w:t>
      </w:r>
      <w:r w:rsidR="00057B52" w:rsidRPr="0007250D">
        <w:t>,</w:t>
      </w:r>
      <w:r w:rsidR="00493A89" w:rsidRPr="0007250D">
        <w:t xml:space="preserve"> que puede incluir temas como:</w:t>
      </w:r>
      <w:bookmarkEnd w:id="26"/>
    </w:p>
    <w:p w14:paraId="1C14B179" w14:textId="43AD256D" w:rsidR="00493A89" w:rsidRPr="0007250D" w:rsidRDefault="002F634E" w:rsidP="002F634E">
      <w:pPr>
        <w:pStyle w:val="enumlev3"/>
      </w:pPr>
      <w:bookmarkStart w:id="27" w:name="lt_pId144"/>
      <w:r>
        <w:t>•</w:t>
      </w:r>
      <w:r>
        <w:tab/>
      </w:r>
      <w:r w:rsidR="004024DA" w:rsidRPr="0007250D">
        <w:t>a</w:t>
      </w:r>
      <w:r w:rsidR="00493A89" w:rsidRPr="0007250D">
        <w:t>decuación de los enfoques y</w:t>
      </w:r>
      <w:r w:rsidR="004024DA" w:rsidRPr="0007250D">
        <w:t xml:space="preserve"> las</w:t>
      </w:r>
      <w:r w:rsidR="00493A89" w:rsidRPr="0007250D">
        <w:t xml:space="preserve"> técnicas existentes</w:t>
      </w:r>
      <w:r w:rsidR="004024DA" w:rsidRPr="0007250D">
        <w:t>;</w:t>
      </w:r>
    </w:p>
    <w:p w14:paraId="60E926ED" w14:textId="6481933F" w:rsidR="00493A89" w:rsidRPr="0007250D" w:rsidRDefault="002F634E" w:rsidP="002F634E">
      <w:pPr>
        <w:pStyle w:val="enumlev3"/>
      </w:pPr>
      <w:r>
        <w:t>•</w:t>
      </w:r>
      <w:r>
        <w:tab/>
      </w:r>
      <w:r w:rsidR="004024DA" w:rsidRPr="0007250D">
        <w:t>c</w:t>
      </w:r>
      <w:r w:rsidR="00493A89" w:rsidRPr="0007250D">
        <w:t>onceptos claros</w:t>
      </w:r>
      <w:r w:rsidR="004024DA" w:rsidRPr="0007250D">
        <w:t>;</w:t>
      </w:r>
    </w:p>
    <w:p w14:paraId="6B87463C" w14:textId="59FAD11F" w:rsidR="00493A89" w:rsidRPr="0007250D" w:rsidRDefault="002F634E" w:rsidP="002F634E">
      <w:pPr>
        <w:pStyle w:val="enumlev3"/>
      </w:pPr>
      <w:r>
        <w:t>•</w:t>
      </w:r>
      <w:r>
        <w:tab/>
      </w:r>
      <w:r w:rsidR="0007250D" w:rsidRPr="0007250D">
        <w:t>funcionalidades</w:t>
      </w:r>
      <w:r w:rsidR="004024DA" w:rsidRPr="0007250D">
        <w:t xml:space="preserve"> principales;</w:t>
      </w:r>
    </w:p>
    <w:p w14:paraId="3F9E5A77" w14:textId="0635680F" w:rsidR="00493A89" w:rsidRPr="0007250D" w:rsidRDefault="002F634E" w:rsidP="002F634E">
      <w:pPr>
        <w:pStyle w:val="enumlev3"/>
      </w:pPr>
      <w:r>
        <w:t>•</w:t>
      </w:r>
      <w:r>
        <w:tab/>
      </w:r>
      <w:r w:rsidR="004024DA" w:rsidRPr="0007250D">
        <w:t>c</w:t>
      </w:r>
      <w:r w:rsidR="00493A89" w:rsidRPr="0007250D">
        <w:t>aracterísticas</w:t>
      </w:r>
      <w:r w:rsidR="004024DA" w:rsidRPr="0007250D">
        <w:t>; y</w:t>
      </w:r>
    </w:p>
    <w:p w14:paraId="4011CD90" w14:textId="49E5BA1A" w:rsidR="00380A42" w:rsidRPr="0007250D" w:rsidRDefault="002F634E" w:rsidP="002F634E">
      <w:pPr>
        <w:pStyle w:val="enumlev3"/>
      </w:pPr>
      <w:r>
        <w:t>•</w:t>
      </w:r>
      <w:r>
        <w:tab/>
      </w:r>
      <w:r w:rsidR="004024DA" w:rsidRPr="0007250D">
        <w:t>p</w:t>
      </w:r>
      <w:r w:rsidR="00493A89" w:rsidRPr="0007250D">
        <w:t>rincipios de diseño</w:t>
      </w:r>
      <w:bookmarkEnd w:id="27"/>
      <w:r w:rsidR="004024DA" w:rsidRPr="0007250D">
        <w:t>.</w:t>
      </w:r>
    </w:p>
    <w:p w14:paraId="0607E49C" w14:textId="08597DDA" w:rsidR="00380A42" w:rsidRPr="00A97077" w:rsidRDefault="00A97077" w:rsidP="00A97077">
      <w:pPr>
        <w:pStyle w:val="enumlev1"/>
        <w:rPr>
          <w:b/>
          <w:bCs/>
        </w:rPr>
      </w:pPr>
      <w:bookmarkStart w:id="28" w:name="lt_pId149"/>
      <w:r>
        <w:t>•</w:t>
      </w:r>
      <w:r>
        <w:tab/>
      </w:r>
      <w:r w:rsidR="00493A89" w:rsidRPr="00A97077">
        <w:rPr>
          <w:b/>
          <w:bCs/>
        </w:rPr>
        <w:t xml:space="preserve">Estudiar y proponer habilitadores técnicos para la </w:t>
      </w:r>
      <w:r w:rsidR="00493A89" w:rsidRPr="00A97077">
        <w:rPr>
          <w:b/>
          <w:bCs/>
          <w:u w:val="single"/>
        </w:rPr>
        <w:t>evolución</w:t>
      </w:r>
      <w:r w:rsidR="00493A89" w:rsidRPr="00A97077">
        <w:rPr>
          <w:b/>
          <w:bCs/>
        </w:rPr>
        <w:t xml:space="preserve"> de las redes autónomas:</w:t>
      </w:r>
      <w:bookmarkEnd w:id="28"/>
    </w:p>
    <w:p w14:paraId="77D9D93C" w14:textId="4BB5CF24" w:rsidR="00380A42" w:rsidRPr="0007250D" w:rsidRDefault="00A97077" w:rsidP="00A97077">
      <w:pPr>
        <w:pStyle w:val="enumlev2"/>
      </w:pPr>
      <w:bookmarkStart w:id="29" w:name="lt_pId150"/>
      <w:r>
        <w:t>–</w:t>
      </w:r>
      <w:r>
        <w:tab/>
      </w:r>
      <w:r w:rsidR="00493A89" w:rsidRPr="0007250D">
        <w:t xml:space="preserve">Dada la labor </w:t>
      </w:r>
      <w:r w:rsidR="004024DA" w:rsidRPr="0007250D">
        <w:t>llevada a cabo</w:t>
      </w:r>
      <w:r w:rsidR="00493A89" w:rsidRPr="0007250D">
        <w:t xml:space="preserve"> en otros grupos, </w:t>
      </w:r>
      <w:r w:rsidR="004024DA" w:rsidRPr="0007250D">
        <w:t>detectar</w:t>
      </w:r>
      <w:r w:rsidR="00493A89" w:rsidRPr="0007250D">
        <w:t xml:space="preserve"> las </w:t>
      </w:r>
      <w:r w:rsidR="00F514DB">
        <w:t>carencias</w:t>
      </w:r>
      <w:r w:rsidR="004024DA" w:rsidRPr="0007250D">
        <w:t xml:space="preserve"> en la consecución </w:t>
      </w:r>
      <w:r w:rsidR="00493A89" w:rsidRPr="0007250D">
        <w:t>de redes autónomas en</w:t>
      </w:r>
      <w:r w:rsidR="004024DA" w:rsidRPr="0007250D">
        <w:t xml:space="preserve"> el marco de</w:t>
      </w:r>
      <w:r w:rsidR="00493A89" w:rsidRPr="0007250D">
        <w:t xml:space="preserve"> las redes futuras.</w:t>
      </w:r>
      <w:bookmarkEnd w:id="29"/>
    </w:p>
    <w:p w14:paraId="7B6FC536" w14:textId="3203227D" w:rsidR="00380A42" w:rsidRPr="0007250D" w:rsidRDefault="00A97077" w:rsidP="00A97077">
      <w:pPr>
        <w:pStyle w:val="enumlev2"/>
      </w:pPr>
      <w:bookmarkStart w:id="30" w:name="lt_pId151"/>
      <w:r>
        <w:t>–</w:t>
      </w:r>
      <w:r>
        <w:tab/>
      </w:r>
      <w:r w:rsidR="00493A89" w:rsidRPr="0007250D">
        <w:t xml:space="preserve">Estudiar </w:t>
      </w:r>
      <w:r w:rsidR="004024DA" w:rsidRPr="0007250D">
        <w:t>la posibilidad de reutilizar las</w:t>
      </w:r>
      <w:r w:rsidR="00493A89" w:rsidRPr="0007250D">
        <w:t xml:space="preserve"> soluciones </w:t>
      </w:r>
      <w:r w:rsidR="004024DA" w:rsidRPr="0007250D">
        <w:t>definidas por</w:t>
      </w:r>
      <w:r w:rsidR="00493A89" w:rsidRPr="0007250D">
        <w:t xml:space="preserve"> otros grupos y las </w:t>
      </w:r>
      <w:r w:rsidR="00FB6214">
        <w:t>carencias</w:t>
      </w:r>
      <w:r w:rsidR="00493A89" w:rsidRPr="0007250D">
        <w:t xml:space="preserve"> correspondientes</w:t>
      </w:r>
      <w:r w:rsidR="004024DA" w:rsidRPr="0007250D">
        <w:t>,</w:t>
      </w:r>
      <w:r w:rsidR="00493A89" w:rsidRPr="0007250D">
        <w:t xml:space="preserve"> en función de los conceptos</w:t>
      </w:r>
      <w:r w:rsidR="004024DA" w:rsidRPr="0007250D">
        <w:t xml:space="preserve"> básicos,</w:t>
      </w:r>
      <w:r w:rsidR="00493A89" w:rsidRPr="0007250D">
        <w:t xml:space="preserve"> </w:t>
      </w:r>
      <w:r w:rsidR="00FB6214">
        <w:t>a efectos de</w:t>
      </w:r>
      <w:r w:rsidR="00493A89" w:rsidRPr="0007250D">
        <w:t xml:space="preserve"> la autonomía </w:t>
      </w:r>
      <w:r w:rsidR="004024DA" w:rsidRPr="0007250D">
        <w:t>de</w:t>
      </w:r>
      <w:r w:rsidR="00493A89" w:rsidRPr="0007250D">
        <w:t xml:space="preserve"> las redes futuras. </w:t>
      </w:r>
      <w:r w:rsidR="004024DA" w:rsidRPr="0007250D">
        <w:t>Entre los</w:t>
      </w:r>
      <w:r w:rsidR="00493A89" w:rsidRPr="0007250D">
        <w:t xml:space="preserve"> conceptos </w:t>
      </w:r>
      <w:r w:rsidR="004024DA" w:rsidRPr="0007250D">
        <w:t xml:space="preserve">básicos figuran </w:t>
      </w:r>
      <w:r w:rsidR="004024DA" w:rsidRPr="0007250D">
        <w:rPr>
          <w:u w:val="single"/>
        </w:rPr>
        <w:t>la evolución exploratoria</w:t>
      </w:r>
      <w:r w:rsidR="004024DA" w:rsidRPr="0007250D">
        <w:t>,</w:t>
      </w:r>
      <w:r w:rsidR="001B51CE" w:rsidRPr="0007250D">
        <w:t xml:space="preserve"> </w:t>
      </w:r>
      <w:r w:rsidR="004024DA" w:rsidRPr="0007250D">
        <w:rPr>
          <w:u w:val="single"/>
        </w:rPr>
        <w:t xml:space="preserve">la experimentación </w:t>
      </w:r>
      <w:r w:rsidR="000D64FF">
        <w:rPr>
          <w:u w:val="single"/>
        </w:rPr>
        <w:t>adaptativa</w:t>
      </w:r>
      <w:r w:rsidR="004024DA" w:rsidRPr="0007250D">
        <w:rPr>
          <w:u w:val="single"/>
        </w:rPr>
        <w:t xml:space="preserve"> en tiempo real</w:t>
      </w:r>
      <w:r w:rsidR="001B51CE" w:rsidRPr="0007250D">
        <w:t xml:space="preserve"> y </w:t>
      </w:r>
      <w:r w:rsidR="004024DA" w:rsidRPr="0007250D">
        <w:rPr>
          <w:u w:val="single"/>
        </w:rPr>
        <w:t>la adaptación dinámica</w:t>
      </w:r>
      <w:r w:rsidR="00493A89" w:rsidRPr="0007250D">
        <w:rPr>
          <w:u w:val="single"/>
        </w:rPr>
        <w:t xml:space="preserve"> a entornos, tecnologías y casos de uso futuros</w:t>
      </w:r>
      <w:r w:rsidR="00493A89" w:rsidRPr="0007250D">
        <w:t>.</w:t>
      </w:r>
      <w:bookmarkEnd w:id="30"/>
    </w:p>
    <w:p w14:paraId="09ED908C" w14:textId="638D5C76" w:rsidR="00380A42" w:rsidRPr="0007250D" w:rsidRDefault="00A97077" w:rsidP="00A97077">
      <w:pPr>
        <w:pStyle w:val="enumlev2"/>
      </w:pPr>
      <w:bookmarkStart w:id="31" w:name="lt_pId153"/>
      <w:r>
        <w:lastRenderedPageBreak/>
        <w:t>–</w:t>
      </w:r>
      <w:r>
        <w:tab/>
      </w:r>
      <w:r w:rsidR="001B51CE" w:rsidRPr="0007250D">
        <w:t>Partiendo de lo anterior</w:t>
      </w:r>
      <w:r w:rsidR="00493A89" w:rsidRPr="0007250D">
        <w:t xml:space="preserve">, proponer habilitadores técnicos para la autonomía </w:t>
      </w:r>
      <w:r w:rsidR="001B51CE" w:rsidRPr="0007250D">
        <w:t>de</w:t>
      </w:r>
      <w:r w:rsidR="00493A89" w:rsidRPr="0007250D">
        <w:t xml:space="preserve"> la red.</w:t>
      </w:r>
      <w:bookmarkEnd w:id="31"/>
    </w:p>
    <w:p w14:paraId="79CEFBEF" w14:textId="6C3DCBF1" w:rsidR="00380A42" w:rsidRPr="0007250D" w:rsidRDefault="00A97077" w:rsidP="00A97077">
      <w:pPr>
        <w:pStyle w:val="enumlev1"/>
      </w:pPr>
      <w:bookmarkStart w:id="32" w:name="lt_pId154"/>
      <w:r w:rsidRPr="00B84360">
        <w:t>•</w:t>
      </w:r>
      <w:r>
        <w:tab/>
      </w:r>
      <w:r w:rsidR="00493A89" w:rsidRPr="00A97077">
        <w:rPr>
          <w:b/>
          <w:bCs/>
        </w:rPr>
        <w:t xml:space="preserve">Proporcionar directrices </w:t>
      </w:r>
      <w:r w:rsidR="00A77BE1" w:rsidRPr="00A97077">
        <w:rPr>
          <w:b/>
          <w:bCs/>
        </w:rPr>
        <w:t>encaminadas a</w:t>
      </w:r>
      <w:r w:rsidR="00493A89" w:rsidRPr="00A97077">
        <w:rPr>
          <w:b/>
          <w:bCs/>
        </w:rPr>
        <w:t xml:space="preserve"> permitir mayores niveles de autonomía mediante la </w:t>
      </w:r>
      <w:r w:rsidR="00493A89" w:rsidRPr="00A97077">
        <w:rPr>
          <w:b/>
          <w:bCs/>
          <w:u w:val="single"/>
        </w:rPr>
        <w:t xml:space="preserve">experimentación </w:t>
      </w:r>
      <w:r w:rsidR="000D64FF" w:rsidRPr="00A97077">
        <w:rPr>
          <w:b/>
          <w:bCs/>
          <w:u w:val="single"/>
        </w:rPr>
        <w:t>adaptativa</w:t>
      </w:r>
      <w:r w:rsidR="00493A89" w:rsidRPr="00A97077">
        <w:rPr>
          <w:b/>
          <w:bCs/>
          <w:u w:val="single"/>
        </w:rPr>
        <w:t xml:space="preserve"> en tiempo real</w:t>
      </w:r>
      <w:r w:rsidR="00493A89" w:rsidRPr="00A97077">
        <w:rPr>
          <w:b/>
          <w:bCs/>
        </w:rPr>
        <w:t>:</w:t>
      </w:r>
      <w:bookmarkEnd w:id="32"/>
    </w:p>
    <w:p w14:paraId="14A3FF0E" w14:textId="1734C7D3" w:rsidR="00380A42" w:rsidRPr="0007250D" w:rsidRDefault="00A97077" w:rsidP="00A97077">
      <w:pPr>
        <w:pStyle w:val="enumlev2"/>
      </w:pPr>
      <w:bookmarkStart w:id="33" w:name="lt_pId155"/>
      <w:r>
        <w:t>–</w:t>
      </w:r>
      <w:r>
        <w:tab/>
      </w:r>
      <w:r w:rsidR="00A559D2" w:rsidRPr="0007250D">
        <w:t>Elaborar</w:t>
      </w:r>
      <w:r w:rsidR="00493A89" w:rsidRPr="0007250D">
        <w:t xml:space="preserve"> pruebas de conceptos o directrices </w:t>
      </w:r>
      <w:r w:rsidR="00A559D2" w:rsidRPr="0007250D">
        <w:t>relativas a los</w:t>
      </w:r>
      <w:r w:rsidR="00493A89" w:rsidRPr="0007250D">
        <w:t xml:space="preserve"> conceptos de arquitectura</w:t>
      </w:r>
      <w:r w:rsidR="00A559D2" w:rsidRPr="0007250D">
        <w:t xml:space="preserve"> correspondientes, que permitan</w:t>
      </w:r>
      <w:r w:rsidR="00380A42" w:rsidRPr="0007250D">
        <w:t>:</w:t>
      </w:r>
      <w:bookmarkEnd w:id="33"/>
    </w:p>
    <w:p w14:paraId="15669D79" w14:textId="7EB4B54B" w:rsidR="00493A89" w:rsidRPr="0007250D" w:rsidRDefault="002F634E" w:rsidP="002F634E">
      <w:pPr>
        <w:pStyle w:val="enumlev3"/>
      </w:pPr>
      <w:bookmarkStart w:id="34" w:name="lt_pId156"/>
      <w:r>
        <w:t>•</w:t>
      </w:r>
      <w:r>
        <w:tab/>
      </w:r>
      <w:r w:rsidR="00A559D2" w:rsidRPr="0007250D">
        <w:t>a</w:t>
      </w:r>
      <w:r w:rsidR="00493A89" w:rsidRPr="0007250D">
        <w:t xml:space="preserve">ceptar </w:t>
      </w:r>
      <w:r w:rsidR="00A559D2" w:rsidRPr="0007250D">
        <w:t>dispositivos</w:t>
      </w:r>
      <w:r w:rsidR="00493A89" w:rsidRPr="0007250D">
        <w:t xml:space="preserve"> evolucionados (resultado de evoluciones anteriores)</w:t>
      </w:r>
      <w:r w:rsidR="00A559D2" w:rsidRPr="0007250D">
        <w:t>;</w:t>
      </w:r>
    </w:p>
    <w:p w14:paraId="1CB3D631" w14:textId="759BFD8C" w:rsidR="00493A89" w:rsidRPr="0007250D" w:rsidRDefault="002F634E" w:rsidP="002F634E">
      <w:pPr>
        <w:pStyle w:val="enumlev3"/>
      </w:pPr>
      <w:r>
        <w:t>•</w:t>
      </w:r>
      <w:r>
        <w:tab/>
      </w:r>
      <w:r w:rsidR="00A559D2" w:rsidRPr="0007250D">
        <w:t>concebir</w:t>
      </w:r>
      <w:r w:rsidR="00493A89" w:rsidRPr="0007250D">
        <w:t xml:space="preserve"> nuevos experimentos</w:t>
      </w:r>
      <w:r w:rsidR="00A559D2" w:rsidRPr="0007250D">
        <w:t xml:space="preserve"> </w:t>
      </w:r>
      <w:r w:rsidR="00A3643B">
        <w:t>adaptativos</w:t>
      </w:r>
      <w:r w:rsidR="00493A89" w:rsidRPr="0007250D">
        <w:t xml:space="preserve"> en tiempo real</w:t>
      </w:r>
      <w:r w:rsidR="00A559D2" w:rsidRPr="0007250D">
        <w:t xml:space="preserve"> para una verificación </w:t>
      </w:r>
      <w:r w:rsidR="00493A89" w:rsidRPr="0007250D">
        <w:t>adecuada</w:t>
      </w:r>
      <w:r w:rsidR="00A559D2" w:rsidRPr="0007250D">
        <w:t xml:space="preserve"> de </w:t>
      </w:r>
      <w:r w:rsidR="00493A89" w:rsidRPr="0007250D">
        <w:t xml:space="preserve">esos </w:t>
      </w:r>
      <w:r w:rsidR="00A559D2" w:rsidRPr="0007250D">
        <w:t>dispositivos</w:t>
      </w:r>
      <w:r w:rsidR="00493A89" w:rsidRPr="0007250D">
        <w:t xml:space="preserve"> evolucionados</w:t>
      </w:r>
      <w:r w:rsidR="00A559D2" w:rsidRPr="0007250D">
        <w:t>; y</w:t>
      </w:r>
    </w:p>
    <w:p w14:paraId="68D87508" w14:textId="18D8870D" w:rsidR="00380A42" w:rsidRPr="0007250D" w:rsidRDefault="002F634E" w:rsidP="002F634E">
      <w:pPr>
        <w:pStyle w:val="enumlev3"/>
      </w:pPr>
      <w:r>
        <w:t>•</w:t>
      </w:r>
      <w:r>
        <w:tab/>
      </w:r>
      <w:r w:rsidR="00A559D2" w:rsidRPr="0007250D">
        <w:t>v</w:t>
      </w:r>
      <w:r w:rsidR="00493A89" w:rsidRPr="0007250D">
        <w:t xml:space="preserve">alidar los </w:t>
      </w:r>
      <w:r w:rsidR="00A559D2" w:rsidRPr="0007250D">
        <w:t xml:space="preserve">dispositivos </w:t>
      </w:r>
      <w:r w:rsidR="00493A89" w:rsidRPr="0007250D">
        <w:t>evolucionados</w:t>
      </w:r>
      <w:bookmarkEnd w:id="34"/>
      <w:r w:rsidR="00A559D2" w:rsidRPr="0007250D">
        <w:t>.</w:t>
      </w:r>
    </w:p>
    <w:p w14:paraId="530E95C3" w14:textId="5EE2982E" w:rsidR="00380A42" w:rsidRPr="0007250D" w:rsidRDefault="00A97077" w:rsidP="00A97077">
      <w:pPr>
        <w:pStyle w:val="enumlev2"/>
      </w:pPr>
      <w:bookmarkStart w:id="35" w:name="lt_pId159"/>
      <w:r>
        <w:t>–</w:t>
      </w:r>
      <w:r>
        <w:tab/>
      </w:r>
      <w:r w:rsidR="00493A89" w:rsidRPr="0007250D">
        <w:t xml:space="preserve">Informar sobre el aprovechamiento de los </w:t>
      </w:r>
      <w:r w:rsidR="00A559D2" w:rsidRPr="0007250D">
        <w:t xml:space="preserve">proyectos existentes a efectos de la </w:t>
      </w:r>
      <w:r w:rsidR="00493A89" w:rsidRPr="0007250D">
        <w:t xml:space="preserve">experimentación </w:t>
      </w:r>
      <w:r w:rsidR="000D64FF">
        <w:t>adaptativa</w:t>
      </w:r>
      <w:r w:rsidR="00493A89" w:rsidRPr="0007250D">
        <w:t xml:space="preserve"> en tiempo real, </w:t>
      </w:r>
      <w:r w:rsidR="0035096F" w:rsidRPr="0007250D">
        <w:t>por ejemplo en materia de</w:t>
      </w:r>
      <w:r w:rsidR="00493A89" w:rsidRPr="0007250D">
        <w:t xml:space="preserve"> simulación, comprobación de</w:t>
      </w:r>
      <w:r w:rsidR="0035096F" w:rsidRPr="0007250D">
        <w:t xml:space="preserve">l buen funcionamiento </w:t>
      </w:r>
      <w:r w:rsidR="00493A89" w:rsidRPr="0007250D">
        <w:t xml:space="preserve">o </w:t>
      </w:r>
      <w:r w:rsidR="0035096F" w:rsidRPr="0007250D">
        <w:t>solid</w:t>
      </w:r>
      <w:r w:rsidR="00493A89" w:rsidRPr="0007250D">
        <w:t xml:space="preserve">ez, </w:t>
      </w:r>
      <w:r w:rsidR="0035096F" w:rsidRPr="0007250D">
        <w:t>en consonancia</w:t>
      </w:r>
      <w:r w:rsidR="00493A89" w:rsidRPr="0007250D">
        <w:t xml:space="preserve"> con tecnologías normalizadas </w:t>
      </w:r>
      <w:r w:rsidR="0035096F" w:rsidRPr="0007250D">
        <w:t>por</w:t>
      </w:r>
      <w:r w:rsidR="00493A89" w:rsidRPr="0007250D">
        <w:t xml:space="preserve"> la UIT</w:t>
      </w:r>
      <w:r w:rsidR="0035096F" w:rsidRPr="0007250D">
        <w:t xml:space="preserve"> </w:t>
      </w:r>
      <w:r w:rsidR="00493A89" w:rsidRPr="0007250D">
        <w:t xml:space="preserve">como </w:t>
      </w:r>
      <w:r w:rsidR="0035096F" w:rsidRPr="0007250D">
        <w:t xml:space="preserve">la </w:t>
      </w:r>
      <w:r w:rsidR="00493A89" w:rsidRPr="00B84360">
        <w:t>ML Sandbox</w:t>
      </w:r>
      <w:r w:rsidR="00493A89" w:rsidRPr="0007250D">
        <w:t>.</w:t>
      </w:r>
      <w:bookmarkEnd w:id="35"/>
    </w:p>
    <w:p w14:paraId="71943C38" w14:textId="68CDDB74" w:rsidR="00380A42" w:rsidRPr="0007250D" w:rsidRDefault="002F634E" w:rsidP="00A97077">
      <w:pPr>
        <w:pStyle w:val="enumlev2"/>
      </w:pPr>
      <w:bookmarkStart w:id="36" w:name="lt_pId160"/>
      <w:r>
        <w:t>–</w:t>
      </w:r>
      <w:r>
        <w:tab/>
      </w:r>
      <w:r w:rsidR="00493A89" w:rsidRPr="0007250D">
        <w:t xml:space="preserve">Estudiar mecanismos </w:t>
      </w:r>
      <w:r w:rsidR="0035096F" w:rsidRPr="0007250D">
        <w:t>arquitectónicos</w:t>
      </w:r>
      <w:r w:rsidR="00493A89" w:rsidRPr="0007250D">
        <w:t xml:space="preserve"> que permitan no s</w:t>
      </w:r>
      <w:r w:rsidR="0035096F" w:rsidRPr="0007250D">
        <w:t>o</w:t>
      </w:r>
      <w:r w:rsidR="00493A89" w:rsidRPr="0007250D">
        <w:t xml:space="preserve">lo automatizar la experimentación </w:t>
      </w:r>
      <w:r w:rsidR="000D64FF">
        <w:t>adaptativa</w:t>
      </w:r>
      <w:r w:rsidR="00493A89" w:rsidRPr="0007250D">
        <w:t xml:space="preserve"> en tiempo real, sino también analizar la necesidad de</w:t>
      </w:r>
      <w:r w:rsidR="0035096F" w:rsidRPr="0007250D">
        <w:t xml:space="preserve"> llevar a cabo</w:t>
      </w:r>
      <w:r w:rsidR="00493A89" w:rsidRPr="0007250D">
        <w:t xml:space="preserve"> nuevos experimentos.</w:t>
      </w:r>
      <w:bookmarkEnd w:id="36"/>
    </w:p>
    <w:p w14:paraId="5ED71D23" w14:textId="3C68F205" w:rsidR="00380A42" w:rsidRPr="0007250D" w:rsidRDefault="002F634E" w:rsidP="00A97077">
      <w:pPr>
        <w:pStyle w:val="enumlev2"/>
      </w:pPr>
      <w:bookmarkStart w:id="37" w:name="lt_pId161"/>
      <w:r>
        <w:t>–</w:t>
      </w:r>
      <w:r>
        <w:tab/>
      </w:r>
      <w:r w:rsidR="00493A89" w:rsidRPr="0007250D">
        <w:t xml:space="preserve">Informar sobre los lenguajes </w:t>
      </w:r>
      <w:r w:rsidR="00A3643B">
        <w:t>y</w:t>
      </w:r>
      <w:r w:rsidR="00493A89" w:rsidRPr="0007250D">
        <w:t>/</w:t>
      </w:r>
      <w:r w:rsidR="00A3643B">
        <w:t xml:space="preserve">o </w:t>
      </w:r>
      <w:r w:rsidR="00493A89" w:rsidRPr="0007250D">
        <w:t xml:space="preserve">representaciones </w:t>
      </w:r>
      <w:r w:rsidR="00A3643B" w:rsidRPr="0007250D">
        <w:t xml:space="preserve">de especificación </w:t>
      </w:r>
      <w:r w:rsidR="00493A89" w:rsidRPr="0007250D">
        <w:t>necesarias para documentar dicha experimentación.</w:t>
      </w:r>
      <w:bookmarkEnd w:id="37"/>
    </w:p>
    <w:p w14:paraId="7D85BE06" w14:textId="51C1E2C3" w:rsidR="00380A42" w:rsidRPr="0007250D" w:rsidRDefault="00A97077" w:rsidP="00A97077">
      <w:pPr>
        <w:pStyle w:val="enumlev1"/>
      </w:pPr>
      <w:bookmarkStart w:id="38" w:name="lt_pId162"/>
      <w:r w:rsidRPr="00B84360">
        <w:t>•</w:t>
      </w:r>
      <w:r>
        <w:tab/>
      </w:r>
      <w:r w:rsidR="00BC60C8" w:rsidRPr="00A97077">
        <w:rPr>
          <w:b/>
          <w:bCs/>
        </w:rPr>
        <w:t xml:space="preserve">Especificar los requisitos y arquitecturas </w:t>
      </w:r>
      <w:r w:rsidR="0049301B" w:rsidRPr="00A97077">
        <w:rPr>
          <w:b/>
          <w:bCs/>
        </w:rPr>
        <w:t>necesarios para la</w:t>
      </w:r>
      <w:r w:rsidR="00BC60C8" w:rsidRPr="00A97077">
        <w:rPr>
          <w:b/>
          <w:bCs/>
        </w:rPr>
        <w:t xml:space="preserve"> </w:t>
      </w:r>
      <w:r w:rsidR="00BC60C8" w:rsidRPr="00A97077">
        <w:rPr>
          <w:b/>
          <w:bCs/>
          <w:u w:val="single"/>
        </w:rPr>
        <w:t>adaptación</w:t>
      </w:r>
      <w:r w:rsidR="00BC60C8" w:rsidRPr="00A97077">
        <w:rPr>
          <w:b/>
          <w:bCs/>
        </w:rPr>
        <w:t xml:space="preserve"> </w:t>
      </w:r>
      <w:r w:rsidR="0049301B" w:rsidRPr="00A97077">
        <w:rPr>
          <w:b/>
          <w:bCs/>
        </w:rPr>
        <w:t>de</w:t>
      </w:r>
      <w:r w:rsidR="00BC60C8" w:rsidRPr="00A97077">
        <w:rPr>
          <w:b/>
          <w:bCs/>
        </w:rPr>
        <w:t xml:space="preserve"> las futuras redes </w:t>
      </w:r>
      <w:r w:rsidR="0049301B" w:rsidRPr="00A97077">
        <w:rPr>
          <w:b/>
          <w:bCs/>
        </w:rPr>
        <w:t>en aras de su</w:t>
      </w:r>
      <w:r w:rsidR="00BC60C8" w:rsidRPr="00A97077">
        <w:rPr>
          <w:b/>
          <w:bCs/>
        </w:rPr>
        <w:t xml:space="preserve"> autonomía:</w:t>
      </w:r>
      <w:bookmarkEnd w:id="38"/>
    </w:p>
    <w:p w14:paraId="0ED7E51E" w14:textId="29FD8425" w:rsidR="00380A42" w:rsidRPr="0007250D" w:rsidRDefault="002F634E" w:rsidP="002F634E">
      <w:pPr>
        <w:pStyle w:val="enumlev2"/>
      </w:pPr>
      <w:bookmarkStart w:id="39" w:name="lt_pId163"/>
      <w:r>
        <w:t>–</w:t>
      </w:r>
      <w:r>
        <w:tab/>
      </w:r>
      <w:r w:rsidR="00BC60C8" w:rsidRPr="0007250D">
        <w:t xml:space="preserve">Comprender las limitaciones de la evolución con respecto a la autoadaptación de los sistemas de dominio múltiple, especialmente </w:t>
      </w:r>
      <w:r w:rsidR="0091766F" w:rsidRPr="0007250D">
        <w:t>mediante el uso de</w:t>
      </w:r>
      <w:r w:rsidR="00BC60C8" w:rsidRPr="0007250D">
        <w:t xml:space="preserve"> mecanismos de orquestación, como el orquestador de funci</w:t>
      </w:r>
      <w:r w:rsidR="0091766F" w:rsidRPr="0007250D">
        <w:t>o</w:t>
      </w:r>
      <w:r w:rsidR="00BC60C8" w:rsidRPr="0007250D">
        <w:t>n</w:t>
      </w:r>
      <w:r w:rsidR="0091766F" w:rsidRPr="0007250D">
        <w:t>es</w:t>
      </w:r>
      <w:r w:rsidR="00BC60C8" w:rsidRPr="0007250D">
        <w:t xml:space="preserve"> de aprendizaje automático (MLFO).</w:t>
      </w:r>
      <w:bookmarkEnd w:id="39"/>
    </w:p>
    <w:p w14:paraId="0B7D69F9" w14:textId="7DC351DC" w:rsidR="00380A42" w:rsidRPr="0007250D" w:rsidRDefault="002F634E" w:rsidP="002F634E">
      <w:pPr>
        <w:pStyle w:val="enumlev2"/>
      </w:pPr>
      <w:bookmarkStart w:id="40" w:name="lt_pId164"/>
      <w:r>
        <w:t>–</w:t>
      </w:r>
      <w:r>
        <w:tab/>
      </w:r>
      <w:r w:rsidR="0091766F" w:rsidRPr="0007250D">
        <w:t>Definir</w:t>
      </w:r>
      <w:r w:rsidR="00BC60C8" w:rsidRPr="0007250D">
        <w:t xml:space="preserve"> la relación</w:t>
      </w:r>
      <w:r w:rsidR="0091766F" w:rsidRPr="0007250D">
        <w:t xml:space="preserve"> existente</w:t>
      </w:r>
      <w:r w:rsidR="00BC60C8" w:rsidRPr="0007250D">
        <w:t xml:space="preserve"> entre la autonomía y las redes futuras</w:t>
      </w:r>
      <w:r w:rsidR="0091766F" w:rsidRPr="0007250D">
        <w:t>,</w:t>
      </w:r>
      <w:r w:rsidR="00BC60C8" w:rsidRPr="0007250D">
        <w:t xml:space="preserve"> en lo que</w:t>
      </w:r>
      <w:r w:rsidR="0091766F" w:rsidRPr="0007250D">
        <w:t xml:space="preserve"> atañe</w:t>
      </w:r>
      <w:r w:rsidR="00BC60C8" w:rsidRPr="0007250D">
        <w:t xml:space="preserve"> a los puntos de interacción, el intercambio y la velocidad</w:t>
      </w:r>
      <w:r w:rsidR="0091766F" w:rsidRPr="0007250D">
        <w:t xml:space="preserve"> de los datos</w:t>
      </w:r>
      <w:r w:rsidR="00BC60C8" w:rsidRPr="0007250D">
        <w:t>, y l</w:t>
      </w:r>
      <w:r w:rsidR="0091766F" w:rsidRPr="0007250D">
        <w:t>o</w:t>
      </w:r>
      <w:r w:rsidR="00BC60C8" w:rsidRPr="0007250D">
        <w:t>s</w:t>
      </w:r>
      <w:r w:rsidR="0091766F" w:rsidRPr="0007250D">
        <w:t xml:space="preserve"> marcos</w:t>
      </w:r>
      <w:r w:rsidR="00BC60C8" w:rsidRPr="0007250D">
        <w:t xml:space="preserve"> operacionales segur</w:t>
      </w:r>
      <w:r w:rsidR="0091766F" w:rsidRPr="0007250D">
        <w:t>o</w:t>
      </w:r>
      <w:r w:rsidR="00BC60C8" w:rsidRPr="0007250D">
        <w:t>s.</w:t>
      </w:r>
      <w:bookmarkEnd w:id="40"/>
    </w:p>
    <w:p w14:paraId="6557202A" w14:textId="49285DA2" w:rsidR="00380A42" w:rsidRPr="0007250D" w:rsidRDefault="002F634E" w:rsidP="002F634E">
      <w:pPr>
        <w:pStyle w:val="enumlev2"/>
      </w:pPr>
      <w:bookmarkStart w:id="41" w:name="lt_pId165"/>
      <w:r>
        <w:t>–</w:t>
      </w:r>
      <w:r>
        <w:tab/>
      </w:r>
      <w:r w:rsidR="00BC60C8" w:rsidRPr="0007250D">
        <w:t xml:space="preserve">Permitir la creación de interfaces </w:t>
      </w:r>
      <w:r w:rsidR="0091766F" w:rsidRPr="0007250D">
        <w:t>interoperables,</w:t>
      </w:r>
      <w:r w:rsidR="00BC60C8" w:rsidRPr="0007250D">
        <w:t xml:space="preserve"> para </w:t>
      </w:r>
      <w:r w:rsidR="0091766F" w:rsidRPr="0007250D">
        <w:t xml:space="preserve">la validación de </w:t>
      </w:r>
      <w:r w:rsidR="00BC60C8" w:rsidRPr="0007250D">
        <w:t>nuevos casos de uso sin intervención humana.</w:t>
      </w:r>
      <w:bookmarkEnd w:id="41"/>
    </w:p>
    <w:p w14:paraId="22C55C92" w14:textId="16253D64" w:rsidR="00380A42" w:rsidRPr="0007250D" w:rsidRDefault="00A97077" w:rsidP="00A97077">
      <w:pPr>
        <w:pStyle w:val="enumlev1"/>
      </w:pPr>
      <w:bookmarkStart w:id="42" w:name="lt_pId166"/>
      <w:r w:rsidRPr="00B84360">
        <w:t>•</w:t>
      </w:r>
      <w:r>
        <w:tab/>
      </w:r>
      <w:r w:rsidR="00BC60C8" w:rsidRPr="00A97077">
        <w:rPr>
          <w:b/>
          <w:bCs/>
        </w:rPr>
        <w:t>Coordinación con otras organizaciones:</w:t>
      </w:r>
      <w:bookmarkEnd w:id="42"/>
    </w:p>
    <w:p w14:paraId="17EE15DF" w14:textId="2C9CDB4E" w:rsidR="0036288A" w:rsidRPr="0007250D" w:rsidRDefault="002F634E" w:rsidP="002F634E">
      <w:pPr>
        <w:pStyle w:val="enumlev2"/>
      </w:pPr>
      <w:r>
        <w:t>–</w:t>
      </w:r>
      <w:r>
        <w:tab/>
      </w:r>
      <w:r w:rsidR="00366D4E" w:rsidRPr="0007250D">
        <w:t xml:space="preserve">Establecer vínculos y relaciones con otras organizaciones que puedan contribuir a las actividades de normalización </w:t>
      </w:r>
      <w:r w:rsidR="00BC60C8" w:rsidRPr="0007250D">
        <w:t>y de código abierto relacionadas con las redes autónomas,</w:t>
      </w:r>
      <w:r w:rsidR="00366D4E" w:rsidRPr="0007250D">
        <w:t xml:space="preserve"> </w:t>
      </w:r>
      <w:r w:rsidR="00BC60C8" w:rsidRPr="0007250D">
        <w:t xml:space="preserve">especialmente en lo que respecta a los casos de uso, los requisitos, la arquitectura y </w:t>
      </w:r>
      <w:r w:rsidR="00366D4E" w:rsidRPr="0007250D">
        <w:t>las pruebas de conceptos.</w:t>
      </w:r>
      <w:r w:rsidR="00BC60C8" w:rsidRPr="0007250D">
        <w:t xml:space="preserve"> También sería útil examinar </w:t>
      </w:r>
      <w:r w:rsidR="00366D4E" w:rsidRPr="0007250D">
        <w:t>aquel</w:t>
      </w:r>
      <w:r w:rsidR="00BC60C8" w:rsidRPr="0007250D">
        <w:t xml:space="preserve">los componentes y conceptos </w:t>
      </w:r>
      <w:r w:rsidR="00366D4E" w:rsidRPr="0007250D">
        <w:t xml:space="preserve">de otros grupos </w:t>
      </w:r>
      <w:r w:rsidR="00BC60C8" w:rsidRPr="0007250D">
        <w:t>que</w:t>
      </w:r>
      <w:r w:rsidR="00366D4E" w:rsidRPr="0007250D">
        <w:t xml:space="preserve"> pudieran </w:t>
      </w:r>
      <w:r w:rsidR="00BC60C8" w:rsidRPr="0007250D">
        <w:t>reutilizarse.</w:t>
      </w:r>
    </w:p>
    <w:p w14:paraId="6FF90AF5" w14:textId="189615CE" w:rsidR="00366D4E" w:rsidRPr="0007250D" w:rsidRDefault="002F634E" w:rsidP="002F634E">
      <w:pPr>
        <w:pStyle w:val="enumlev2"/>
      </w:pPr>
      <w:r>
        <w:t>–</w:t>
      </w:r>
      <w:r>
        <w:tab/>
      </w:r>
      <w:r w:rsidR="00BC60C8" w:rsidRPr="0007250D">
        <w:t xml:space="preserve">Estudiar, revisar y </w:t>
      </w:r>
      <w:r w:rsidR="00366D4E" w:rsidRPr="0007250D">
        <w:t>evaluar</w:t>
      </w:r>
      <w:r w:rsidR="00BC60C8" w:rsidRPr="0007250D">
        <w:t xml:space="preserve"> las tecnologías, los proyectos de código abierto, las plataformas, las directrices y las normas </w:t>
      </w:r>
      <w:r w:rsidR="00366D4E" w:rsidRPr="0007250D">
        <w:t>existentes en</w:t>
      </w:r>
      <w:r w:rsidR="002110FE">
        <w:t xml:space="preserve"> relación con</w:t>
      </w:r>
      <w:r w:rsidR="00366D4E" w:rsidRPr="0007250D">
        <w:t xml:space="preserve"> la </w:t>
      </w:r>
      <w:r w:rsidR="00BC60C8" w:rsidRPr="0007250D">
        <w:t>autonomía de las redes actuales y futuras</w:t>
      </w:r>
      <w:r w:rsidR="00366D4E" w:rsidRPr="0007250D">
        <w:t>.</w:t>
      </w:r>
    </w:p>
    <w:p w14:paraId="5B88FF2B" w14:textId="77777777" w:rsidR="00CE5A91" w:rsidRPr="0007250D" w:rsidRDefault="00CE5A91" w:rsidP="00D0531D">
      <w:pPr>
        <w:pStyle w:val="Heading1"/>
      </w:pPr>
      <w:r w:rsidRPr="0007250D">
        <w:t>3</w:t>
      </w:r>
      <w:r w:rsidRPr="0007250D">
        <w:tab/>
        <w:t>Estructura</w:t>
      </w:r>
    </w:p>
    <w:p w14:paraId="31B20B75" w14:textId="2755670A" w:rsidR="00CE5A91" w:rsidRPr="0007250D" w:rsidRDefault="00CE5A91" w:rsidP="00D0531D">
      <w:r w:rsidRPr="0007250D">
        <w:t>En caso de necesidad, el FG-</w:t>
      </w:r>
      <w:r w:rsidR="00BC60C8" w:rsidRPr="0007250D">
        <w:t>AN</w:t>
      </w:r>
      <w:r w:rsidRPr="0007250D">
        <w:t xml:space="preserve"> puede crear subgrupos.</w:t>
      </w:r>
    </w:p>
    <w:p w14:paraId="166E647E" w14:textId="77777777" w:rsidR="00CE5A91" w:rsidRPr="0007250D" w:rsidRDefault="00CE5A91" w:rsidP="00D0531D">
      <w:pPr>
        <w:pStyle w:val="Heading1"/>
      </w:pPr>
      <w:r w:rsidRPr="005D18C9">
        <w:lastRenderedPageBreak/>
        <w:t>4</w:t>
      </w:r>
      <w:r w:rsidRPr="0007250D">
        <w:tab/>
        <w:t>Tareas específicas y productos finales</w:t>
      </w:r>
    </w:p>
    <w:p w14:paraId="276B3B5E" w14:textId="3167A317" w:rsidR="0036288A" w:rsidRPr="0007250D" w:rsidRDefault="00CE5A91" w:rsidP="002F634E">
      <w:pPr>
        <w:keepNext/>
        <w:keepLines/>
      </w:pPr>
      <w:r w:rsidRPr="0007250D">
        <w:t xml:space="preserve">Entre las tareas y los productos del </w:t>
      </w:r>
      <w:r w:rsidR="00C37E70">
        <w:t>FG</w:t>
      </w:r>
      <w:r w:rsidRPr="0007250D">
        <w:t>-</w:t>
      </w:r>
      <w:r w:rsidR="00BC60C8" w:rsidRPr="0007250D">
        <w:t>AN</w:t>
      </w:r>
      <w:r w:rsidRPr="0007250D">
        <w:t xml:space="preserve"> cabe destacar, en particular:</w:t>
      </w:r>
    </w:p>
    <w:p w14:paraId="50240109" w14:textId="193617D6" w:rsidR="00F33568" w:rsidRPr="0007250D" w:rsidRDefault="00A97077" w:rsidP="00A97077">
      <w:pPr>
        <w:pStyle w:val="enumlev1"/>
      </w:pPr>
      <w:bookmarkStart w:id="43" w:name="lt_pId176"/>
      <w:r>
        <w:t>•</w:t>
      </w:r>
      <w:r>
        <w:tab/>
      </w:r>
      <w:r w:rsidR="00BC60C8" w:rsidRPr="0007250D">
        <w:rPr>
          <w:b/>
        </w:rPr>
        <w:t>Análisis de</w:t>
      </w:r>
      <w:r w:rsidR="002110FE">
        <w:rPr>
          <w:b/>
        </w:rPr>
        <w:t xml:space="preserve"> las</w:t>
      </w:r>
      <w:r w:rsidR="00BC60C8" w:rsidRPr="0007250D">
        <w:rPr>
          <w:b/>
        </w:rPr>
        <w:t xml:space="preserve"> </w:t>
      </w:r>
      <w:r w:rsidR="00297922" w:rsidRPr="0007250D">
        <w:rPr>
          <w:b/>
        </w:rPr>
        <w:t>carencias</w:t>
      </w:r>
      <w:r w:rsidR="00BC60C8" w:rsidRPr="005D18C9">
        <w:rPr>
          <w:bCs/>
        </w:rPr>
        <w:t xml:space="preserve">: </w:t>
      </w:r>
      <w:r w:rsidR="00BC60C8" w:rsidRPr="0007250D">
        <w:t xml:space="preserve">Estudiar las iniciativas existentes </w:t>
      </w:r>
      <w:r w:rsidR="00297922" w:rsidRPr="0007250D">
        <w:t>en el ámbito</w:t>
      </w:r>
      <w:r w:rsidR="00BC60C8" w:rsidRPr="0007250D">
        <w:t xml:space="preserve"> </w:t>
      </w:r>
      <w:r w:rsidR="00297922" w:rsidRPr="0007250D">
        <w:t>de</w:t>
      </w:r>
      <w:r w:rsidR="00BC60C8" w:rsidRPr="0007250D">
        <w:t xml:space="preserve"> las redes autónomas, </w:t>
      </w:r>
      <w:r w:rsidR="00297922" w:rsidRPr="0007250D">
        <w:t>detectar las normas vigentes en otras organizaciones de normalización</w:t>
      </w:r>
      <w:r w:rsidR="00BC60C8" w:rsidRPr="0007250D">
        <w:t xml:space="preserve"> </w:t>
      </w:r>
      <w:r w:rsidR="00297922" w:rsidRPr="0007250D">
        <w:t xml:space="preserve">y determinar </w:t>
      </w:r>
      <w:r w:rsidR="00BC60C8" w:rsidRPr="0007250D">
        <w:t xml:space="preserve">el trabajo adicional necesario para adoptar los conceptos </w:t>
      </w:r>
      <w:r w:rsidR="00297922" w:rsidRPr="0007250D">
        <w:t>básicos</w:t>
      </w:r>
      <w:r w:rsidR="00BC60C8" w:rsidRPr="0007250D">
        <w:t xml:space="preserve"> (evolución, creatividad, adaptación y exploración en línea, </w:t>
      </w:r>
      <w:r w:rsidR="002110FE">
        <w:t>entre otros</w:t>
      </w:r>
      <w:r w:rsidR="00BC60C8" w:rsidRPr="0007250D">
        <w:t xml:space="preserve">) </w:t>
      </w:r>
      <w:r w:rsidR="00297922" w:rsidRPr="0007250D">
        <w:t>de</w:t>
      </w:r>
      <w:r w:rsidR="00BC60C8" w:rsidRPr="0007250D">
        <w:t xml:space="preserve"> las redes autónomas. El análisis de</w:t>
      </w:r>
      <w:r w:rsidR="002110FE">
        <w:t xml:space="preserve"> las</w:t>
      </w:r>
      <w:r w:rsidR="00BC60C8" w:rsidRPr="0007250D">
        <w:t xml:space="preserve"> </w:t>
      </w:r>
      <w:r w:rsidR="00297922" w:rsidRPr="0007250D">
        <w:t>carencias</w:t>
      </w:r>
      <w:r w:rsidR="00BC60C8" w:rsidRPr="0007250D">
        <w:t xml:space="preserve"> se </w:t>
      </w:r>
      <w:r w:rsidR="00297922" w:rsidRPr="0007250D">
        <w:t xml:space="preserve">llevará a cabo en calidad de </w:t>
      </w:r>
      <w:r w:rsidR="00BC60C8" w:rsidRPr="0007250D">
        <w:t>actividad</w:t>
      </w:r>
      <w:r w:rsidR="00297922" w:rsidRPr="0007250D">
        <w:t xml:space="preserve"> transvers</w:t>
      </w:r>
      <w:r w:rsidR="00BC60C8" w:rsidRPr="0007250D">
        <w:t>al en todos los subgrupos</w:t>
      </w:r>
      <w:r w:rsidR="00D809A5" w:rsidRPr="0007250D">
        <w:t xml:space="preserve"> y debería abarcar las</w:t>
      </w:r>
      <w:r w:rsidR="00BC60C8" w:rsidRPr="0007250D">
        <w:t xml:space="preserve"> normas, </w:t>
      </w:r>
      <w:r w:rsidR="00D809A5" w:rsidRPr="0007250D">
        <w:t xml:space="preserve">las actividades de los </w:t>
      </w:r>
      <w:r w:rsidR="00BC60C8" w:rsidRPr="0007250D">
        <w:t>organismos</w:t>
      </w:r>
      <w:r w:rsidR="00D809A5" w:rsidRPr="0007250D">
        <w:t xml:space="preserve"> del sector</w:t>
      </w:r>
      <w:r w:rsidR="00BC60C8" w:rsidRPr="0007250D">
        <w:t xml:space="preserve"> y </w:t>
      </w:r>
      <w:r w:rsidR="00D809A5" w:rsidRPr="0007250D">
        <w:t xml:space="preserve">los proyectos de </w:t>
      </w:r>
      <w:r w:rsidR="00BC60C8" w:rsidRPr="0007250D">
        <w:t>código abierto</w:t>
      </w:r>
      <w:r w:rsidR="00D809A5" w:rsidRPr="0007250D">
        <w:t xml:space="preserve"> que guardan relación </w:t>
      </w:r>
      <w:r w:rsidR="00BC60C8" w:rsidRPr="0007250D">
        <w:t>con las redes autónomas. Esta actividad se</w:t>
      </w:r>
      <w:r w:rsidR="00D809A5" w:rsidRPr="0007250D">
        <w:t xml:space="preserve"> llevar</w:t>
      </w:r>
      <w:r w:rsidR="00BC60C8" w:rsidRPr="0007250D">
        <w:t xml:space="preserve">á </w:t>
      </w:r>
      <w:r w:rsidR="00D809A5" w:rsidRPr="0007250D">
        <w:t xml:space="preserve">a cabo de forma </w:t>
      </w:r>
      <w:r w:rsidR="00BC60C8" w:rsidRPr="0007250D">
        <w:t xml:space="preserve">continua y se actualizará periódicamente </w:t>
      </w:r>
      <w:r w:rsidR="00D809A5" w:rsidRPr="0007250D">
        <w:t>mediante</w:t>
      </w:r>
      <w:r w:rsidR="00BC60C8" w:rsidRPr="0007250D">
        <w:t xml:space="preserve"> un informe técnico.</w:t>
      </w:r>
      <w:bookmarkEnd w:id="43"/>
    </w:p>
    <w:p w14:paraId="1048A025" w14:textId="33D54EA0" w:rsidR="00F33568" w:rsidRPr="0007250D" w:rsidRDefault="00A97077" w:rsidP="00A97077">
      <w:pPr>
        <w:pStyle w:val="enumlev1"/>
      </w:pPr>
      <w:bookmarkStart w:id="44" w:name="lt_pId181"/>
      <w:r>
        <w:t>•</w:t>
      </w:r>
      <w:r>
        <w:tab/>
      </w:r>
      <w:r w:rsidR="00BC60C8" w:rsidRPr="0007250D">
        <w:rPr>
          <w:b/>
        </w:rPr>
        <w:t>Definiciones</w:t>
      </w:r>
      <w:r w:rsidR="00BC60C8" w:rsidRPr="005D18C9">
        <w:rPr>
          <w:bCs/>
        </w:rPr>
        <w:t xml:space="preserve">: </w:t>
      </w:r>
      <w:r w:rsidR="00BC60C8" w:rsidRPr="0007250D">
        <w:t xml:space="preserve">Promover la armonización de las terminologías y taxonomías </w:t>
      </w:r>
      <w:r w:rsidR="00D809A5" w:rsidRPr="0007250D">
        <w:t>relativas a</w:t>
      </w:r>
      <w:r w:rsidR="00BC60C8" w:rsidRPr="0007250D">
        <w:t xml:space="preserve"> las redes autónomas y el ecosistema pertinente necesario para la normalización</w:t>
      </w:r>
      <w:bookmarkEnd w:id="44"/>
      <w:r w:rsidR="00D809A5" w:rsidRPr="0007250D">
        <w:t>.</w:t>
      </w:r>
    </w:p>
    <w:p w14:paraId="4D34782B" w14:textId="4F881D35" w:rsidR="00F33568" w:rsidRPr="0007250D" w:rsidRDefault="00A97077" w:rsidP="00A97077">
      <w:pPr>
        <w:pStyle w:val="enumlev1"/>
      </w:pPr>
      <w:bookmarkStart w:id="45" w:name="lt_pId183"/>
      <w:r>
        <w:t>•</w:t>
      </w:r>
      <w:r>
        <w:tab/>
      </w:r>
      <w:r w:rsidR="00BC60C8" w:rsidRPr="0007250D">
        <w:rPr>
          <w:b/>
        </w:rPr>
        <w:t>Análisis de casos de uso</w:t>
      </w:r>
      <w:r w:rsidR="00BC60C8" w:rsidRPr="005D18C9">
        <w:rPr>
          <w:bCs/>
        </w:rPr>
        <w:t xml:space="preserve">: </w:t>
      </w:r>
      <w:r w:rsidR="00BC60C8" w:rsidRPr="0007250D">
        <w:t xml:space="preserve">Estudiar </w:t>
      </w:r>
      <w:r w:rsidR="00D809A5" w:rsidRPr="0007250D">
        <w:t>y definir</w:t>
      </w:r>
      <w:r w:rsidR="00BC60C8" w:rsidRPr="0007250D">
        <w:t xml:space="preserve"> casos de uso de redes autónomas, haciendo hincapié en los conceptos </w:t>
      </w:r>
      <w:r w:rsidR="00D809A5" w:rsidRPr="0007250D">
        <w:t>básicos</w:t>
      </w:r>
      <w:r w:rsidR="00BC60C8" w:rsidRPr="0007250D">
        <w:t>, en el contexto de las futuras redes.</w:t>
      </w:r>
      <w:bookmarkEnd w:id="45"/>
    </w:p>
    <w:p w14:paraId="70F2E375" w14:textId="69C02E8C" w:rsidR="00F33568" w:rsidRPr="0007250D" w:rsidRDefault="002F634E" w:rsidP="002F634E">
      <w:pPr>
        <w:pStyle w:val="enumlev1"/>
      </w:pPr>
      <w:bookmarkStart w:id="46" w:name="lt_pId185"/>
      <w:r>
        <w:tab/>
      </w:r>
      <w:r w:rsidR="00BC60C8" w:rsidRPr="0007250D">
        <w:t>NOTA</w:t>
      </w:r>
      <w:r w:rsidR="00D809A5" w:rsidRPr="0007250D">
        <w:t xml:space="preserve"> – L</w:t>
      </w:r>
      <w:r w:rsidR="00BC60C8" w:rsidRPr="0007250D">
        <w:t xml:space="preserve">a generación autónoma de nuevos casos de uso </w:t>
      </w:r>
      <w:r w:rsidR="00D809A5" w:rsidRPr="0007250D">
        <w:t>constituye</w:t>
      </w:r>
      <w:r w:rsidR="00BC60C8" w:rsidRPr="0007250D">
        <w:t xml:space="preserve"> un caso de uso específico </w:t>
      </w:r>
      <w:r w:rsidR="00D809A5" w:rsidRPr="0007250D">
        <w:t>de</w:t>
      </w:r>
      <w:r w:rsidR="00BC60C8" w:rsidRPr="0007250D">
        <w:t xml:space="preserve"> las redes autónomas.</w:t>
      </w:r>
      <w:bookmarkEnd w:id="46"/>
    </w:p>
    <w:p w14:paraId="310CF78A" w14:textId="44A38091" w:rsidR="00F33568" w:rsidRPr="0007250D" w:rsidRDefault="00A97077" w:rsidP="00A97077">
      <w:pPr>
        <w:pStyle w:val="enumlev1"/>
      </w:pPr>
      <w:bookmarkStart w:id="47" w:name="lt_pId186"/>
      <w:r>
        <w:t>•</w:t>
      </w:r>
      <w:r>
        <w:tab/>
      </w:r>
      <w:r w:rsidR="00BC60C8" w:rsidRPr="0007250D">
        <w:rPr>
          <w:b/>
        </w:rPr>
        <w:t>Requisitos y arquitectura</w:t>
      </w:r>
      <w:r w:rsidR="00BC60C8" w:rsidRPr="005D18C9">
        <w:rPr>
          <w:bCs/>
        </w:rPr>
        <w:t xml:space="preserve">: </w:t>
      </w:r>
      <w:r w:rsidR="00BC60C8" w:rsidRPr="0007250D">
        <w:t>Estudiar y especificar posibles requisitos y arquitecturas de redes autónomas.</w:t>
      </w:r>
      <w:bookmarkEnd w:id="47"/>
    </w:p>
    <w:p w14:paraId="598142AC" w14:textId="79D37E91" w:rsidR="00F33568" w:rsidRPr="0007250D" w:rsidRDefault="002F634E" w:rsidP="002F634E">
      <w:pPr>
        <w:pStyle w:val="enumlev2"/>
      </w:pPr>
      <w:bookmarkStart w:id="48" w:name="lt_pId188"/>
      <w:r w:rsidRPr="00F12A7B">
        <w:t>–</w:t>
      </w:r>
      <w:r>
        <w:tab/>
      </w:r>
      <w:r w:rsidR="00BC60C8" w:rsidRPr="0007250D">
        <w:t xml:space="preserve">Estudiar y definir los principales habilitadores técnicos para la </w:t>
      </w:r>
      <w:r w:rsidR="000C11B4" w:rsidRPr="0007250D">
        <w:t>construcción</w:t>
      </w:r>
      <w:r w:rsidR="00BC60C8" w:rsidRPr="0007250D">
        <w:t xml:space="preserve"> de redes autónomas (por ejemplo</w:t>
      </w:r>
      <w:r w:rsidR="00F12A7B">
        <w:t>,</w:t>
      </w:r>
      <w:r w:rsidR="00BC60C8" w:rsidRPr="0007250D">
        <w:t xml:space="preserve"> </w:t>
      </w:r>
      <w:r w:rsidR="000C11B4" w:rsidRPr="0007250D">
        <w:t>un m</w:t>
      </w:r>
      <w:r w:rsidR="00BC60C8" w:rsidRPr="0007250D">
        <w:t xml:space="preserve">ecanismo de evolución </w:t>
      </w:r>
      <w:r w:rsidR="002110FE">
        <w:t>en aras de</w:t>
      </w:r>
      <w:r w:rsidR="00BC60C8" w:rsidRPr="0007250D">
        <w:t xml:space="preserve"> la creatividad, </w:t>
      </w:r>
      <w:r w:rsidR="000C11B4" w:rsidRPr="0007250D">
        <w:t xml:space="preserve">un modelo de </w:t>
      </w:r>
      <w:r w:rsidR="000C11B4" w:rsidRPr="00F12A7B">
        <w:t>caja de arena</w:t>
      </w:r>
      <w:r w:rsidR="00BC60C8" w:rsidRPr="0007250D">
        <w:t>/</w:t>
      </w:r>
      <w:r w:rsidR="000C11B4" w:rsidRPr="0007250D">
        <w:t>m</w:t>
      </w:r>
      <w:r w:rsidR="00BC60C8" w:rsidRPr="0007250D">
        <w:t>otor de experimentación</w:t>
      </w:r>
      <w:r w:rsidR="000C11B4" w:rsidRPr="0007250D">
        <w:t xml:space="preserve"> </w:t>
      </w:r>
      <w:r w:rsidR="000D64FF">
        <w:t>adaptativa</w:t>
      </w:r>
      <w:r w:rsidR="00BC60C8" w:rsidRPr="0007250D">
        <w:t xml:space="preserve"> en tiempo real</w:t>
      </w:r>
      <w:r w:rsidR="000C11B4" w:rsidRPr="0007250D">
        <w:t xml:space="preserve"> o un sistema de mo</w:t>
      </w:r>
      <w:r w:rsidR="00BC60C8" w:rsidRPr="0007250D">
        <w:t>dularidad para permitir la adaptación)</w:t>
      </w:r>
      <w:r w:rsidR="000C11B4" w:rsidRPr="0007250D">
        <w:t>, incluidas</w:t>
      </w:r>
      <w:r w:rsidR="00BC60C8" w:rsidRPr="0007250D">
        <w:t>:</w:t>
      </w:r>
      <w:bookmarkEnd w:id="48"/>
    </w:p>
    <w:p w14:paraId="4EE79CA5" w14:textId="54AB46B0" w:rsidR="00F33568" w:rsidRPr="0007250D" w:rsidRDefault="002F634E" w:rsidP="002F634E">
      <w:pPr>
        <w:pStyle w:val="enumlev3"/>
      </w:pPr>
      <w:bookmarkStart w:id="49" w:name="lt_pId189"/>
      <w:r>
        <w:t>•</w:t>
      </w:r>
      <w:r>
        <w:tab/>
      </w:r>
      <w:r w:rsidR="000C11B4" w:rsidRPr="0007250D">
        <w:t>e</w:t>
      </w:r>
      <w:r w:rsidR="00BC60C8" w:rsidRPr="0007250D">
        <w:t>specificaciones de los</w:t>
      </w:r>
      <w:r w:rsidR="000C11B4" w:rsidRPr="0007250D">
        <w:t xml:space="preserve"> principales</w:t>
      </w:r>
      <w:r w:rsidR="00BC60C8" w:rsidRPr="0007250D">
        <w:t xml:space="preserve"> habilitadores técnicos;</w:t>
      </w:r>
      <w:bookmarkEnd w:id="49"/>
    </w:p>
    <w:p w14:paraId="26714FD1" w14:textId="7C676640" w:rsidR="00F33568" w:rsidRPr="0007250D" w:rsidRDefault="002F634E" w:rsidP="002F634E">
      <w:pPr>
        <w:pStyle w:val="enumlev3"/>
      </w:pPr>
      <w:bookmarkStart w:id="50" w:name="lt_pId190"/>
      <w:r>
        <w:t>•</w:t>
      </w:r>
      <w:r>
        <w:tab/>
      </w:r>
      <w:r w:rsidR="000C11B4" w:rsidRPr="0007250D">
        <w:t>d</w:t>
      </w:r>
      <w:r w:rsidR="00BC60C8" w:rsidRPr="0007250D">
        <w:t xml:space="preserve">irectrices </w:t>
      </w:r>
      <w:r w:rsidR="000C11B4" w:rsidRPr="0007250D">
        <w:t>en materia</w:t>
      </w:r>
      <w:r w:rsidR="00BC60C8" w:rsidRPr="0007250D">
        <w:t xml:space="preserve"> </w:t>
      </w:r>
      <w:r w:rsidR="000C11B4" w:rsidRPr="0007250D">
        <w:t>de</w:t>
      </w:r>
      <w:r w:rsidR="00BC60C8" w:rsidRPr="0007250D">
        <w:t xml:space="preserve"> experimentación </w:t>
      </w:r>
      <w:r w:rsidR="000D64FF">
        <w:t>adaptativa</w:t>
      </w:r>
      <w:r w:rsidR="00BC60C8" w:rsidRPr="0007250D">
        <w:t xml:space="preserve"> en tiempo real;</w:t>
      </w:r>
      <w:bookmarkEnd w:id="50"/>
    </w:p>
    <w:p w14:paraId="640FD1A7" w14:textId="25CAB018" w:rsidR="00F33568" w:rsidRPr="0007250D" w:rsidRDefault="002F634E" w:rsidP="002F634E">
      <w:pPr>
        <w:pStyle w:val="enumlev3"/>
      </w:pPr>
      <w:bookmarkStart w:id="51" w:name="lt_pId191"/>
      <w:r>
        <w:t>•</w:t>
      </w:r>
      <w:r>
        <w:tab/>
      </w:r>
      <w:r w:rsidR="000C11B4" w:rsidRPr="0007250D">
        <w:t xml:space="preserve">cuestiones relacionadas con la </w:t>
      </w:r>
      <w:r w:rsidR="00BC60C8" w:rsidRPr="0007250D">
        <w:t xml:space="preserve">fiabilidad, incluida la certeza y la solidez al seleccionar y </w:t>
      </w:r>
      <w:r w:rsidR="000C11B4" w:rsidRPr="0007250D">
        <w:t>ejecutar</w:t>
      </w:r>
      <w:r w:rsidR="00BC60C8" w:rsidRPr="0007250D">
        <w:t xml:space="preserve"> decisiones autónomas;</w:t>
      </w:r>
      <w:bookmarkEnd w:id="51"/>
    </w:p>
    <w:p w14:paraId="4DEACD82" w14:textId="412CC5ED" w:rsidR="00F33568" w:rsidRPr="0007250D" w:rsidRDefault="002F634E" w:rsidP="002F634E">
      <w:pPr>
        <w:pStyle w:val="enumlev3"/>
      </w:pPr>
      <w:bookmarkStart w:id="52" w:name="lt_pId192"/>
      <w:r>
        <w:t>•</w:t>
      </w:r>
      <w:r>
        <w:tab/>
      </w:r>
      <w:r w:rsidR="000C11B4" w:rsidRPr="0007250D">
        <w:t>la a</w:t>
      </w:r>
      <w:r w:rsidR="00BC60C8" w:rsidRPr="0007250D">
        <w:t xml:space="preserve">dopción del código abierto </w:t>
      </w:r>
      <w:r w:rsidR="002110FE" w:rsidRPr="0007250D">
        <w:t xml:space="preserve">y </w:t>
      </w:r>
      <w:r w:rsidR="002110FE">
        <w:t xml:space="preserve">la capacidad de </w:t>
      </w:r>
      <w:r w:rsidR="002110FE" w:rsidRPr="0007250D">
        <w:t>influencia</w:t>
      </w:r>
      <w:r w:rsidR="002110FE">
        <w:t xml:space="preserve"> en su aplicación</w:t>
      </w:r>
      <w:r w:rsidR="002110FE" w:rsidRPr="0007250D">
        <w:t xml:space="preserve"> </w:t>
      </w:r>
      <w:r w:rsidR="00F12A7B">
        <w:t>–</w:t>
      </w:r>
      <w:r w:rsidR="00F12A7B" w:rsidRPr="00F12A7B">
        <w:rPr>
          <w:sz w:val="2"/>
          <w:szCs w:val="2"/>
        </w:rPr>
        <w:t> </w:t>
      </w:r>
      <w:r w:rsidR="00BC60C8" w:rsidRPr="0007250D">
        <w:t>respetando los enfoques dominantes en la comunidad</w:t>
      </w:r>
      <w:r w:rsidR="00F12A7B">
        <w:t>–</w:t>
      </w:r>
      <w:r w:rsidR="00BC60C8" w:rsidRPr="0007250D">
        <w:t xml:space="preserve"> para colaborar en</w:t>
      </w:r>
      <w:r w:rsidR="000C11B4" w:rsidRPr="0007250D">
        <w:t xml:space="preserve"> </w:t>
      </w:r>
      <w:r w:rsidR="002110FE">
        <w:t>favor</w:t>
      </w:r>
      <w:r w:rsidR="000C11B4" w:rsidRPr="0007250D">
        <w:t xml:space="preserve"> de un modelo de aplicación de</w:t>
      </w:r>
      <w:r w:rsidR="00BC60C8" w:rsidRPr="0007250D">
        <w:t xml:space="preserve"> referencia de las especificaciones de</w:t>
      </w:r>
      <w:r w:rsidR="000C11B4" w:rsidRPr="0007250D">
        <w:t>l Grupo Temático</w:t>
      </w:r>
      <w:r w:rsidR="00BC60C8" w:rsidRPr="0007250D">
        <w:t>,</w:t>
      </w:r>
      <w:r w:rsidR="000C11B4" w:rsidRPr="0007250D">
        <w:t xml:space="preserve"> haciendo especial hincapié </w:t>
      </w:r>
      <w:r w:rsidR="00BC60C8" w:rsidRPr="0007250D">
        <w:t>e</w:t>
      </w:r>
      <w:r w:rsidR="000C11B4" w:rsidRPr="0007250D">
        <w:t>n</w:t>
      </w:r>
      <w:r w:rsidR="00BC60C8" w:rsidRPr="0007250D">
        <w:t xml:space="preserve"> la integración con otros grupos y</w:t>
      </w:r>
      <w:r w:rsidR="000C11B4" w:rsidRPr="0007250D">
        <w:t xml:space="preserve"> trabajos anteriores</w:t>
      </w:r>
      <w:r w:rsidR="00BC60C8" w:rsidRPr="0007250D">
        <w:t xml:space="preserve"> de la UIT.</w:t>
      </w:r>
      <w:bookmarkEnd w:id="52"/>
    </w:p>
    <w:p w14:paraId="0F90E973" w14:textId="4B3D19B3" w:rsidR="00F33568" w:rsidRPr="0007250D" w:rsidRDefault="00A97077" w:rsidP="00A97077">
      <w:pPr>
        <w:pStyle w:val="enumlev1"/>
        <w:rPr>
          <w:lang w:eastAsia="fr-FR"/>
        </w:rPr>
      </w:pPr>
      <w:bookmarkStart w:id="53" w:name="lt_pId193"/>
      <w:r w:rsidRPr="001D007E">
        <w:t>•</w:t>
      </w:r>
      <w:r>
        <w:tab/>
      </w:r>
      <w:r w:rsidR="00BC60C8" w:rsidRPr="00A97077">
        <w:rPr>
          <w:b/>
          <w:bCs/>
          <w:lang w:eastAsia="fr-FR"/>
        </w:rPr>
        <w:t>Asociaciones activas</w:t>
      </w:r>
      <w:r w:rsidR="00F33568" w:rsidRPr="00A97077">
        <w:rPr>
          <w:b/>
          <w:bCs/>
          <w:lang w:eastAsia="fr-FR"/>
        </w:rPr>
        <w:t>:</w:t>
      </w:r>
      <w:bookmarkEnd w:id="53"/>
    </w:p>
    <w:p w14:paraId="7FB49EDB" w14:textId="3B76ED20" w:rsidR="00F33568" w:rsidRPr="0007250D" w:rsidRDefault="002F634E" w:rsidP="002F634E">
      <w:pPr>
        <w:pStyle w:val="enumlev2"/>
      </w:pPr>
      <w:r>
        <w:t>–</w:t>
      </w:r>
      <w:r>
        <w:tab/>
      </w:r>
      <w:r w:rsidR="00BC60C8" w:rsidRPr="0007250D">
        <w:t>Colaborar con</w:t>
      </w:r>
      <w:r w:rsidR="00410368" w:rsidRPr="0007250D">
        <w:t xml:space="preserve"> organizaciones de normalización, grupos de</w:t>
      </w:r>
      <w:r w:rsidR="00BC60C8" w:rsidRPr="0007250D">
        <w:t xml:space="preserve"> </w:t>
      </w:r>
      <w:r w:rsidR="002110FE">
        <w:t xml:space="preserve">interesados en el </w:t>
      </w:r>
      <w:r w:rsidR="00BC60C8" w:rsidRPr="0007250D">
        <w:t>código abierto, foros, consorcios y entidades</w:t>
      </w:r>
      <w:r w:rsidR="00410368" w:rsidRPr="0007250D">
        <w:t xml:space="preserve"> de otra índole, cuyos trabajos guarden relación con </w:t>
      </w:r>
      <w:r w:rsidR="00BC60C8" w:rsidRPr="0007250D">
        <w:t>las redes autónomas</w:t>
      </w:r>
      <w:r w:rsidR="00410368" w:rsidRPr="0007250D">
        <w:t>,</w:t>
      </w:r>
      <w:r w:rsidR="00BC60C8" w:rsidRPr="0007250D">
        <w:t xml:space="preserve"> y </w:t>
      </w:r>
      <w:r w:rsidR="00410368" w:rsidRPr="0007250D">
        <w:t>colaborar</w:t>
      </w:r>
      <w:r w:rsidR="00BC60C8" w:rsidRPr="0007250D">
        <w:t xml:space="preserve"> con</w:t>
      </w:r>
      <w:r w:rsidR="00410368" w:rsidRPr="0007250D">
        <w:t xml:space="preserve"> otras</w:t>
      </w:r>
      <w:r w:rsidR="00BC60C8" w:rsidRPr="0007250D">
        <w:t xml:space="preserve"> organizaciones que puedan contribuir a las actividades </w:t>
      </w:r>
      <w:r w:rsidR="00410368" w:rsidRPr="0007250D">
        <w:t>encaminadas a la</w:t>
      </w:r>
      <w:r w:rsidR="00BC60C8" w:rsidRPr="0007250D">
        <w:t xml:space="preserve"> normalización de las redes autónomas</w:t>
      </w:r>
      <w:r w:rsidR="00410368" w:rsidRPr="0007250D">
        <w:t>,</w:t>
      </w:r>
      <w:r w:rsidR="00BC60C8" w:rsidRPr="0007250D">
        <w:t xml:space="preserve"> con el objetivo concreto de comprender el grado de autonomía </w:t>
      </w:r>
      <w:r w:rsidR="00410368" w:rsidRPr="0007250D">
        <w:t>que puede lograrse</w:t>
      </w:r>
      <w:r w:rsidR="00BC60C8" w:rsidRPr="0007250D">
        <w:t xml:space="preserve"> en esos ámbitos y los requisitos</w:t>
      </w:r>
      <w:r w:rsidR="00410368" w:rsidRPr="0007250D">
        <w:t xml:space="preserve"> inherentes a</w:t>
      </w:r>
      <w:r w:rsidR="00BC60C8" w:rsidRPr="0007250D">
        <w:t xml:space="preserve"> los habilitadores técnicos que acelerarían la integración de capacidades autónomas en las redes futuras.</w:t>
      </w:r>
    </w:p>
    <w:p w14:paraId="4077A895" w14:textId="7BD03B54" w:rsidR="00F33568" w:rsidRPr="0007250D" w:rsidRDefault="002F634E" w:rsidP="002F634E">
      <w:pPr>
        <w:pStyle w:val="enumlev2"/>
      </w:pPr>
      <w:r>
        <w:t>–</w:t>
      </w:r>
      <w:r>
        <w:tab/>
      </w:r>
      <w:r w:rsidR="00BC60C8" w:rsidRPr="0007250D">
        <w:t xml:space="preserve">Organizar talleres y foros temáticos sobre redes autónomas, que </w:t>
      </w:r>
      <w:r w:rsidR="00410368" w:rsidRPr="0007250D">
        <w:t>congreguen</w:t>
      </w:r>
      <w:r w:rsidR="00BC60C8" w:rsidRPr="0007250D">
        <w:t xml:space="preserve"> a tod</w:t>
      </w:r>
      <w:r w:rsidR="00410368" w:rsidRPr="0007250D">
        <w:t>a</w:t>
      </w:r>
      <w:r w:rsidR="00BC60C8" w:rsidRPr="0007250D">
        <w:t>s l</w:t>
      </w:r>
      <w:r w:rsidR="00410368" w:rsidRPr="0007250D">
        <w:t>a</w:t>
      </w:r>
      <w:r w:rsidR="00BC60C8" w:rsidRPr="0007250D">
        <w:t>s</w:t>
      </w:r>
      <w:r w:rsidR="00410368" w:rsidRPr="0007250D">
        <w:t xml:space="preserve"> partes</w:t>
      </w:r>
      <w:r w:rsidR="00BC60C8" w:rsidRPr="0007250D">
        <w:t xml:space="preserve"> interesad</w:t>
      </w:r>
      <w:r w:rsidR="00410368" w:rsidRPr="0007250D">
        <w:t>a</w:t>
      </w:r>
      <w:r w:rsidR="00BC60C8" w:rsidRPr="0007250D">
        <w:t>s, y promover las actividades del FG-AN, alentando tanto a los miembros de la UIT como a l</w:t>
      </w:r>
      <w:r w:rsidR="00410368" w:rsidRPr="0007250D">
        <w:t xml:space="preserve">as entidades ajenas a la </w:t>
      </w:r>
      <w:r w:rsidR="001D007E">
        <w:t>o</w:t>
      </w:r>
      <w:r w:rsidR="00410368" w:rsidRPr="0007250D">
        <w:t xml:space="preserve">rganización </w:t>
      </w:r>
      <w:r w:rsidR="00BC60C8" w:rsidRPr="0007250D">
        <w:t>a contribu</w:t>
      </w:r>
      <w:r w:rsidR="00410368" w:rsidRPr="0007250D">
        <w:t xml:space="preserve">ir a los trabajos y objetivos del </w:t>
      </w:r>
      <w:r w:rsidR="00BC60C8" w:rsidRPr="0007250D">
        <w:t>FG-AN</w:t>
      </w:r>
      <w:r w:rsidR="00C70A8B" w:rsidRPr="0007250D">
        <w:t>.</w:t>
      </w:r>
    </w:p>
    <w:p w14:paraId="416A98CF" w14:textId="77777777" w:rsidR="00CC308A" w:rsidRPr="0007250D" w:rsidRDefault="00CC308A" w:rsidP="00D0531D">
      <w:pPr>
        <w:pStyle w:val="Heading1"/>
      </w:pPr>
      <w:r w:rsidRPr="00326A9F">
        <w:lastRenderedPageBreak/>
        <w:t>5</w:t>
      </w:r>
      <w:r w:rsidRPr="0007250D">
        <w:tab/>
        <w:t>Relaciones</w:t>
      </w:r>
    </w:p>
    <w:p w14:paraId="1D1FC367" w14:textId="4CD24CB4" w:rsidR="00C70A8B" w:rsidRPr="0007250D" w:rsidRDefault="00CC308A" w:rsidP="00D0531D">
      <w:r w:rsidRPr="0007250D">
        <w:t xml:space="preserve">Este Grupo Temático colaborará estrechamente con la CE 13 por conducto de reuniones organizadas </w:t>
      </w:r>
      <w:r w:rsidR="00410368" w:rsidRPr="0007250D">
        <w:t>conjuntamente</w:t>
      </w:r>
      <w:r w:rsidRPr="0007250D">
        <w:t>, de ser posible. Por otro lado, el FG-</w:t>
      </w:r>
      <w:r w:rsidR="00410368" w:rsidRPr="0007250D">
        <w:t>AN</w:t>
      </w:r>
      <w:r w:rsidRPr="0007250D">
        <w:t xml:space="preserve"> colaborará (según proceda) con otros grupos y entidades pertinentes, de conformidad con la Recomendación UIT-T A.7. Entre dichos grupos y entidades figuran municipios, organizaciones no gubernamentales (ONG), responsables de la elaboración de políticas, organizaciones de normalización, foros y consorcios industriales, empresas, instituciones académicas, instituciones de investigación</w:t>
      </w:r>
      <w:r w:rsidR="00410368" w:rsidRPr="0007250D">
        <w:t xml:space="preserve">, grupos de </w:t>
      </w:r>
      <w:r w:rsidR="002110FE">
        <w:t xml:space="preserve">interesados en el </w:t>
      </w:r>
      <w:r w:rsidR="00410368" w:rsidRPr="0007250D">
        <w:t>código abierto</w:t>
      </w:r>
      <w:r w:rsidRPr="0007250D">
        <w:t xml:space="preserve"> y otras organizaciones pertinentes.</w:t>
      </w:r>
    </w:p>
    <w:p w14:paraId="580D9F94" w14:textId="77777777" w:rsidR="00203DAD" w:rsidRPr="0007250D" w:rsidRDefault="00203DAD" w:rsidP="00D0531D">
      <w:pPr>
        <w:pStyle w:val="Heading1"/>
      </w:pPr>
      <w:r w:rsidRPr="00177355">
        <w:t>6</w:t>
      </w:r>
      <w:r w:rsidRPr="00177355">
        <w:tab/>
        <w:t>Comisión rectora</w:t>
      </w:r>
    </w:p>
    <w:p w14:paraId="1DAFD5D9" w14:textId="594163E5" w:rsidR="00203DAD" w:rsidRPr="0007250D" w:rsidRDefault="00203DAD" w:rsidP="00D0531D">
      <w:r w:rsidRPr="0007250D">
        <w:t>La Comisión rectora del FG-</w:t>
      </w:r>
      <w:r w:rsidR="00410368" w:rsidRPr="0007250D">
        <w:t>AN</w:t>
      </w:r>
      <w:r w:rsidRPr="0007250D">
        <w:t xml:space="preserve"> es la </w:t>
      </w:r>
      <w:r w:rsidRPr="0007250D">
        <w:rPr>
          <w:b/>
          <w:bCs/>
        </w:rPr>
        <w:t>Comisión de Estudio 13 del UIT-T</w:t>
      </w:r>
      <w:r w:rsidRPr="0007250D">
        <w:t xml:space="preserve"> sobre "Redes futuras, especialmente las IMT-2020, la computación en la nube y las infraestructuras de red de confianza".</w:t>
      </w:r>
    </w:p>
    <w:p w14:paraId="7DAB9A94" w14:textId="77777777" w:rsidR="00203DAD" w:rsidRPr="0007250D" w:rsidRDefault="00203DAD" w:rsidP="00D0531D">
      <w:pPr>
        <w:pStyle w:val="Heading1"/>
      </w:pPr>
      <w:r w:rsidRPr="0007250D">
        <w:t>7</w:t>
      </w:r>
      <w:r w:rsidRPr="0007250D">
        <w:tab/>
        <w:t>Dirección</w:t>
      </w:r>
    </w:p>
    <w:p w14:paraId="3F5089A9" w14:textId="29C35F28" w:rsidR="00CC308A" w:rsidRPr="0007250D" w:rsidRDefault="00203DAD" w:rsidP="00D0531D">
      <w:r w:rsidRPr="0007250D">
        <w:t>Véase el apartado 2.3 de la Recomendación UIT-T A.7.</w:t>
      </w:r>
    </w:p>
    <w:p w14:paraId="6C22F453" w14:textId="77777777" w:rsidR="00203DAD" w:rsidRPr="0007250D" w:rsidRDefault="00203DAD" w:rsidP="00D0531D">
      <w:pPr>
        <w:pStyle w:val="Heading1"/>
      </w:pPr>
      <w:r w:rsidRPr="0007250D">
        <w:t>8</w:t>
      </w:r>
      <w:r w:rsidRPr="0007250D">
        <w:tab/>
        <w:t>Participación</w:t>
      </w:r>
    </w:p>
    <w:p w14:paraId="14040359" w14:textId="77777777" w:rsidR="00203DAD" w:rsidRPr="0007250D" w:rsidRDefault="00203DAD" w:rsidP="00D0531D">
      <w:pPr>
        <w:rPr>
          <w:rFonts w:eastAsiaTheme="minorEastAsia"/>
        </w:rPr>
      </w:pPr>
      <w:r w:rsidRPr="0007250D">
        <w:t>Véase el apartado 3 de la Recomendación UIT-T A.7. Se mantendrá a efectos de referencia una lista de participantes que se comunicará a la Comisión rectora.</w:t>
      </w:r>
    </w:p>
    <w:p w14:paraId="79013616" w14:textId="77777777" w:rsidR="00203DAD" w:rsidRPr="0007250D" w:rsidRDefault="00203DAD" w:rsidP="00D0531D">
      <w:r w:rsidRPr="0007250D">
        <w:t>Cabe señalar que la participación en este Grupo Temático ha de articularse en torno a las contribuciones y a la participación activa.</w:t>
      </w:r>
    </w:p>
    <w:p w14:paraId="3E84D225" w14:textId="77777777" w:rsidR="00203DAD" w:rsidRPr="0007250D" w:rsidRDefault="00203DAD" w:rsidP="00D0531D">
      <w:pPr>
        <w:pStyle w:val="Heading1"/>
      </w:pPr>
      <w:r w:rsidRPr="0007250D">
        <w:t>9</w:t>
      </w:r>
      <w:r w:rsidRPr="0007250D">
        <w:tab/>
        <w:t>Apoyo administrativo</w:t>
      </w:r>
    </w:p>
    <w:p w14:paraId="087E9B81" w14:textId="77777777" w:rsidR="00203DAD" w:rsidRPr="0007250D" w:rsidRDefault="00203DAD" w:rsidP="00D0531D">
      <w:pPr>
        <w:rPr>
          <w:rFonts w:eastAsiaTheme="minorEastAsia"/>
        </w:rPr>
      </w:pPr>
      <w:r w:rsidRPr="0007250D">
        <w:t>Véase el apartado 5 de la Recomendación UIT-T A.7.</w:t>
      </w:r>
    </w:p>
    <w:p w14:paraId="7C2050F7" w14:textId="77777777" w:rsidR="00203DAD" w:rsidRPr="0007250D" w:rsidRDefault="00203DAD" w:rsidP="00D0531D">
      <w:pPr>
        <w:pStyle w:val="Heading1"/>
      </w:pPr>
      <w:r w:rsidRPr="0007250D">
        <w:t>10</w:t>
      </w:r>
      <w:r w:rsidRPr="0007250D">
        <w:tab/>
        <w:t>Financiación general</w:t>
      </w:r>
    </w:p>
    <w:p w14:paraId="7ECF2144" w14:textId="77777777" w:rsidR="00203DAD" w:rsidRPr="0007250D" w:rsidRDefault="00203DAD" w:rsidP="00D0531D">
      <w:pPr>
        <w:rPr>
          <w:rFonts w:eastAsiaTheme="minorEastAsia"/>
        </w:rPr>
      </w:pPr>
      <w:r w:rsidRPr="0007250D">
        <w:t>Véanse los apartados 4 y 10.2 de la Recomendación UIT-T A.7.</w:t>
      </w:r>
    </w:p>
    <w:p w14:paraId="6B3C328C" w14:textId="77777777" w:rsidR="00203DAD" w:rsidRPr="0007250D" w:rsidRDefault="00203DAD" w:rsidP="00D0531D">
      <w:pPr>
        <w:pStyle w:val="Heading1"/>
      </w:pPr>
      <w:r w:rsidRPr="0007250D">
        <w:t>11</w:t>
      </w:r>
      <w:r w:rsidRPr="0007250D">
        <w:tab/>
        <w:t>Reuniones</w:t>
      </w:r>
    </w:p>
    <w:p w14:paraId="3A78B88D" w14:textId="54E77E48" w:rsidR="00BD68AE" w:rsidRPr="0007250D" w:rsidRDefault="00BD68AE" w:rsidP="00D0531D">
      <w:pPr>
        <w:rPr>
          <w:rFonts w:eastAsiaTheme="minorEastAsia"/>
        </w:rPr>
      </w:pPr>
      <w:r w:rsidRPr="0007250D">
        <w:t>El Grupo Temático celebrará reuniones periódicas</w:t>
      </w:r>
      <w:r w:rsidR="00410368" w:rsidRPr="0007250D">
        <w:t xml:space="preserve">, </w:t>
      </w:r>
      <w:r w:rsidR="002110FE">
        <w:t>que podrán ser</w:t>
      </w:r>
      <w:r w:rsidR="00410368" w:rsidRPr="0007250D">
        <w:t xml:space="preserve"> virtuales</w:t>
      </w:r>
      <w:r w:rsidRPr="0007250D">
        <w:t>. La dirección del Grupo Temático determinará la frecuencia y</w:t>
      </w:r>
      <w:r w:rsidRPr="0007250D">
        <w:rPr>
          <w:sz w:val="28"/>
          <w:szCs w:val="22"/>
        </w:rPr>
        <w:t xml:space="preserve"> </w:t>
      </w:r>
      <w:r w:rsidRPr="0007250D">
        <w:t xml:space="preserve">el lugar de las reuniones. El plan general de las reuniones se </w:t>
      </w:r>
      <w:r w:rsidR="00410368" w:rsidRPr="0007250D">
        <w:t>determinará durante la primera reunión del Grupo Temático</w:t>
      </w:r>
      <w:r w:rsidRPr="0007250D">
        <w:t>. El Grupo Temático utilizará herramientas de colaboración a distancia en la medida de lo posible. Además, se recomienda que el Grupo celebre sus reuniones en el mismo lugar que la CE</w:t>
      </w:r>
      <w:r w:rsidR="00177355">
        <w:t> </w:t>
      </w:r>
      <w:r w:rsidRPr="0007250D">
        <w:t>13.</w:t>
      </w:r>
    </w:p>
    <w:p w14:paraId="444CBF81" w14:textId="77777777" w:rsidR="00BD68AE" w:rsidRPr="0007250D" w:rsidRDefault="00BD68AE" w:rsidP="00D0531D">
      <w:pPr>
        <w:rPr>
          <w:rFonts w:eastAsiaTheme="minorEastAsia"/>
        </w:rPr>
      </w:pPr>
      <w:r w:rsidRPr="0007250D">
        <w:t>Las fechas de las reuniones se anunciarán por medios electrónicos (por ejemplo, correos electrónicos y páginas web) con al menos cuatro semanas de antelación.</w:t>
      </w:r>
    </w:p>
    <w:p w14:paraId="4F5BA03D" w14:textId="77777777" w:rsidR="00BD68AE" w:rsidRPr="0007250D" w:rsidRDefault="00BD68AE" w:rsidP="00D0531D">
      <w:pPr>
        <w:pStyle w:val="Heading1"/>
      </w:pPr>
      <w:r w:rsidRPr="0007250D">
        <w:t>12</w:t>
      </w:r>
      <w:r w:rsidRPr="0007250D">
        <w:tab/>
        <w:t>Contribuciones técnicas</w:t>
      </w:r>
    </w:p>
    <w:p w14:paraId="091F1EFA" w14:textId="77777777" w:rsidR="00BD68AE" w:rsidRPr="0007250D" w:rsidRDefault="00BD68AE" w:rsidP="00D0531D">
      <w:pPr>
        <w:rPr>
          <w:rFonts w:eastAsiaTheme="minorEastAsia"/>
        </w:rPr>
      </w:pPr>
      <w:r w:rsidRPr="0007250D">
        <w:t>Véase el apartado 8 de la Recomendación UIT-T A.7.</w:t>
      </w:r>
    </w:p>
    <w:p w14:paraId="09F415FF" w14:textId="77777777" w:rsidR="00BD68AE" w:rsidRPr="0007250D" w:rsidRDefault="00BD68AE" w:rsidP="00D0531D">
      <w:pPr>
        <w:pStyle w:val="Heading1"/>
      </w:pPr>
      <w:r w:rsidRPr="0007250D">
        <w:lastRenderedPageBreak/>
        <w:t>13</w:t>
      </w:r>
      <w:r w:rsidRPr="0007250D">
        <w:tab/>
        <w:t>Idioma de trabajo</w:t>
      </w:r>
    </w:p>
    <w:p w14:paraId="73FC7B73" w14:textId="77777777" w:rsidR="00BD68AE" w:rsidRPr="0007250D" w:rsidRDefault="00BD68AE" w:rsidP="00D0531D">
      <w:pPr>
        <w:rPr>
          <w:rFonts w:eastAsiaTheme="minorEastAsia"/>
        </w:rPr>
      </w:pPr>
      <w:r w:rsidRPr="0007250D">
        <w:t>El idioma de trabajo es el inglés.</w:t>
      </w:r>
    </w:p>
    <w:p w14:paraId="3818E43D" w14:textId="76152D98" w:rsidR="00BD68AE" w:rsidRPr="0007250D" w:rsidRDefault="00BD68AE" w:rsidP="00D0531D">
      <w:pPr>
        <w:pStyle w:val="Heading1"/>
      </w:pPr>
      <w:r w:rsidRPr="0007250D">
        <w:t>14</w:t>
      </w:r>
      <w:r w:rsidRPr="0007250D">
        <w:tab/>
        <w:t xml:space="preserve">Aprobación de los </w:t>
      </w:r>
      <w:r w:rsidR="00410368" w:rsidRPr="0007250D">
        <w:t>productos finales</w:t>
      </w:r>
    </w:p>
    <w:p w14:paraId="2DF8BC92" w14:textId="499E78D3" w:rsidR="00BD68AE" w:rsidRPr="0007250D" w:rsidRDefault="00BD68AE" w:rsidP="00D0531D">
      <w:pPr>
        <w:rPr>
          <w:rFonts w:eastAsiaTheme="minorEastAsia"/>
        </w:rPr>
      </w:pPr>
      <w:r w:rsidRPr="0007250D">
        <w:t xml:space="preserve">Los </w:t>
      </w:r>
      <w:r w:rsidR="00410368" w:rsidRPr="0007250D">
        <w:t xml:space="preserve">productos finales </w:t>
      </w:r>
      <w:r w:rsidRPr="0007250D">
        <w:t>se aprobarán por consenso.</w:t>
      </w:r>
    </w:p>
    <w:p w14:paraId="3A6700A9" w14:textId="77777777" w:rsidR="00BD68AE" w:rsidRPr="0007250D" w:rsidRDefault="00BD68AE" w:rsidP="00D0531D">
      <w:pPr>
        <w:pStyle w:val="Heading1"/>
        <w:rPr>
          <w:rFonts w:eastAsiaTheme="minorEastAsia"/>
        </w:rPr>
      </w:pPr>
      <w:r w:rsidRPr="0007250D">
        <w:t>15</w:t>
      </w:r>
      <w:r w:rsidRPr="0007250D">
        <w:tab/>
        <w:t>Directrices relativas a los trabajos</w:t>
      </w:r>
    </w:p>
    <w:p w14:paraId="1C912226" w14:textId="72A54622" w:rsidR="00BD68AE" w:rsidRPr="0007250D" w:rsidRDefault="00BD68AE" w:rsidP="00D0531D">
      <w:pPr>
        <w:rPr>
          <w:rFonts w:eastAsiaTheme="minorEastAsia"/>
        </w:rPr>
      </w:pPr>
      <w:r w:rsidRPr="0007250D">
        <w:t xml:space="preserve">Los procedimientos de trabajo se ajustarán a los </w:t>
      </w:r>
      <w:r w:rsidR="00410368" w:rsidRPr="0007250D">
        <w:t>aplicados a</w:t>
      </w:r>
      <w:r w:rsidRPr="0007250D">
        <w:t xml:space="preserve"> las reuniones de</w:t>
      </w:r>
      <w:r w:rsidR="00410368" w:rsidRPr="0007250D">
        <w:t xml:space="preserve"> los Grupos de</w:t>
      </w:r>
      <w:r w:rsidRPr="0007250D">
        <w:t xml:space="preserve"> Relator. No se definen directrices de trabajo adicionales.</w:t>
      </w:r>
    </w:p>
    <w:p w14:paraId="06D7BB9D" w14:textId="77777777" w:rsidR="00BD68AE" w:rsidRPr="0007250D" w:rsidRDefault="00BD68AE" w:rsidP="00D0531D">
      <w:pPr>
        <w:pStyle w:val="Heading1"/>
        <w:rPr>
          <w:rFonts w:eastAsiaTheme="minorEastAsia"/>
        </w:rPr>
      </w:pPr>
      <w:r w:rsidRPr="0007250D">
        <w:t>16</w:t>
      </w:r>
      <w:r w:rsidRPr="0007250D">
        <w:tab/>
        <w:t>Informes sobre la marcha de los trabajos</w:t>
      </w:r>
    </w:p>
    <w:p w14:paraId="1D45252B" w14:textId="77777777" w:rsidR="00BD68AE" w:rsidRPr="0007250D" w:rsidRDefault="00BD68AE" w:rsidP="00D0531D">
      <w:pPr>
        <w:rPr>
          <w:rFonts w:eastAsiaTheme="minorEastAsia"/>
        </w:rPr>
      </w:pPr>
      <w:r w:rsidRPr="0007250D">
        <w:t>Véase el apartado 11 de la Recomendación UIT-T A.7.</w:t>
      </w:r>
    </w:p>
    <w:p w14:paraId="00AF9FC4" w14:textId="4FE477B5" w:rsidR="00BD68AE" w:rsidRPr="0007250D" w:rsidRDefault="00BD68AE" w:rsidP="00D0531D">
      <w:pPr>
        <w:pStyle w:val="Heading1"/>
        <w:rPr>
          <w:rFonts w:eastAsiaTheme="minorEastAsia"/>
        </w:rPr>
      </w:pPr>
      <w:r w:rsidRPr="0007250D">
        <w:t>17</w:t>
      </w:r>
      <w:r w:rsidRPr="0007250D">
        <w:tab/>
        <w:t>Anuncio de constitución de</w:t>
      </w:r>
      <w:r w:rsidR="00177355">
        <w:t>l</w:t>
      </w:r>
      <w:r w:rsidRPr="0007250D">
        <w:t xml:space="preserve"> Grupo Temático</w:t>
      </w:r>
    </w:p>
    <w:p w14:paraId="6C90DE12" w14:textId="5282498B" w:rsidR="00BD68AE" w:rsidRPr="0007250D" w:rsidRDefault="00BD68AE" w:rsidP="00D0531D">
      <w:pPr>
        <w:rPr>
          <w:rFonts w:eastAsiaTheme="minorEastAsia"/>
        </w:rPr>
      </w:pPr>
      <w:r w:rsidRPr="0007250D">
        <w:t xml:space="preserve">La constitución del Grupo Temático se anunciará </w:t>
      </w:r>
      <w:r w:rsidR="002110FE">
        <w:t>por conducto</w:t>
      </w:r>
      <w:r w:rsidRPr="0007250D">
        <w:t xml:space="preserve"> de una Circular TSB dirigida a todos los miembros de la UIT, a través del Newslog del UIT-T, comunicados de prensa y otros medios, incluida la comunicación con otras organizaciones implicadas.</w:t>
      </w:r>
    </w:p>
    <w:p w14:paraId="0CA43767" w14:textId="68B4DAE5" w:rsidR="00BD68AE" w:rsidRPr="0007250D" w:rsidRDefault="00BD68AE" w:rsidP="00D0531D">
      <w:pPr>
        <w:pStyle w:val="Heading1"/>
        <w:rPr>
          <w:rFonts w:eastAsiaTheme="minorEastAsia"/>
        </w:rPr>
      </w:pPr>
      <w:r w:rsidRPr="0007250D">
        <w:t>18</w:t>
      </w:r>
      <w:r w:rsidRPr="0007250D">
        <w:tab/>
        <w:t>Etapas y duración de</w:t>
      </w:r>
      <w:r w:rsidR="00410368" w:rsidRPr="0007250D">
        <w:t xml:space="preserve"> </w:t>
      </w:r>
      <w:r w:rsidRPr="0007250D">
        <w:t>l</w:t>
      </w:r>
      <w:r w:rsidR="00410368" w:rsidRPr="0007250D">
        <w:t>os trabajos del</w:t>
      </w:r>
      <w:r w:rsidRPr="0007250D">
        <w:t xml:space="preserve"> Grupo Temático</w:t>
      </w:r>
    </w:p>
    <w:p w14:paraId="12EE27CA" w14:textId="77777777" w:rsidR="00BD68AE" w:rsidRPr="0007250D" w:rsidRDefault="00BD68AE" w:rsidP="00D0531D">
      <w:r w:rsidRPr="0007250D">
        <w:t>Se ha previsto mantener el Grupo Temático durante los doce meses posteriores a su primera reunión, no obstante, el plazo podría ampliarse si fuese necesario por decisión de la Comisión rectora (véase el apartado 2.2 de la Recomendación UIT-T A.7).</w:t>
      </w:r>
    </w:p>
    <w:p w14:paraId="55791ACB" w14:textId="77777777" w:rsidR="00BD68AE" w:rsidRPr="0007250D" w:rsidRDefault="00BD68AE" w:rsidP="00D0531D">
      <w:pPr>
        <w:pStyle w:val="Heading1"/>
        <w:rPr>
          <w:rFonts w:eastAsiaTheme="minorEastAsia"/>
        </w:rPr>
      </w:pPr>
      <w:r w:rsidRPr="0007250D">
        <w:t>19</w:t>
      </w:r>
      <w:r w:rsidRPr="0007250D">
        <w:tab/>
        <w:t>Política de patentes</w:t>
      </w:r>
    </w:p>
    <w:p w14:paraId="2205B03F" w14:textId="77777777" w:rsidR="00BD68AE" w:rsidRPr="0007250D" w:rsidRDefault="00BD68AE" w:rsidP="00D0531D">
      <w:r w:rsidRPr="0007250D">
        <w:t>Véase el apartado 9 de la Recomendación UIT-T A.7.</w:t>
      </w:r>
    </w:p>
    <w:p w14:paraId="50F90E4B" w14:textId="77777777" w:rsidR="00BD68AE" w:rsidRPr="0007250D" w:rsidRDefault="00BD68AE" w:rsidP="00D0531D">
      <w:pPr>
        <w:pStyle w:val="Reasons"/>
        <w:rPr>
          <w:lang w:val="es-ES_tradnl"/>
        </w:rPr>
      </w:pPr>
    </w:p>
    <w:p w14:paraId="7DA62823" w14:textId="77777777" w:rsidR="00BD68AE" w:rsidRPr="0007250D" w:rsidRDefault="00BD68AE" w:rsidP="00D0531D">
      <w:pPr>
        <w:jc w:val="center"/>
      </w:pPr>
      <w:r w:rsidRPr="0007250D">
        <w:t>______________</w:t>
      </w:r>
    </w:p>
    <w:sectPr w:rsidR="00BD68AE" w:rsidRPr="0007250D" w:rsidSect="00B87E9E">
      <w:headerReference w:type="default" r:id="rId22"/>
      <w:footerReference w:type="first" r:id="rId23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3EDF85" w14:textId="77777777" w:rsidR="004655E0" w:rsidRDefault="004655E0">
      <w:r>
        <w:separator/>
      </w:r>
    </w:p>
  </w:endnote>
  <w:endnote w:type="continuationSeparator" w:id="0">
    <w:p w14:paraId="1D888E61" w14:textId="77777777" w:rsidR="004655E0" w:rsidRDefault="0046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548124" w14:textId="4DB754CD" w:rsidR="004655E0" w:rsidRPr="0055719E" w:rsidRDefault="004655E0" w:rsidP="00FC416A">
    <w:pPr>
      <w:pStyle w:val="FirstFooter"/>
      <w:ind w:left="-397" w:right="-397"/>
      <w:jc w:val="center"/>
      <w:rPr>
        <w:szCs w:val="18"/>
        <w:lang w:val="es-ES"/>
      </w:rPr>
    </w:pPr>
    <w:r w:rsidRPr="0055719E">
      <w:rPr>
        <w:szCs w:val="18"/>
        <w:lang w:val="es-ES"/>
      </w:rPr>
      <w:t>Unión Internacional de Telecomunicaciones • Place des Nations, CH</w:t>
    </w:r>
    <w:r w:rsidRPr="0055719E">
      <w:rPr>
        <w:szCs w:val="18"/>
        <w:lang w:val="es-ES"/>
      </w:rPr>
      <w:noBreakHyphen/>
      <w:t xml:space="preserve">1211 Ginebra 20, Suiza </w:t>
    </w:r>
    <w:r w:rsidRPr="0055719E">
      <w:rPr>
        <w:szCs w:val="18"/>
        <w:lang w:val="es-ES"/>
      </w:rPr>
      <w:br/>
      <w:t>Tel</w:t>
    </w:r>
    <w:r>
      <w:rPr>
        <w:szCs w:val="18"/>
        <w:lang w:val="es-ES"/>
      </w:rPr>
      <w:t>.</w:t>
    </w:r>
    <w:r w:rsidRPr="0055719E">
      <w:rPr>
        <w:szCs w:val="18"/>
        <w:lang w:val="es-ES"/>
      </w:rPr>
      <w:t xml:space="preserve">: +41 22 730 5111 • Fax: +41 22 733 7256 • Correo-e: </w:t>
    </w:r>
    <w:hyperlink r:id="rId1" w:history="1">
      <w:r w:rsidRPr="0055719E">
        <w:rPr>
          <w:rStyle w:val="Hyperlink"/>
          <w:lang w:val="es-ES"/>
        </w:rPr>
        <w:t>itumail@itu.int</w:t>
      </w:r>
    </w:hyperlink>
    <w:r w:rsidRPr="0055719E">
      <w:rPr>
        <w:szCs w:val="18"/>
        <w:lang w:val="es-ES"/>
      </w:rPr>
      <w:t xml:space="preserve"> • </w:t>
    </w:r>
    <w:hyperlink r:id="rId2" w:history="1">
      <w:r w:rsidRPr="0055719E">
        <w:rPr>
          <w:rStyle w:val="Hyperlink"/>
          <w:lang w:val="es-ES"/>
        </w:rPr>
        <w:t>www.itu.int</w:t>
      </w:r>
    </w:hyperlink>
    <w:r w:rsidRPr="0055719E">
      <w:rPr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048D0C" w14:textId="77777777" w:rsidR="004655E0" w:rsidRDefault="004655E0">
      <w:r>
        <w:t>____________________</w:t>
      </w:r>
    </w:p>
  </w:footnote>
  <w:footnote w:type="continuationSeparator" w:id="0">
    <w:p w14:paraId="282F8ACA" w14:textId="77777777" w:rsidR="004655E0" w:rsidRDefault="00465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54BCEA" w14:textId="11243807" w:rsidR="004655E0" w:rsidRPr="00303D62" w:rsidRDefault="004655E0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Pr="00303D62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3</w:t>
    </w:r>
    <w:r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  <w:r>
      <w:rPr>
        <w:sz w:val="18"/>
        <w:szCs w:val="18"/>
      </w:rPr>
      <w:br/>
    </w:r>
    <w:r w:rsidRPr="00F526FA">
      <w:rPr>
        <w:sz w:val="18"/>
        <w:szCs w:val="18"/>
      </w:rPr>
      <w:t>Circular TSB 2</w:t>
    </w:r>
    <w:r>
      <w:rPr>
        <w:sz w:val="18"/>
        <w:szCs w:val="18"/>
      </w:rPr>
      <w:t>88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ECA379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276714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E982F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F948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ED248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3679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D8C78D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344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C8D7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9261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C0252"/>
    <w:multiLevelType w:val="hybridMultilevel"/>
    <w:tmpl w:val="85186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BC2D2E"/>
    <w:multiLevelType w:val="hybridMultilevel"/>
    <w:tmpl w:val="079436A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D77136"/>
    <w:multiLevelType w:val="hybridMultilevel"/>
    <w:tmpl w:val="BAB431A6"/>
    <w:lvl w:ilvl="0" w:tplc="D2B2AB1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C2F60C3C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8804E1C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E564AFEC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A050A29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3BE7496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F1A441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A70E50B0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5FCF964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8B72E37"/>
    <w:multiLevelType w:val="hybridMultilevel"/>
    <w:tmpl w:val="FC167D46"/>
    <w:lvl w:ilvl="0" w:tplc="C284E0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40E8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E6C1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0A28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8A94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6664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3AD4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2C5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C065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F7149B"/>
    <w:multiLevelType w:val="hybridMultilevel"/>
    <w:tmpl w:val="554A6E7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2E35C65"/>
    <w:multiLevelType w:val="hybridMultilevel"/>
    <w:tmpl w:val="CA8608D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4A4C2D"/>
    <w:multiLevelType w:val="hybridMultilevel"/>
    <w:tmpl w:val="6814375A"/>
    <w:lvl w:ilvl="0" w:tplc="D5ACA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3A14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F070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CE83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8601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027A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4AFC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2845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F202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9" w15:restartNumberingAfterBreak="0">
    <w:nsid w:val="56A54549"/>
    <w:multiLevelType w:val="hybridMultilevel"/>
    <w:tmpl w:val="B588DB04"/>
    <w:lvl w:ilvl="0" w:tplc="19A40982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BBE448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DC2F05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6F8435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184AFA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A3060F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E5E698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6C81BB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D92EB4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B80F9D"/>
    <w:multiLevelType w:val="hybridMultilevel"/>
    <w:tmpl w:val="47BEB432"/>
    <w:lvl w:ilvl="0" w:tplc="08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7ED20F28"/>
    <w:multiLevelType w:val="hybridMultilevel"/>
    <w:tmpl w:val="0786DB6A"/>
    <w:lvl w:ilvl="0" w:tplc="91F279B0">
      <w:start w:val="1"/>
      <w:numFmt w:val="bullet"/>
      <w:pStyle w:val="ToR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AE58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1C58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lang w:val="es-ES"/>
      </w:rPr>
    </w:lvl>
    <w:lvl w:ilvl="3" w:tplc="7C6249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0E46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52CC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5AB2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46D8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849F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3"/>
  </w:num>
  <w:num w:numId="3">
    <w:abstractNumId w:val="20"/>
  </w:num>
  <w:num w:numId="4">
    <w:abstractNumId w:val="18"/>
  </w:num>
  <w:num w:numId="5">
    <w:abstractNumId w:val="21"/>
  </w:num>
  <w:num w:numId="6">
    <w:abstractNumId w:val="15"/>
  </w:num>
  <w:num w:numId="7">
    <w:abstractNumId w:val="11"/>
  </w:num>
  <w:num w:numId="8">
    <w:abstractNumId w:val="19"/>
  </w:num>
  <w:num w:numId="9">
    <w:abstractNumId w:val="12"/>
  </w:num>
  <w:num w:numId="10">
    <w:abstractNumId w:val="22"/>
  </w:num>
  <w:num w:numId="11">
    <w:abstractNumId w:val="16"/>
  </w:num>
  <w:num w:numId="12">
    <w:abstractNumId w:val="22"/>
  </w:num>
  <w:num w:numId="13">
    <w:abstractNumId w:val="13"/>
  </w:num>
  <w:num w:numId="14">
    <w:abstractNumId w:val="14"/>
  </w:num>
  <w:num w:numId="15">
    <w:abstractNumId w:val="1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C9C"/>
    <w:rsid w:val="00002529"/>
    <w:rsid w:val="000219D2"/>
    <w:rsid w:val="00022AFA"/>
    <w:rsid w:val="00030D11"/>
    <w:rsid w:val="00057B52"/>
    <w:rsid w:val="0007250D"/>
    <w:rsid w:val="00085662"/>
    <w:rsid w:val="000B258D"/>
    <w:rsid w:val="000C11B4"/>
    <w:rsid w:val="000C382F"/>
    <w:rsid w:val="000D64FF"/>
    <w:rsid w:val="00115A39"/>
    <w:rsid w:val="001173CC"/>
    <w:rsid w:val="0014464D"/>
    <w:rsid w:val="00177355"/>
    <w:rsid w:val="00182171"/>
    <w:rsid w:val="001828D1"/>
    <w:rsid w:val="001A54CC"/>
    <w:rsid w:val="001B51CE"/>
    <w:rsid w:val="001C36D1"/>
    <w:rsid w:val="001D007E"/>
    <w:rsid w:val="001F548B"/>
    <w:rsid w:val="0020051C"/>
    <w:rsid w:val="00203DAD"/>
    <w:rsid w:val="002110FE"/>
    <w:rsid w:val="00257516"/>
    <w:rsid w:val="00257588"/>
    <w:rsid w:val="00257FB4"/>
    <w:rsid w:val="0029652A"/>
    <w:rsid w:val="00297922"/>
    <w:rsid w:val="002C0D72"/>
    <w:rsid w:val="002C0EE6"/>
    <w:rsid w:val="002C24CE"/>
    <w:rsid w:val="002E0106"/>
    <w:rsid w:val="002E496E"/>
    <w:rsid w:val="002E648A"/>
    <w:rsid w:val="002F634E"/>
    <w:rsid w:val="00303D62"/>
    <w:rsid w:val="00326A9F"/>
    <w:rsid w:val="003352B8"/>
    <w:rsid w:val="00335367"/>
    <w:rsid w:val="0035096F"/>
    <w:rsid w:val="0036288A"/>
    <w:rsid w:val="00365716"/>
    <w:rsid w:val="00366D4E"/>
    <w:rsid w:val="00370C2D"/>
    <w:rsid w:val="00380A42"/>
    <w:rsid w:val="00395674"/>
    <w:rsid w:val="003B4A52"/>
    <w:rsid w:val="003D1E8D"/>
    <w:rsid w:val="003D673B"/>
    <w:rsid w:val="003F2855"/>
    <w:rsid w:val="00401C20"/>
    <w:rsid w:val="004024DA"/>
    <w:rsid w:val="00410368"/>
    <w:rsid w:val="004309FF"/>
    <w:rsid w:val="00434968"/>
    <w:rsid w:val="00442BC3"/>
    <w:rsid w:val="004655E0"/>
    <w:rsid w:val="004701F6"/>
    <w:rsid w:val="00487556"/>
    <w:rsid w:val="0049301B"/>
    <w:rsid w:val="00493A89"/>
    <w:rsid w:val="004A512C"/>
    <w:rsid w:val="004A7957"/>
    <w:rsid w:val="004C4144"/>
    <w:rsid w:val="004F6507"/>
    <w:rsid w:val="0051073E"/>
    <w:rsid w:val="00534B58"/>
    <w:rsid w:val="00556218"/>
    <w:rsid w:val="0055719E"/>
    <w:rsid w:val="005B524F"/>
    <w:rsid w:val="005D0350"/>
    <w:rsid w:val="005D18C9"/>
    <w:rsid w:val="005E7E43"/>
    <w:rsid w:val="00612736"/>
    <w:rsid w:val="006352CA"/>
    <w:rsid w:val="00640066"/>
    <w:rsid w:val="006405FC"/>
    <w:rsid w:val="006913D9"/>
    <w:rsid w:val="006969B4"/>
    <w:rsid w:val="006E4F7B"/>
    <w:rsid w:val="006F283A"/>
    <w:rsid w:val="0070095B"/>
    <w:rsid w:val="00781E2A"/>
    <w:rsid w:val="007933A2"/>
    <w:rsid w:val="007B14FB"/>
    <w:rsid w:val="007B6316"/>
    <w:rsid w:val="007E0C95"/>
    <w:rsid w:val="00812F3C"/>
    <w:rsid w:val="00814503"/>
    <w:rsid w:val="008258C2"/>
    <w:rsid w:val="00840C9C"/>
    <w:rsid w:val="008505BD"/>
    <w:rsid w:val="00850C78"/>
    <w:rsid w:val="00876165"/>
    <w:rsid w:val="00884D12"/>
    <w:rsid w:val="008C17AD"/>
    <w:rsid w:val="008D02CD"/>
    <w:rsid w:val="008E1D01"/>
    <w:rsid w:val="0091370C"/>
    <w:rsid w:val="0091766F"/>
    <w:rsid w:val="0095172A"/>
    <w:rsid w:val="00960BA0"/>
    <w:rsid w:val="009A0BA0"/>
    <w:rsid w:val="009C2048"/>
    <w:rsid w:val="009D73C3"/>
    <w:rsid w:val="00A3643B"/>
    <w:rsid w:val="00A5091B"/>
    <w:rsid w:val="00A54E47"/>
    <w:rsid w:val="00A559D2"/>
    <w:rsid w:val="00A77BE1"/>
    <w:rsid w:val="00A90DC2"/>
    <w:rsid w:val="00A97077"/>
    <w:rsid w:val="00AB0DFB"/>
    <w:rsid w:val="00AB4368"/>
    <w:rsid w:val="00AB6E3A"/>
    <w:rsid w:val="00AC60D8"/>
    <w:rsid w:val="00AD25EB"/>
    <w:rsid w:val="00AE2101"/>
    <w:rsid w:val="00AE32F9"/>
    <w:rsid w:val="00AE7093"/>
    <w:rsid w:val="00B11BC6"/>
    <w:rsid w:val="00B417B1"/>
    <w:rsid w:val="00B422BC"/>
    <w:rsid w:val="00B43F77"/>
    <w:rsid w:val="00B516DF"/>
    <w:rsid w:val="00B55A3E"/>
    <w:rsid w:val="00B73A6F"/>
    <w:rsid w:val="00B84360"/>
    <w:rsid w:val="00B87E9E"/>
    <w:rsid w:val="00B95F0A"/>
    <w:rsid w:val="00B96180"/>
    <w:rsid w:val="00BC60C8"/>
    <w:rsid w:val="00BD68AE"/>
    <w:rsid w:val="00BE2DAA"/>
    <w:rsid w:val="00C116FE"/>
    <w:rsid w:val="00C14E2C"/>
    <w:rsid w:val="00C17AC0"/>
    <w:rsid w:val="00C34772"/>
    <w:rsid w:val="00C37E70"/>
    <w:rsid w:val="00C5465A"/>
    <w:rsid w:val="00C5668D"/>
    <w:rsid w:val="00C70A8B"/>
    <w:rsid w:val="00C70E4A"/>
    <w:rsid w:val="00C95828"/>
    <w:rsid w:val="00CB6647"/>
    <w:rsid w:val="00CC308A"/>
    <w:rsid w:val="00CE5A91"/>
    <w:rsid w:val="00D0531D"/>
    <w:rsid w:val="00D44FEB"/>
    <w:rsid w:val="00D54642"/>
    <w:rsid w:val="00D64B89"/>
    <w:rsid w:val="00D67E2F"/>
    <w:rsid w:val="00D7689C"/>
    <w:rsid w:val="00D773E8"/>
    <w:rsid w:val="00D809A5"/>
    <w:rsid w:val="00D95766"/>
    <w:rsid w:val="00DA47C4"/>
    <w:rsid w:val="00DD77C9"/>
    <w:rsid w:val="00DF3538"/>
    <w:rsid w:val="00DF55ED"/>
    <w:rsid w:val="00E540C7"/>
    <w:rsid w:val="00E839B0"/>
    <w:rsid w:val="00E92C09"/>
    <w:rsid w:val="00E960D6"/>
    <w:rsid w:val="00EF2D68"/>
    <w:rsid w:val="00F12A7B"/>
    <w:rsid w:val="00F14380"/>
    <w:rsid w:val="00F33568"/>
    <w:rsid w:val="00F514DB"/>
    <w:rsid w:val="00F526FA"/>
    <w:rsid w:val="00F62981"/>
    <w:rsid w:val="00F6461F"/>
    <w:rsid w:val="00FB6214"/>
    <w:rsid w:val="00FC416A"/>
    <w:rsid w:val="00FD2B2D"/>
    <w:rsid w:val="00FD6A1F"/>
    <w:rsid w:val="00FE7811"/>
    <w:rsid w:val="00FF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22CF35C6"/>
  <w15:docId w15:val="{B2094551-72BC-421F-80D2-5A96EE055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,CEO_Hyperlink,Style 58,超????,超?级链,超链接1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0C9C"/>
    <w:rPr>
      <w:color w:val="605E5C"/>
      <w:shd w:val="clear" w:color="auto" w:fill="E1DFDD"/>
    </w:rPr>
  </w:style>
  <w:style w:type="table" w:styleId="TableGrid">
    <w:name w:val="Table Grid"/>
    <w:basedOn w:val="TableNormal"/>
    <w:rsid w:val="00840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40C9C"/>
    <w:pPr>
      <w:ind w:left="720"/>
      <w:contextualSpacing/>
    </w:pPr>
  </w:style>
  <w:style w:type="character" w:customStyle="1" w:styleId="enumlev1Char">
    <w:name w:val="enumlev1 Char"/>
    <w:link w:val="enumlev1"/>
    <w:rsid w:val="00D7689C"/>
    <w:rPr>
      <w:rFonts w:asciiTheme="minorHAnsi" w:hAnsiTheme="minorHAnsi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380A42"/>
    <w:pPr>
      <w:spacing w:before="0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380A42"/>
    <w:rPr>
      <w:rFonts w:ascii="Tahoma" w:hAnsi="Tahoma" w:cs="Tahoma"/>
      <w:sz w:val="16"/>
      <w:szCs w:val="16"/>
      <w:lang w:val="en-GB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80A42"/>
    <w:rPr>
      <w:rFonts w:asciiTheme="minorHAnsi" w:hAnsiTheme="minorHAnsi"/>
      <w:sz w:val="24"/>
      <w:lang w:val="es-ES_tradnl" w:eastAsia="en-US"/>
    </w:rPr>
  </w:style>
  <w:style w:type="paragraph" w:customStyle="1" w:styleId="Bullets">
    <w:name w:val="Bullets"/>
    <w:basedOn w:val="ListParagraph"/>
    <w:link w:val="BulletsChar"/>
    <w:qFormat/>
    <w:rsid w:val="00380A42"/>
    <w:pPr>
      <w:numPr>
        <w:numId w:val="8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1080" w:firstLine="0"/>
      <w:contextualSpacing w:val="0"/>
      <w:textAlignment w:val="auto"/>
    </w:pPr>
    <w:rPr>
      <w:rFonts w:ascii="Times New Roman" w:eastAsiaTheme="minorEastAsia" w:hAnsi="Times New Roman"/>
      <w:szCs w:val="24"/>
      <w:lang w:val="en-GB" w:eastAsia="ja-JP"/>
    </w:rPr>
  </w:style>
  <w:style w:type="character" w:customStyle="1" w:styleId="BulletsChar">
    <w:name w:val="Bullets Char"/>
    <w:basedOn w:val="ListParagraphChar"/>
    <w:link w:val="Bullets"/>
    <w:rsid w:val="00380A42"/>
    <w:rPr>
      <w:rFonts w:ascii="Times New Roman" w:eastAsiaTheme="minorEastAsia" w:hAnsi="Times New Roman"/>
      <w:sz w:val="24"/>
      <w:szCs w:val="24"/>
      <w:lang w:val="en-GB" w:eastAsia="ja-JP"/>
    </w:rPr>
  </w:style>
  <w:style w:type="paragraph" w:customStyle="1" w:styleId="ToRBullet">
    <w:name w:val="ToR Bullet"/>
    <w:basedOn w:val="Bullets"/>
    <w:link w:val="ToRBulletChar"/>
    <w:qFormat/>
    <w:rsid w:val="00380A42"/>
    <w:pPr>
      <w:numPr>
        <w:numId w:val="10"/>
      </w:numPr>
    </w:pPr>
    <w:rPr>
      <w:b/>
    </w:rPr>
  </w:style>
  <w:style w:type="character" w:customStyle="1" w:styleId="ToRBulletChar">
    <w:name w:val="ToR Bullet Char"/>
    <w:basedOn w:val="BulletsChar"/>
    <w:link w:val="ToRBullet"/>
    <w:rsid w:val="00380A42"/>
    <w:rPr>
      <w:rFonts w:ascii="Times New Roman" w:eastAsiaTheme="minorEastAsia" w:hAnsi="Times New Roman"/>
      <w:b/>
      <w:sz w:val="24"/>
      <w:szCs w:val="24"/>
      <w:lang w:val="en-GB" w:eastAsia="ja-JP"/>
    </w:rPr>
  </w:style>
  <w:style w:type="paragraph" w:customStyle="1" w:styleId="Reasons">
    <w:name w:val="Reasons"/>
    <w:basedOn w:val="Normal"/>
    <w:qFormat/>
    <w:rsid w:val="00BD68A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566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sbfgan@itu.int" TargetMode="External"/><Relationship Id="rId18" Type="http://schemas.openxmlformats.org/officeDocument/2006/relationships/hyperlink" Target="https://www.itu.int/en/ITU-T/focusgroups/ml5g/Pages/default.aspx" TargetMode="External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7" Type="http://schemas.openxmlformats.org/officeDocument/2006/relationships/endnotes" Target="endnotes.xml"/><Relationship Id="rId12" Type="http://schemas.openxmlformats.org/officeDocument/2006/relationships/hyperlink" Target="http://www.itu.int/rec/T-REC-A.7/es" TargetMode="External"/><Relationship Id="rId17" Type="http://schemas.openxmlformats.org/officeDocument/2006/relationships/hyperlink" Target="https://www.itu.int/en/ITU-T/focusgroups/ml5g/Pages/default.aspx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itu.int/en/ITU-T/focusgroups/an/Pages/default.aspx" TargetMode="External"/><Relationship Id="rId20" Type="http://schemas.openxmlformats.org/officeDocument/2006/relationships/hyperlink" Target="https://www.itu.int/net4/CRM/xreg/web/Registration.aspx?Event=C-0000862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focusgroups/an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T/focusgroups/an/Pages/default.aspx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itu.int/en/ITU-T/focusgroups/an/Pages/default.aspx" TargetMode="External"/><Relationship Id="rId19" Type="http://schemas.openxmlformats.org/officeDocument/2006/relationships/hyperlink" Target="mailto:tsbfgan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fgan@itu.int" TargetMode="External"/><Relationship Id="rId14" Type="http://schemas.openxmlformats.org/officeDocument/2006/relationships/hyperlink" Target="https://www.itu.int/en/ITU-T/focusgroups/net2030/Pages/default.aspx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TEMPLATE\ITUOffice2007\POOL\POOL%20S%20-%20ITU\PS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568B2-0A14-418F-8A49-E8FAC53DD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PS_TSBCIRC.dotx</Template>
  <TotalTime>305</TotalTime>
  <Pages>8</Pages>
  <Words>2972</Words>
  <Characters>17903</Characters>
  <Application>Microsoft Office Word</Application>
  <DocSecurity>0</DocSecurity>
  <Lines>149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20834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Spanish83</dc:creator>
  <cp:lastModifiedBy>Braud, Olivia</cp:lastModifiedBy>
  <cp:revision>19</cp:revision>
  <cp:lastPrinted>2021-01-18T09:40:00Z</cp:lastPrinted>
  <dcterms:created xsi:type="dcterms:W3CDTF">2021-01-13T07:43:00Z</dcterms:created>
  <dcterms:modified xsi:type="dcterms:W3CDTF">2021-01-18T09:41:00Z</dcterms:modified>
</cp:coreProperties>
</file>