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31" w:type="dxa"/>
        <w:jc w:val="center"/>
        <w:tblLayout w:type="fixed"/>
        <w:tblCellMar>
          <w:left w:w="0" w:type="dxa"/>
          <w:right w:w="0" w:type="dxa"/>
        </w:tblCellMar>
        <w:tblLook w:val="0000" w:firstRow="0" w:lastRow="0" w:firstColumn="0" w:lastColumn="0" w:noHBand="0" w:noVBand="0"/>
      </w:tblPr>
      <w:tblGrid>
        <w:gridCol w:w="8"/>
        <w:gridCol w:w="822"/>
        <w:gridCol w:w="588"/>
        <w:gridCol w:w="567"/>
        <w:gridCol w:w="2835"/>
        <w:gridCol w:w="2977"/>
        <w:gridCol w:w="2126"/>
        <w:gridCol w:w="8"/>
      </w:tblGrid>
      <w:tr w:rsidR="00036F4F" w:rsidRPr="008C187F" w14:paraId="3148AC87" w14:textId="77777777" w:rsidTr="00EC27C5">
        <w:trPr>
          <w:gridAfter w:val="1"/>
          <w:wAfter w:w="8" w:type="dxa"/>
          <w:cantSplit/>
          <w:jc w:val="center"/>
        </w:trPr>
        <w:tc>
          <w:tcPr>
            <w:tcW w:w="1418" w:type="dxa"/>
            <w:gridSpan w:val="3"/>
            <w:vAlign w:val="center"/>
          </w:tcPr>
          <w:p w14:paraId="2E21EF9E" w14:textId="77777777" w:rsidR="00036F4F" w:rsidRPr="008C187F" w:rsidRDefault="00036F4F" w:rsidP="008233F3">
            <w:pPr>
              <w:tabs>
                <w:tab w:val="right" w:pos="8732"/>
              </w:tabs>
              <w:spacing w:before="0"/>
              <w:rPr>
                <w:b/>
                <w:bCs/>
                <w:iCs/>
                <w:color w:val="FFFFFF"/>
                <w:sz w:val="30"/>
                <w:szCs w:val="30"/>
              </w:rPr>
            </w:pPr>
            <w:r w:rsidRPr="008C187F">
              <w:rPr>
                <w:noProof/>
                <w:lang w:val="en-US"/>
              </w:rPr>
              <w:drawing>
                <wp:inline distT="0" distB="0" distL="0" distR="0" wp14:anchorId="458C2961" wp14:editId="2D1C4BAD">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66F23EBD" w14:textId="77777777" w:rsidR="00036F4F" w:rsidRPr="008C187F" w:rsidRDefault="00036F4F" w:rsidP="008233F3">
            <w:pPr>
              <w:spacing w:before="0"/>
              <w:rPr>
                <w:rFonts w:cs="Times New Roman Bold"/>
                <w:b/>
                <w:bCs/>
                <w:iCs/>
                <w:smallCaps/>
                <w:sz w:val="34"/>
                <w:szCs w:val="34"/>
              </w:rPr>
            </w:pPr>
            <w:r w:rsidRPr="008C187F">
              <w:rPr>
                <w:rFonts w:cs="Times New Roman Bold"/>
                <w:b/>
                <w:bCs/>
                <w:iCs/>
                <w:smallCaps/>
                <w:sz w:val="34"/>
                <w:szCs w:val="34"/>
              </w:rPr>
              <w:t>Union internationale des télécommunications</w:t>
            </w:r>
          </w:p>
          <w:p w14:paraId="765DB74B" w14:textId="77777777" w:rsidR="00036F4F" w:rsidRPr="008C187F" w:rsidRDefault="00036F4F" w:rsidP="008233F3">
            <w:pPr>
              <w:tabs>
                <w:tab w:val="right" w:pos="8732"/>
              </w:tabs>
              <w:spacing w:before="0"/>
              <w:rPr>
                <w:b/>
                <w:bCs/>
                <w:iCs/>
                <w:color w:val="FFFFFF"/>
                <w:sz w:val="30"/>
                <w:szCs w:val="30"/>
              </w:rPr>
            </w:pPr>
            <w:r w:rsidRPr="008C187F">
              <w:rPr>
                <w:rFonts w:cs="Times New Roman Bold"/>
                <w:b/>
                <w:bCs/>
                <w:iCs/>
                <w:smallCaps/>
                <w:sz w:val="28"/>
                <w:szCs w:val="28"/>
              </w:rPr>
              <w:t>B</w:t>
            </w:r>
            <w:r w:rsidRPr="008C187F">
              <w:rPr>
                <w:b/>
                <w:bCs/>
                <w:iCs/>
                <w:smallCaps/>
                <w:sz w:val="28"/>
                <w:szCs w:val="28"/>
              </w:rPr>
              <w:t>ureau de la Normalisation des Télécommunications</w:t>
            </w:r>
          </w:p>
        </w:tc>
        <w:tc>
          <w:tcPr>
            <w:tcW w:w="2126" w:type="dxa"/>
            <w:vAlign w:val="center"/>
          </w:tcPr>
          <w:p w14:paraId="044DA1E6" w14:textId="77777777" w:rsidR="00036F4F" w:rsidRPr="008C187F" w:rsidRDefault="00036F4F" w:rsidP="008233F3">
            <w:pPr>
              <w:spacing w:before="0"/>
              <w:jc w:val="right"/>
              <w:rPr>
                <w:color w:val="FFFFFF"/>
                <w:sz w:val="26"/>
                <w:szCs w:val="26"/>
              </w:rPr>
            </w:pPr>
          </w:p>
        </w:tc>
      </w:tr>
      <w:tr w:rsidR="00036F4F" w:rsidRPr="008C187F" w14:paraId="6AF32F5E" w14:textId="77777777" w:rsidTr="00EC27C5">
        <w:trPr>
          <w:gridBefore w:val="1"/>
          <w:wBefore w:w="8" w:type="dxa"/>
          <w:cantSplit/>
          <w:jc w:val="center"/>
        </w:trPr>
        <w:tc>
          <w:tcPr>
            <w:tcW w:w="1977" w:type="dxa"/>
            <w:gridSpan w:val="3"/>
          </w:tcPr>
          <w:p w14:paraId="4C0F84D1" w14:textId="77777777" w:rsidR="00036F4F" w:rsidRPr="008C187F" w:rsidRDefault="00036F4F" w:rsidP="008233F3">
            <w:pPr>
              <w:tabs>
                <w:tab w:val="left" w:pos="4111"/>
              </w:tabs>
              <w:spacing w:before="10"/>
              <w:ind w:left="57"/>
            </w:pPr>
          </w:p>
        </w:tc>
        <w:tc>
          <w:tcPr>
            <w:tcW w:w="2835" w:type="dxa"/>
          </w:tcPr>
          <w:p w14:paraId="0A673499" w14:textId="77777777" w:rsidR="00036F4F" w:rsidRPr="008C187F" w:rsidRDefault="00036F4F" w:rsidP="008233F3">
            <w:pPr>
              <w:tabs>
                <w:tab w:val="left" w:pos="4111"/>
              </w:tabs>
              <w:spacing w:before="10"/>
              <w:ind w:left="57"/>
              <w:rPr>
                <w:b/>
              </w:rPr>
            </w:pPr>
          </w:p>
        </w:tc>
        <w:tc>
          <w:tcPr>
            <w:tcW w:w="5111" w:type="dxa"/>
            <w:gridSpan w:val="3"/>
          </w:tcPr>
          <w:p w14:paraId="34598FEC" w14:textId="77777777" w:rsidR="00036F4F" w:rsidRPr="008C187F" w:rsidRDefault="00036F4F" w:rsidP="008233F3">
            <w:pPr>
              <w:tabs>
                <w:tab w:val="clear" w:pos="794"/>
                <w:tab w:val="clear" w:pos="1191"/>
                <w:tab w:val="clear" w:pos="1588"/>
                <w:tab w:val="clear" w:pos="1985"/>
                <w:tab w:val="left" w:pos="284"/>
              </w:tabs>
              <w:spacing w:after="120"/>
              <w:ind w:left="284" w:hanging="227"/>
            </w:pPr>
            <w:r w:rsidRPr="008C187F">
              <w:t>Genève, le</w:t>
            </w:r>
            <w:r w:rsidR="008A5A59" w:rsidRPr="008C187F">
              <w:t xml:space="preserve"> 14 janvier 2021</w:t>
            </w:r>
          </w:p>
        </w:tc>
      </w:tr>
      <w:tr w:rsidR="00036F4F" w:rsidRPr="008C187F" w14:paraId="52C4DEBA" w14:textId="77777777" w:rsidTr="00C15698">
        <w:trPr>
          <w:gridBefore w:val="1"/>
          <w:wBefore w:w="8" w:type="dxa"/>
          <w:cantSplit/>
          <w:trHeight w:val="747"/>
          <w:jc w:val="center"/>
        </w:trPr>
        <w:tc>
          <w:tcPr>
            <w:tcW w:w="822" w:type="dxa"/>
          </w:tcPr>
          <w:p w14:paraId="0E6D12CD" w14:textId="77777777" w:rsidR="00036F4F" w:rsidRPr="008C187F" w:rsidRDefault="00036F4F" w:rsidP="008233F3">
            <w:pPr>
              <w:tabs>
                <w:tab w:val="left" w:pos="4111"/>
              </w:tabs>
              <w:spacing w:before="10"/>
              <w:ind w:left="57"/>
              <w:rPr>
                <w:b/>
                <w:bCs/>
              </w:rPr>
            </w:pPr>
            <w:proofErr w:type="gramStart"/>
            <w:r w:rsidRPr="008C187F">
              <w:rPr>
                <w:b/>
                <w:bCs/>
              </w:rPr>
              <w:t>Réf.:</w:t>
            </w:r>
            <w:proofErr w:type="gramEnd"/>
          </w:p>
          <w:p w14:paraId="0976FA73" w14:textId="77777777" w:rsidR="00036F4F" w:rsidRPr="008C187F" w:rsidRDefault="00036F4F" w:rsidP="008233F3">
            <w:pPr>
              <w:tabs>
                <w:tab w:val="left" w:pos="4111"/>
              </w:tabs>
              <w:spacing w:before="10"/>
              <w:ind w:left="57"/>
              <w:rPr>
                <w:b/>
                <w:bCs/>
              </w:rPr>
            </w:pPr>
          </w:p>
        </w:tc>
        <w:tc>
          <w:tcPr>
            <w:tcW w:w="3990" w:type="dxa"/>
            <w:gridSpan w:val="3"/>
          </w:tcPr>
          <w:p w14:paraId="3472B531" w14:textId="77777777" w:rsidR="00036F4F" w:rsidRPr="008C187F" w:rsidRDefault="008A5A59" w:rsidP="008233F3">
            <w:pPr>
              <w:tabs>
                <w:tab w:val="left" w:pos="4111"/>
              </w:tabs>
              <w:spacing w:before="10"/>
              <w:ind w:left="57"/>
              <w:rPr>
                <w:b/>
              </w:rPr>
            </w:pPr>
            <w:r w:rsidRPr="008C187F">
              <w:rPr>
                <w:b/>
              </w:rPr>
              <w:t>Circulaire TSB 291</w:t>
            </w:r>
          </w:p>
          <w:p w14:paraId="2F9DE11C" w14:textId="77777777" w:rsidR="00036F4F" w:rsidRPr="008C187F" w:rsidRDefault="008A5A59" w:rsidP="008233F3">
            <w:pPr>
              <w:tabs>
                <w:tab w:val="left" w:pos="4111"/>
              </w:tabs>
              <w:spacing w:before="10"/>
              <w:ind w:left="57"/>
              <w:rPr>
                <w:b/>
                <w:bCs/>
              </w:rPr>
            </w:pPr>
            <w:r w:rsidRPr="008C187F">
              <w:rPr>
                <w:b/>
                <w:bCs/>
              </w:rPr>
              <w:t>FG-AI4NDM/MM</w:t>
            </w:r>
          </w:p>
        </w:tc>
        <w:tc>
          <w:tcPr>
            <w:tcW w:w="5111" w:type="dxa"/>
            <w:gridSpan w:val="3"/>
            <w:vMerge w:val="restart"/>
          </w:tcPr>
          <w:p w14:paraId="56D1AD83" w14:textId="792B05BC" w:rsidR="008A5A59" w:rsidRPr="008C187F" w:rsidRDefault="00036F4F" w:rsidP="008233F3">
            <w:pPr>
              <w:tabs>
                <w:tab w:val="clear" w:pos="794"/>
                <w:tab w:val="clear" w:pos="1191"/>
                <w:tab w:val="clear" w:pos="1588"/>
                <w:tab w:val="clear" w:pos="1985"/>
                <w:tab w:val="left" w:pos="284"/>
              </w:tabs>
              <w:spacing w:before="0"/>
              <w:ind w:left="284" w:hanging="227"/>
            </w:pPr>
            <w:bookmarkStart w:id="0" w:name="Addressee_F"/>
            <w:bookmarkEnd w:id="0"/>
            <w:r w:rsidRPr="008C187F">
              <w:t>-</w:t>
            </w:r>
            <w:r w:rsidRPr="008C187F">
              <w:tab/>
            </w:r>
            <w:r w:rsidR="008A5A59" w:rsidRPr="008C187F">
              <w:t xml:space="preserve">Aux </w:t>
            </w:r>
            <w:r w:rsidR="00EC27C5">
              <w:t>A</w:t>
            </w:r>
            <w:r w:rsidR="008A5A59" w:rsidRPr="008C187F">
              <w:t xml:space="preserve">dministrations des États Membres de </w:t>
            </w:r>
            <w:proofErr w:type="gramStart"/>
            <w:r w:rsidR="008A5A59" w:rsidRPr="008C187F">
              <w:t>l'Union;</w:t>
            </w:r>
            <w:proofErr w:type="gramEnd"/>
          </w:p>
          <w:p w14:paraId="44FA5939" w14:textId="77777777" w:rsidR="008A5A59" w:rsidRPr="008C187F" w:rsidRDefault="008A5A59" w:rsidP="008233F3">
            <w:pPr>
              <w:tabs>
                <w:tab w:val="clear" w:pos="794"/>
                <w:tab w:val="clear" w:pos="1191"/>
                <w:tab w:val="clear" w:pos="1588"/>
                <w:tab w:val="clear" w:pos="1985"/>
                <w:tab w:val="left" w:pos="284"/>
              </w:tabs>
              <w:spacing w:before="0"/>
              <w:ind w:left="284" w:hanging="227"/>
            </w:pPr>
            <w:r w:rsidRPr="008C187F">
              <w:t>-</w:t>
            </w:r>
            <w:r w:rsidRPr="008C187F">
              <w:tab/>
              <w:t>Aux Membres du Secteur UIT-</w:t>
            </w:r>
            <w:proofErr w:type="gramStart"/>
            <w:r w:rsidRPr="008C187F">
              <w:t>T;</w:t>
            </w:r>
            <w:proofErr w:type="gramEnd"/>
          </w:p>
          <w:p w14:paraId="533DC95B" w14:textId="77777777" w:rsidR="008A5A59" w:rsidRPr="008C187F" w:rsidRDefault="008A5A59" w:rsidP="008233F3">
            <w:pPr>
              <w:tabs>
                <w:tab w:val="clear" w:pos="794"/>
                <w:tab w:val="clear" w:pos="1191"/>
                <w:tab w:val="clear" w:pos="1588"/>
                <w:tab w:val="clear" w:pos="1985"/>
                <w:tab w:val="left" w:pos="284"/>
              </w:tabs>
              <w:spacing w:before="0"/>
              <w:ind w:left="284" w:hanging="227"/>
            </w:pPr>
            <w:r w:rsidRPr="008C187F">
              <w:t>-</w:t>
            </w:r>
            <w:r w:rsidRPr="008C187F">
              <w:tab/>
              <w:t>Aux Associés de l'UIT-</w:t>
            </w:r>
            <w:proofErr w:type="gramStart"/>
            <w:r w:rsidRPr="008C187F">
              <w:t>T;</w:t>
            </w:r>
            <w:proofErr w:type="gramEnd"/>
          </w:p>
          <w:p w14:paraId="0462863F" w14:textId="77777777" w:rsidR="00036F4F" w:rsidRPr="008C187F" w:rsidRDefault="008A5A59" w:rsidP="008233F3">
            <w:pPr>
              <w:tabs>
                <w:tab w:val="clear" w:pos="794"/>
                <w:tab w:val="clear" w:pos="1191"/>
                <w:tab w:val="clear" w:pos="1588"/>
                <w:tab w:val="clear" w:pos="1985"/>
                <w:tab w:val="left" w:pos="284"/>
              </w:tabs>
              <w:spacing w:before="0"/>
              <w:ind w:left="284" w:hanging="227"/>
            </w:pPr>
            <w:r w:rsidRPr="008C187F">
              <w:t>-</w:t>
            </w:r>
            <w:r w:rsidRPr="008C187F">
              <w:tab/>
              <w:t>Aux établissements universitaires participant aux travaux de l'UIT</w:t>
            </w:r>
          </w:p>
        </w:tc>
      </w:tr>
      <w:tr w:rsidR="00036F4F" w:rsidRPr="008C187F" w14:paraId="5B724795" w14:textId="77777777" w:rsidTr="00EC27C5">
        <w:trPr>
          <w:gridBefore w:val="1"/>
          <w:wBefore w:w="8" w:type="dxa"/>
          <w:cantSplit/>
          <w:jc w:val="center"/>
        </w:trPr>
        <w:tc>
          <w:tcPr>
            <w:tcW w:w="822" w:type="dxa"/>
          </w:tcPr>
          <w:p w14:paraId="65A1561E" w14:textId="77777777" w:rsidR="00036F4F" w:rsidRPr="008C187F" w:rsidRDefault="00036F4F" w:rsidP="008233F3">
            <w:pPr>
              <w:tabs>
                <w:tab w:val="left" w:pos="4111"/>
              </w:tabs>
              <w:spacing w:before="10"/>
              <w:ind w:left="57"/>
              <w:rPr>
                <w:b/>
                <w:bCs/>
                <w:sz w:val="20"/>
              </w:rPr>
            </w:pPr>
            <w:proofErr w:type="gramStart"/>
            <w:r w:rsidRPr="008C187F">
              <w:rPr>
                <w:b/>
                <w:bCs/>
              </w:rPr>
              <w:t>Tél.:</w:t>
            </w:r>
            <w:proofErr w:type="gramEnd"/>
          </w:p>
        </w:tc>
        <w:tc>
          <w:tcPr>
            <w:tcW w:w="3990" w:type="dxa"/>
            <w:gridSpan w:val="3"/>
          </w:tcPr>
          <w:p w14:paraId="7971A0D9" w14:textId="669AC648" w:rsidR="00036F4F" w:rsidRPr="008C187F" w:rsidRDefault="00036F4F" w:rsidP="008233F3">
            <w:pPr>
              <w:tabs>
                <w:tab w:val="left" w:pos="4111"/>
              </w:tabs>
              <w:spacing w:before="0"/>
              <w:ind w:left="57"/>
            </w:pPr>
            <w:r w:rsidRPr="008C187F">
              <w:t>+41 22 730</w:t>
            </w:r>
            <w:r w:rsidR="008A32CC" w:rsidRPr="008C187F">
              <w:t xml:space="preserve"> 5697</w:t>
            </w:r>
          </w:p>
        </w:tc>
        <w:tc>
          <w:tcPr>
            <w:tcW w:w="5111" w:type="dxa"/>
            <w:gridSpan w:val="3"/>
            <w:vMerge/>
          </w:tcPr>
          <w:p w14:paraId="1734B0E0" w14:textId="77777777" w:rsidR="00036F4F" w:rsidRPr="008C187F" w:rsidRDefault="00036F4F" w:rsidP="008233F3">
            <w:pPr>
              <w:tabs>
                <w:tab w:val="left" w:pos="4111"/>
              </w:tabs>
              <w:spacing w:before="0"/>
              <w:rPr>
                <w:b/>
              </w:rPr>
            </w:pPr>
          </w:p>
        </w:tc>
      </w:tr>
      <w:tr w:rsidR="00036F4F" w:rsidRPr="008C187F" w14:paraId="2D277CED" w14:textId="77777777" w:rsidTr="00EC27C5">
        <w:trPr>
          <w:gridBefore w:val="1"/>
          <w:wBefore w:w="8" w:type="dxa"/>
          <w:cantSplit/>
          <w:jc w:val="center"/>
        </w:trPr>
        <w:tc>
          <w:tcPr>
            <w:tcW w:w="822" w:type="dxa"/>
          </w:tcPr>
          <w:p w14:paraId="4A310089" w14:textId="77777777" w:rsidR="00036F4F" w:rsidRPr="008C187F" w:rsidRDefault="00036F4F" w:rsidP="008233F3">
            <w:pPr>
              <w:tabs>
                <w:tab w:val="left" w:pos="4111"/>
              </w:tabs>
              <w:spacing w:before="10"/>
              <w:ind w:left="57"/>
              <w:rPr>
                <w:b/>
                <w:bCs/>
                <w:sz w:val="20"/>
              </w:rPr>
            </w:pPr>
            <w:proofErr w:type="gramStart"/>
            <w:r w:rsidRPr="008C187F">
              <w:rPr>
                <w:b/>
                <w:bCs/>
              </w:rPr>
              <w:t>Fax:</w:t>
            </w:r>
            <w:proofErr w:type="gramEnd"/>
          </w:p>
        </w:tc>
        <w:tc>
          <w:tcPr>
            <w:tcW w:w="3990" w:type="dxa"/>
            <w:gridSpan w:val="3"/>
          </w:tcPr>
          <w:p w14:paraId="54EE66B4" w14:textId="77777777" w:rsidR="00036F4F" w:rsidRPr="008C187F" w:rsidRDefault="00036F4F" w:rsidP="008233F3">
            <w:pPr>
              <w:tabs>
                <w:tab w:val="left" w:pos="4111"/>
              </w:tabs>
              <w:spacing w:before="0"/>
              <w:ind w:left="57"/>
            </w:pPr>
            <w:r w:rsidRPr="008C187F">
              <w:t>+41 22 730 5853</w:t>
            </w:r>
          </w:p>
        </w:tc>
        <w:tc>
          <w:tcPr>
            <w:tcW w:w="5111" w:type="dxa"/>
            <w:gridSpan w:val="3"/>
            <w:vMerge/>
          </w:tcPr>
          <w:p w14:paraId="58E6E68C" w14:textId="77777777" w:rsidR="00036F4F" w:rsidRPr="008C187F" w:rsidRDefault="00036F4F" w:rsidP="008233F3">
            <w:pPr>
              <w:tabs>
                <w:tab w:val="left" w:pos="4111"/>
              </w:tabs>
              <w:spacing w:before="0"/>
              <w:rPr>
                <w:b/>
              </w:rPr>
            </w:pPr>
          </w:p>
        </w:tc>
      </w:tr>
      <w:tr w:rsidR="00517A03" w:rsidRPr="008C187F" w14:paraId="598EEE2D" w14:textId="77777777" w:rsidTr="00EC27C5">
        <w:trPr>
          <w:gridBefore w:val="1"/>
          <w:wBefore w:w="8" w:type="dxa"/>
          <w:cantSplit/>
          <w:jc w:val="center"/>
        </w:trPr>
        <w:tc>
          <w:tcPr>
            <w:tcW w:w="822" w:type="dxa"/>
          </w:tcPr>
          <w:p w14:paraId="5EF0516F" w14:textId="77777777" w:rsidR="00517A03" w:rsidRPr="008C187F" w:rsidRDefault="00036F4F" w:rsidP="008233F3">
            <w:pPr>
              <w:tabs>
                <w:tab w:val="left" w:pos="4111"/>
              </w:tabs>
              <w:spacing w:before="10"/>
              <w:ind w:left="57"/>
              <w:rPr>
                <w:b/>
                <w:bCs/>
                <w:sz w:val="20"/>
              </w:rPr>
            </w:pPr>
            <w:proofErr w:type="gramStart"/>
            <w:r w:rsidRPr="008C187F">
              <w:rPr>
                <w:b/>
                <w:bCs/>
              </w:rPr>
              <w:t>E-mail:</w:t>
            </w:r>
            <w:proofErr w:type="gramEnd"/>
          </w:p>
        </w:tc>
        <w:tc>
          <w:tcPr>
            <w:tcW w:w="3990" w:type="dxa"/>
            <w:gridSpan w:val="3"/>
          </w:tcPr>
          <w:p w14:paraId="4470F826" w14:textId="77777777" w:rsidR="00517A03" w:rsidRPr="008C187F" w:rsidRDefault="000B4B22" w:rsidP="008233F3">
            <w:pPr>
              <w:tabs>
                <w:tab w:val="left" w:pos="4111"/>
              </w:tabs>
              <w:spacing w:before="0"/>
              <w:ind w:left="57"/>
            </w:pPr>
            <w:hyperlink r:id="rId9" w:history="1">
              <w:r w:rsidR="00844E71" w:rsidRPr="008C187F">
                <w:rPr>
                  <w:rStyle w:val="Hyperlink"/>
                </w:rPr>
                <w:t>tsbfgai4ndm@itu.int</w:t>
              </w:r>
            </w:hyperlink>
          </w:p>
        </w:tc>
        <w:tc>
          <w:tcPr>
            <w:tcW w:w="5111" w:type="dxa"/>
            <w:gridSpan w:val="3"/>
          </w:tcPr>
          <w:p w14:paraId="3CECA811" w14:textId="77777777" w:rsidR="00517A03" w:rsidRPr="008C187F" w:rsidRDefault="00517A03" w:rsidP="008233F3">
            <w:pPr>
              <w:tabs>
                <w:tab w:val="left" w:pos="4111"/>
              </w:tabs>
              <w:spacing w:before="0"/>
            </w:pPr>
            <w:proofErr w:type="gramStart"/>
            <w:r w:rsidRPr="008C187F">
              <w:rPr>
                <w:b/>
              </w:rPr>
              <w:t>Copie</w:t>
            </w:r>
            <w:r w:rsidRPr="008C187F">
              <w:t>:</w:t>
            </w:r>
            <w:proofErr w:type="gramEnd"/>
          </w:p>
          <w:p w14:paraId="5DF85AFB" w14:textId="77777777" w:rsidR="008A5A59" w:rsidRPr="008C187F" w:rsidRDefault="00517A03" w:rsidP="008233F3">
            <w:pPr>
              <w:tabs>
                <w:tab w:val="clear" w:pos="794"/>
                <w:tab w:val="left" w:pos="226"/>
                <w:tab w:val="left" w:pos="4111"/>
              </w:tabs>
              <w:spacing w:before="0"/>
              <w:ind w:left="226" w:hanging="226"/>
            </w:pPr>
            <w:r w:rsidRPr="008C187F">
              <w:t>-</w:t>
            </w:r>
            <w:r w:rsidRPr="008C187F">
              <w:tab/>
            </w:r>
            <w:r w:rsidR="008A5A59" w:rsidRPr="008C187F">
              <w:t>Aux Présidents et Vice-Présidents des Commissions d'études de l'UIT-</w:t>
            </w:r>
            <w:proofErr w:type="gramStart"/>
            <w:r w:rsidR="008A5A59" w:rsidRPr="008C187F">
              <w:t>T;</w:t>
            </w:r>
            <w:proofErr w:type="gramEnd"/>
          </w:p>
          <w:p w14:paraId="1BC741FA" w14:textId="77777777" w:rsidR="008A5A59" w:rsidRPr="008C187F" w:rsidRDefault="008A5A59" w:rsidP="008233F3">
            <w:pPr>
              <w:tabs>
                <w:tab w:val="clear" w:pos="794"/>
                <w:tab w:val="left" w:pos="226"/>
                <w:tab w:val="left" w:pos="4111"/>
              </w:tabs>
              <w:spacing w:before="0"/>
              <w:ind w:left="226" w:hanging="226"/>
            </w:pPr>
            <w:r w:rsidRPr="008C187F">
              <w:t>-</w:t>
            </w:r>
            <w:r w:rsidRPr="008C187F">
              <w:tab/>
              <w:t>À la Directrice du Bureau de développement des </w:t>
            </w:r>
            <w:proofErr w:type="gramStart"/>
            <w:r w:rsidRPr="008C187F">
              <w:t>télécommunications;</w:t>
            </w:r>
            <w:proofErr w:type="gramEnd"/>
          </w:p>
          <w:p w14:paraId="463AD1C9" w14:textId="77777777" w:rsidR="00517A03" w:rsidRPr="008C187F" w:rsidRDefault="008A5A59" w:rsidP="008233F3">
            <w:pPr>
              <w:tabs>
                <w:tab w:val="clear" w:pos="794"/>
                <w:tab w:val="left" w:pos="226"/>
                <w:tab w:val="left" w:pos="4111"/>
              </w:tabs>
              <w:spacing w:before="0"/>
              <w:ind w:left="226" w:hanging="226"/>
            </w:pPr>
            <w:r w:rsidRPr="008C187F">
              <w:t>-</w:t>
            </w:r>
            <w:r w:rsidRPr="008C187F">
              <w:tab/>
              <w:t>Au Directeur du Bureau des radiocommunications</w:t>
            </w:r>
          </w:p>
        </w:tc>
      </w:tr>
      <w:tr w:rsidR="00517A03" w:rsidRPr="008C187F" w14:paraId="6BF65F67" w14:textId="77777777" w:rsidTr="00EC27C5">
        <w:trPr>
          <w:gridBefore w:val="1"/>
          <w:gridAfter w:val="1"/>
          <w:wBefore w:w="8" w:type="dxa"/>
          <w:wAfter w:w="8" w:type="dxa"/>
          <w:cantSplit/>
          <w:trHeight w:val="680"/>
          <w:jc w:val="center"/>
        </w:trPr>
        <w:tc>
          <w:tcPr>
            <w:tcW w:w="822" w:type="dxa"/>
          </w:tcPr>
          <w:p w14:paraId="5B540C3D" w14:textId="77777777" w:rsidR="00517A03" w:rsidRPr="008C187F" w:rsidRDefault="00517A03" w:rsidP="008233F3">
            <w:pPr>
              <w:tabs>
                <w:tab w:val="left" w:pos="4111"/>
              </w:tabs>
              <w:spacing w:before="240"/>
              <w:ind w:left="57"/>
              <w:rPr>
                <w:b/>
                <w:bCs/>
                <w:szCs w:val="22"/>
              </w:rPr>
            </w:pPr>
            <w:proofErr w:type="gramStart"/>
            <w:r w:rsidRPr="008C187F">
              <w:rPr>
                <w:b/>
                <w:bCs/>
                <w:szCs w:val="22"/>
              </w:rPr>
              <w:t>Objet:</w:t>
            </w:r>
            <w:proofErr w:type="gramEnd"/>
          </w:p>
        </w:tc>
        <w:tc>
          <w:tcPr>
            <w:tcW w:w="9093" w:type="dxa"/>
            <w:gridSpan w:val="5"/>
          </w:tcPr>
          <w:p w14:paraId="42665C79" w14:textId="73B9BA00" w:rsidR="00517A03" w:rsidRPr="008C187F" w:rsidRDefault="008A5A59" w:rsidP="00EC27C5">
            <w:pPr>
              <w:tabs>
                <w:tab w:val="left" w:pos="4111"/>
              </w:tabs>
              <w:spacing w:before="240"/>
              <w:ind w:left="57"/>
              <w:rPr>
                <w:b/>
                <w:bCs/>
                <w:szCs w:val="22"/>
              </w:rPr>
            </w:pPr>
            <w:r w:rsidRPr="008C187F">
              <w:rPr>
                <w:b/>
                <w:bCs/>
                <w:szCs w:val="22"/>
              </w:rPr>
              <w:t>Création d'un nouvea</w:t>
            </w:r>
            <w:r w:rsidR="00844E71" w:rsidRPr="008C187F">
              <w:rPr>
                <w:b/>
                <w:bCs/>
                <w:szCs w:val="22"/>
              </w:rPr>
              <w:t xml:space="preserve">u Groupe spécialisé de l'UIT-T </w:t>
            </w:r>
            <w:r w:rsidR="00EF3BD9" w:rsidRPr="008C187F">
              <w:rPr>
                <w:b/>
                <w:bCs/>
                <w:szCs w:val="22"/>
              </w:rPr>
              <w:t>sur l'intelligence artificielle au service</w:t>
            </w:r>
            <w:r w:rsidR="00EC27C5">
              <w:rPr>
                <w:b/>
                <w:bCs/>
                <w:szCs w:val="22"/>
              </w:rPr>
              <w:t> </w:t>
            </w:r>
            <w:r w:rsidR="00EF3BD9" w:rsidRPr="008C187F">
              <w:rPr>
                <w:b/>
                <w:bCs/>
                <w:szCs w:val="22"/>
              </w:rPr>
              <w:t xml:space="preserve">de la gestion des catastrophes naturelles </w:t>
            </w:r>
            <w:r w:rsidR="00844E71" w:rsidRPr="008C187F">
              <w:rPr>
                <w:b/>
                <w:bCs/>
                <w:szCs w:val="22"/>
              </w:rPr>
              <w:t>(FG</w:t>
            </w:r>
            <w:r w:rsidR="00D451F0" w:rsidRPr="008C187F">
              <w:rPr>
                <w:b/>
                <w:bCs/>
                <w:szCs w:val="22"/>
              </w:rPr>
              <w:t>-</w:t>
            </w:r>
            <w:r w:rsidR="00844E71" w:rsidRPr="008C187F">
              <w:rPr>
                <w:b/>
                <w:bCs/>
                <w:szCs w:val="22"/>
              </w:rPr>
              <w:t xml:space="preserve">AI4NDM) </w:t>
            </w:r>
            <w:r w:rsidRPr="008C187F">
              <w:rPr>
                <w:b/>
                <w:bCs/>
                <w:szCs w:val="22"/>
              </w:rPr>
              <w:t xml:space="preserve">et première réunion de ce </w:t>
            </w:r>
            <w:proofErr w:type="gramStart"/>
            <w:r w:rsidRPr="008C187F">
              <w:rPr>
                <w:b/>
                <w:bCs/>
                <w:szCs w:val="22"/>
              </w:rPr>
              <w:t>Groupe</w:t>
            </w:r>
            <w:r w:rsidR="00844E71" w:rsidRPr="008C187F">
              <w:rPr>
                <w:b/>
                <w:bCs/>
                <w:szCs w:val="22"/>
              </w:rPr>
              <w:t>:</w:t>
            </w:r>
            <w:proofErr w:type="gramEnd"/>
            <w:r w:rsidR="00844E71" w:rsidRPr="008C187F">
              <w:rPr>
                <w:b/>
                <w:bCs/>
                <w:szCs w:val="22"/>
              </w:rPr>
              <w:t xml:space="preserve"> virtuelle, 15-17 mars </w:t>
            </w:r>
            <w:r w:rsidRPr="008C187F">
              <w:rPr>
                <w:b/>
                <w:bCs/>
                <w:szCs w:val="22"/>
              </w:rPr>
              <w:t>20</w:t>
            </w:r>
            <w:r w:rsidR="00844E71" w:rsidRPr="008C187F">
              <w:rPr>
                <w:b/>
                <w:bCs/>
                <w:szCs w:val="22"/>
              </w:rPr>
              <w:t>21</w:t>
            </w:r>
          </w:p>
        </w:tc>
      </w:tr>
    </w:tbl>
    <w:p w14:paraId="65B6DD44" w14:textId="77777777" w:rsidR="00517A03" w:rsidRPr="008C187F" w:rsidRDefault="00517A03" w:rsidP="00EC27C5">
      <w:pPr>
        <w:spacing w:before="360"/>
      </w:pPr>
      <w:bookmarkStart w:id="1" w:name="StartTyping_F"/>
      <w:bookmarkEnd w:id="1"/>
      <w:r w:rsidRPr="008C187F">
        <w:t>Madame, Monsieur,</w:t>
      </w:r>
    </w:p>
    <w:p w14:paraId="33535471" w14:textId="52A11FCA" w:rsidR="00036F4F" w:rsidRPr="008C187F" w:rsidRDefault="00844E71" w:rsidP="008233F3">
      <w:pPr>
        <w:rPr>
          <w:bCs/>
        </w:rPr>
      </w:pPr>
      <w:r w:rsidRPr="008C187F">
        <w:rPr>
          <w:bCs/>
        </w:rPr>
        <w:t>1</w:t>
      </w:r>
      <w:r w:rsidRPr="008C187F">
        <w:rPr>
          <w:bCs/>
        </w:rPr>
        <w:tab/>
        <w:t xml:space="preserve">À la suite de l'accord donné par la Commission d'études 2 de l'UIT-T à la </w:t>
      </w:r>
      <w:r w:rsidR="00EF3BD9" w:rsidRPr="008C187F">
        <w:rPr>
          <w:bCs/>
        </w:rPr>
        <w:t xml:space="preserve">séance plénière électronique </w:t>
      </w:r>
      <w:r w:rsidRPr="008C187F">
        <w:rPr>
          <w:bCs/>
        </w:rPr>
        <w:t xml:space="preserve">qu'elle a </w:t>
      </w:r>
      <w:r w:rsidR="00EF3BD9" w:rsidRPr="008C187F">
        <w:rPr>
          <w:bCs/>
        </w:rPr>
        <w:t xml:space="preserve">tenue le </w:t>
      </w:r>
      <w:r w:rsidRPr="008C187F">
        <w:rPr>
          <w:bCs/>
        </w:rPr>
        <w:t xml:space="preserve">18 décembre 2020, j'ai l'honneur de vous annoncer la création </w:t>
      </w:r>
      <w:r w:rsidR="00EF3BD9" w:rsidRPr="008C187F">
        <w:rPr>
          <w:bCs/>
        </w:rPr>
        <w:t xml:space="preserve">d'un nouveau </w:t>
      </w:r>
      <w:hyperlink r:id="rId10" w:history="1">
        <w:r w:rsidR="00EF3BD9" w:rsidRPr="008C187F">
          <w:rPr>
            <w:rStyle w:val="Hyperlink"/>
            <w:bCs/>
          </w:rPr>
          <w:t xml:space="preserve">Groupe spécialisé sur l'intelligence artificielle au service de la gestion des catastrophes naturelles </w:t>
        </w:r>
        <w:r w:rsidRPr="008C187F">
          <w:rPr>
            <w:rStyle w:val="Hyperlink"/>
            <w:bCs/>
          </w:rPr>
          <w:t>(FG-AI4NDM)</w:t>
        </w:r>
      </w:hyperlink>
      <w:r w:rsidRPr="008C187F">
        <w:rPr>
          <w:bCs/>
        </w:rPr>
        <w:t xml:space="preserve">. Le Groupe spécialisé </w:t>
      </w:r>
      <w:r w:rsidR="008233F3" w:rsidRPr="008C187F">
        <w:rPr>
          <w:bCs/>
        </w:rPr>
        <w:t xml:space="preserve">organisera </w:t>
      </w:r>
      <w:r w:rsidR="00EF3BD9" w:rsidRPr="008C187F">
        <w:rPr>
          <w:bCs/>
        </w:rPr>
        <w:t xml:space="preserve">son premier atelier et sa première réunion du </w:t>
      </w:r>
      <w:r w:rsidRPr="008C187F">
        <w:rPr>
          <w:bCs/>
        </w:rPr>
        <w:t>15</w:t>
      </w:r>
      <w:r w:rsidR="00EF3BD9" w:rsidRPr="008C187F">
        <w:rPr>
          <w:bCs/>
        </w:rPr>
        <w:t xml:space="preserve"> au </w:t>
      </w:r>
      <w:r w:rsidRPr="008C187F">
        <w:rPr>
          <w:bCs/>
        </w:rPr>
        <w:t xml:space="preserve">17 </w:t>
      </w:r>
      <w:r w:rsidR="00EF3BD9" w:rsidRPr="008C187F">
        <w:rPr>
          <w:bCs/>
        </w:rPr>
        <w:t xml:space="preserve">mars </w:t>
      </w:r>
      <w:r w:rsidRPr="008C187F">
        <w:rPr>
          <w:bCs/>
        </w:rPr>
        <w:t>2021.</w:t>
      </w:r>
    </w:p>
    <w:p w14:paraId="03CCFA40" w14:textId="06406534" w:rsidR="00EF3BD9" w:rsidRPr="008C187F" w:rsidRDefault="00844E71" w:rsidP="008233F3">
      <w:r w:rsidRPr="008C187F">
        <w:t>2</w:t>
      </w:r>
      <w:r w:rsidRPr="008C187F">
        <w:tab/>
      </w:r>
      <w:r w:rsidR="00EF3BD9" w:rsidRPr="008C187F">
        <w:t xml:space="preserve">Sous la présidence de Mme Monique Kuglitsch (Fraunhofer HHI), le </w:t>
      </w:r>
      <w:r w:rsidR="00F44F08" w:rsidRPr="008C187F">
        <w:t>G</w:t>
      </w:r>
      <w:r w:rsidR="00EF3BD9" w:rsidRPr="008C187F">
        <w:t xml:space="preserve">roupe </w:t>
      </w:r>
      <w:r w:rsidR="008233F3" w:rsidRPr="008C187F">
        <w:t xml:space="preserve">élaborera </w:t>
      </w:r>
      <w:r w:rsidR="00EF3BD9" w:rsidRPr="008C187F">
        <w:t xml:space="preserve">une feuille de route </w:t>
      </w:r>
      <w:r w:rsidR="008233F3" w:rsidRPr="008C187F">
        <w:t xml:space="preserve">des </w:t>
      </w:r>
      <w:r w:rsidR="00EF3BD9" w:rsidRPr="008C187F">
        <w:t xml:space="preserve">activités </w:t>
      </w:r>
      <w:r w:rsidR="008233F3" w:rsidRPr="008C187F">
        <w:t xml:space="preserve">relatives à l'intelligence artificielle au service de </w:t>
      </w:r>
      <w:r w:rsidR="00EF3BD9" w:rsidRPr="008C187F">
        <w:t xml:space="preserve">la gestion des catastrophes naturelles, établira une liste de parties prenantes et d'experts, organisera des ateliers et des réunions, et préparera des rapports techniques et </w:t>
      </w:r>
      <w:r w:rsidR="008233F3" w:rsidRPr="008C187F">
        <w:t xml:space="preserve">des supports pédagogiques </w:t>
      </w:r>
      <w:r w:rsidR="00EF3BD9" w:rsidRPr="008C187F">
        <w:t xml:space="preserve">qui mettront en </w:t>
      </w:r>
      <w:r w:rsidR="00E326A5" w:rsidRPr="008C187F">
        <w:t xml:space="preserve">avant </w:t>
      </w:r>
      <w:r w:rsidR="00EF3BD9" w:rsidRPr="008C187F">
        <w:t xml:space="preserve">les </w:t>
      </w:r>
      <w:r w:rsidR="008233F3" w:rsidRPr="008C187F">
        <w:t xml:space="preserve">bonnes </w:t>
      </w:r>
      <w:r w:rsidR="00EF3BD9" w:rsidRPr="008C187F">
        <w:t xml:space="preserve">pratiques et définiront les </w:t>
      </w:r>
      <w:r w:rsidR="008233F3" w:rsidRPr="008C187F">
        <w:t xml:space="preserve">futures </w:t>
      </w:r>
      <w:r w:rsidR="00EF3BD9" w:rsidRPr="008C187F">
        <w:t xml:space="preserve">orientations possibles pour ce nouveau domaine d'étude. </w:t>
      </w:r>
      <w:r w:rsidR="008233F3" w:rsidRPr="008C187F">
        <w:t>C</w:t>
      </w:r>
      <w:r w:rsidR="00EF3BD9" w:rsidRPr="008C187F">
        <w:t xml:space="preserve">e </w:t>
      </w:r>
      <w:r w:rsidR="00F44F08" w:rsidRPr="008C187F">
        <w:t>G</w:t>
      </w:r>
      <w:r w:rsidR="00EF3BD9" w:rsidRPr="008C187F">
        <w:t xml:space="preserve">roupe </w:t>
      </w:r>
      <w:r w:rsidR="008233F3" w:rsidRPr="008C187F">
        <w:t xml:space="preserve">spécialisé </w:t>
      </w:r>
      <w:r w:rsidR="00EF3BD9" w:rsidRPr="008C187F">
        <w:t>devra</w:t>
      </w:r>
      <w:r w:rsidR="008233F3" w:rsidRPr="008C187F">
        <w:t>i</w:t>
      </w:r>
      <w:r w:rsidR="00EF3BD9" w:rsidRPr="008C187F">
        <w:t>t men</w:t>
      </w:r>
      <w:r w:rsidR="008233F3" w:rsidRPr="008C187F">
        <w:t>er ses activités</w:t>
      </w:r>
      <w:r w:rsidR="00EF3BD9" w:rsidRPr="008C187F">
        <w:t xml:space="preserve"> en étroite collaboration avec l'Organisation météorologique mondiale (OMM), le Programme des Nations unies pour l'environnement (PNUE) et d'autres parties prenantes concernées.</w:t>
      </w:r>
    </w:p>
    <w:p w14:paraId="5DF0BAB2" w14:textId="10549A78" w:rsidR="00036F4F" w:rsidRPr="008C187F" w:rsidRDefault="00844E71" w:rsidP="008233F3">
      <w:pPr>
        <w:rPr>
          <w:bCs/>
        </w:rPr>
      </w:pPr>
      <w:r w:rsidRPr="008C187F">
        <w:t>3</w:t>
      </w:r>
      <w:r w:rsidRPr="008C187F">
        <w:tab/>
      </w:r>
      <w:r w:rsidR="008233F3" w:rsidRPr="008C187F">
        <w:t xml:space="preserve">La participation aux travaux du </w:t>
      </w:r>
      <w:r w:rsidR="00307379" w:rsidRPr="008C187F">
        <w:t>G</w:t>
      </w:r>
      <w:r w:rsidR="008233F3" w:rsidRPr="008C187F">
        <w:t xml:space="preserve">roupe FG-AI4NDM est gratuite et ouverte aux experts à titre individuel et aux organisations </w:t>
      </w:r>
      <w:r w:rsidR="00A055BD" w:rsidRPr="008C187F">
        <w:t>œuvrant</w:t>
      </w:r>
      <w:r w:rsidR="008233F3" w:rsidRPr="008C187F">
        <w:t xml:space="preserve"> dans tous les secteurs et </w:t>
      </w:r>
      <w:r w:rsidR="00A055BD" w:rsidRPr="008C187F">
        <w:t xml:space="preserve">les </w:t>
      </w:r>
      <w:r w:rsidR="00FC380A" w:rsidRPr="008C187F">
        <w:t xml:space="preserve">domaines </w:t>
      </w:r>
      <w:r w:rsidR="00EC27C5">
        <w:t>concernés, y </w:t>
      </w:r>
      <w:r w:rsidR="008233F3" w:rsidRPr="008C187F">
        <w:t xml:space="preserve">compris les géosciences, l'intelligence artificielle/l'apprentissage automatique (AI/ML), et d'autres domaines des technologies de l'information et de la communication. Des experts de toutes les régions, en particulier des pays en développement, y compris les pays les moins avancés (PMA) et les petits États insulaires en développement (PEID), sont encouragés à contribuer à ces travaux. </w:t>
      </w:r>
      <w:r w:rsidR="00307379" w:rsidRPr="008C187F">
        <w:t xml:space="preserve">Les États Membres souhaitent vivement que cette diversité soit reflétée dans l'équipe de direction. Les </w:t>
      </w:r>
      <w:r w:rsidR="008233F3" w:rsidRPr="008C187F">
        <w:t>personne</w:t>
      </w:r>
      <w:r w:rsidR="00307379" w:rsidRPr="008C187F">
        <w:t>s</w:t>
      </w:r>
      <w:r w:rsidR="008233F3" w:rsidRPr="008C187F">
        <w:t xml:space="preserve"> </w:t>
      </w:r>
      <w:r w:rsidR="00307379" w:rsidRPr="008C187F">
        <w:t xml:space="preserve">qui </w:t>
      </w:r>
      <w:r w:rsidR="008233F3" w:rsidRPr="008C187F">
        <w:t>souhait</w:t>
      </w:r>
      <w:r w:rsidR="00307379" w:rsidRPr="008C187F">
        <w:t>e</w:t>
      </w:r>
      <w:r w:rsidR="008233F3" w:rsidRPr="008C187F">
        <w:t xml:space="preserve">nt suivre </w:t>
      </w:r>
      <w:r w:rsidR="00307379" w:rsidRPr="008C187F">
        <w:t xml:space="preserve">ces travaux </w:t>
      </w:r>
      <w:r w:rsidR="008233F3" w:rsidRPr="008C187F">
        <w:t xml:space="preserve">ou </w:t>
      </w:r>
      <w:r w:rsidR="00307379" w:rsidRPr="008C187F">
        <w:t xml:space="preserve">y </w:t>
      </w:r>
      <w:r w:rsidR="008233F3" w:rsidRPr="008C187F">
        <w:t xml:space="preserve">participer </w:t>
      </w:r>
      <w:r w:rsidR="00307379" w:rsidRPr="008C187F">
        <w:t xml:space="preserve">sont </w:t>
      </w:r>
      <w:r w:rsidR="008233F3" w:rsidRPr="008C187F">
        <w:t>invitée</w:t>
      </w:r>
      <w:r w:rsidR="00307379" w:rsidRPr="008C187F">
        <w:t>s</w:t>
      </w:r>
      <w:r w:rsidR="008233F3" w:rsidRPr="008C187F">
        <w:t xml:space="preserve"> à s'inscrire sur une liste de diffusion </w:t>
      </w:r>
      <w:proofErr w:type="gramStart"/>
      <w:r w:rsidR="008233F3" w:rsidRPr="008C187F">
        <w:t>dédiée;</w:t>
      </w:r>
      <w:proofErr w:type="gramEnd"/>
      <w:r w:rsidR="008233F3" w:rsidRPr="008C187F">
        <w:t xml:space="preserve"> </w:t>
      </w:r>
      <w:r w:rsidR="00307379" w:rsidRPr="008C187F">
        <w:t xml:space="preserve">des précisions sur </w:t>
      </w:r>
      <w:r w:rsidR="008233F3" w:rsidRPr="008C187F">
        <w:t xml:space="preserve">les </w:t>
      </w:r>
      <w:r w:rsidR="00307379" w:rsidRPr="008C187F">
        <w:t>modalités d'</w:t>
      </w:r>
      <w:r w:rsidR="008233F3" w:rsidRPr="008C187F">
        <w:t>inscri</w:t>
      </w:r>
      <w:r w:rsidR="00307379" w:rsidRPr="008C187F">
        <w:t>ption</w:t>
      </w:r>
      <w:r w:rsidR="008233F3" w:rsidRPr="008C187F">
        <w:t xml:space="preserve"> sont disponibles à l'adress</w:t>
      </w:r>
      <w:r w:rsidR="00307379" w:rsidRPr="008C187F">
        <w:t>e</w:t>
      </w:r>
      <w:r w:rsidRPr="008C187F">
        <w:t xml:space="preserve">: </w:t>
      </w:r>
      <w:hyperlink r:id="rId11" w:history="1">
        <w:r w:rsidRPr="00EC27C5">
          <w:rPr>
            <w:rStyle w:val="Hyperlink"/>
          </w:rPr>
          <w:t>http://itu.int/go/fgai4ndm-quicksteps</w:t>
        </w:r>
      </w:hyperlink>
      <w:r w:rsidRPr="00EC27C5">
        <w:t>.</w:t>
      </w:r>
      <w:r w:rsidR="00642516">
        <w:t xml:space="preserve"> </w:t>
      </w:r>
    </w:p>
    <w:p w14:paraId="23871EFF" w14:textId="26D262EC" w:rsidR="00307379" w:rsidRPr="008C187F" w:rsidRDefault="00844E71" w:rsidP="008233F3">
      <w:pPr>
        <w:rPr>
          <w:bCs/>
        </w:rPr>
      </w:pPr>
      <w:r w:rsidRPr="008C187F">
        <w:rPr>
          <w:bCs/>
        </w:rPr>
        <w:lastRenderedPageBreak/>
        <w:t>4</w:t>
      </w:r>
      <w:r w:rsidRPr="008C187F">
        <w:rPr>
          <w:bCs/>
        </w:rPr>
        <w:tab/>
        <w:t xml:space="preserve">Le </w:t>
      </w:r>
      <w:r w:rsidR="00307379" w:rsidRPr="008C187F">
        <w:rPr>
          <w:bCs/>
        </w:rPr>
        <w:t>G</w:t>
      </w:r>
      <w:r w:rsidRPr="008C187F">
        <w:rPr>
          <w:bCs/>
        </w:rPr>
        <w:t xml:space="preserve">roupe exercera ses activités conformément aux procédures exposées dans la </w:t>
      </w:r>
      <w:hyperlink r:id="rId12" w:history="1">
        <w:r w:rsidRPr="008C187F">
          <w:rPr>
            <w:rStyle w:val="Hyperlink"/>
            <w:bCs/>
          </w:rPr>
          <w:t>Recommandation UIT-T A.7</w:t>
        </w:r>
      </w:hyperlink>
      <w:r w:rsidRPr="008C187F">
        <w:rPr>
          <w:bCs/>
        </w:rPr>
        <w:t xml:space="preserve"> et dans le cadre du mandat approuvé reproduit à l'</w:t>
      </w:r>
      <w:r w:rsidRPr="008C187F">
        <w:rPr>
          <w:b/>
        </w:rPr>
        <w:t>Annexe 1</w:t>
      </w:r>
      <w:r w:rsidRPr="008C187F">
        <w:rPr>
          <w:bCs/>
        </w:rPr>
        <w:t xml:space="preserve">. </w:t>
      </w:r>
      <w:r w:rsidR="00307379" w:rsidRPr="008C187F">
        <w:rPr>
          <w:bCs/>
        </w:rPr>
        <w:t>La durée du mandat du Groupe spécialisé est d'un an à compter de la première réunion</w:t>
      </w:r>
      <w:r w:rsidR="001B400D" w:rsidRPr="008C187F">
        <w:rPr>
          <w:bCs/>
        </w:rPr>
        <w:t xml:space="preserve"> du Groupe</w:t>
      </w:r>
      <w:r w:rsidR="00307379" w:rsidRPr="008C187F">
        <w:rPr>
          <w:bCs/>
        </w:rPr>
        <w:t>, avec la possibilité d'une année supplémentaire sous réserve de l'accord de son entité de rattachement, la Commission d'études 2 de l'UIT</w:t>
      </w:r>
      <w:r w:rsidR="00307379" w:rsidRPr="008C187F">
        <w:rPr>
          <w:bCs/>
        </w:rPr>
        <w:noBreakHyphen/>
        <w:t>T.</w:t>
      </w:r>
    </w:p>
    <w:p w14:paraId="69CD6843" w14:textId="324752F9" w:rsidR="00274877" w:rsidRPr="008C187F" w:rsidRDefault="00844E71" w:rsidP="008233F3">
      <w:pPr>
        <w:rPr>
          <w:bCs/>
        </w:rPr>
      </w:pPr>
      <w:r w:rsidRPr="008C187F">
        <w:rPr>
          <w:bCs/>
        </w:rPr>
        <w:t>5</w:t>
      </w:r>
      <w:r w:rsidRPr="008C187F">
        <w:rPr>
          <w:bCs/>
        </w:rPr>
        <w:tab/>
      </w:r>
      <w:r w:rsidR="00274877" w:rsidRPr="008C187F">
        <w:rPr>
          <w:bCs/>
        </w:rPr>
        <w:t>La première réunion du Groupe FG-AI4NDM se tiendr</w:t>
      </w:r>
      <w:r w:rsidR="00EC27C5">
        <w:rPr>
          <w:bCs/>
        </w:rPr>
        <w:t>a de manière virtuelle du 15 au </w:t>
      </w:r>
      <w:r w:rsidR="00274877" w:rsidRPr="008C187F">
        <w:rPr>
          <w:bCs/>
        </w:rPr>
        <w:t>17</w:t>
      </w:r>
      <w:r w:rsidR="00D451F0" w:rsidRPr="008C187F">
        <w:rPr>
          <w:bCs/>
        </w:rPr>
        <w:t> </w:t>
      </w:r>
      <w:r w:rsidR="00274877" w:rsidRPr="008C187F">
        <w:rPr>
          <w:bCs/>
        </w:rPr>
        <w:t xml:space="preserve">mars 2021 (de 10 h 00 à 14 h 00, heure de Genève). Les objectifs de la première réunion sont les </w:t>
      </w:r>
      <w:proofErr w:type="gramStart"/>
      <w:r w:rsidR="00274877" w:rsidRPr="008C187F">
        <w:rPr>
          <w:bCs/>
        </w:rPr>
        <w:t>suivants:</w:t>
      </w:r>
      <w:proofErr w:type="gramEnd"/>
    </w:p>
    <w:p w14:paraId="0B1F83A5" w14:textId="34428F2D" w:rsidR="00844E71" w:rsidRPr="008C187F" w:rsidRDefault="00844E71" w:rsidP="008233F3">
      <w:pPr>
        <w:pStyle w:val="enumlev1"/>
      </w:pPr>
      <w:r w:rsidRPr="008C187F">
        <w:t>–</w:t>
      </w:r>
      <w:r w:rsidRPr="008C187F">
        <w:tab/>
      </w:r>
      <w:r w:rsidR="00D451F0" w:rsidRPr="008C187F">
        <w:t>E</w:t>
      </w:r>
      <w:r w:rsidR="00274877" w:rsidRPr="008C187F">
        <w:t>xamen des domaines d'action prioritaires et des incidences attendues des travaux</w:t>
      </w:r>
      <w:r w:rsidR="00D451F0" w:rsidRPr="008C187F">
        <w:t>.</w:t>
      </w:r>
    </w:p>
    <w:p w14:paraId="530A028B" w14:textId="375259B4" w:rsidR="00844E71" w:rsidRPr="008C187F" w:rsidRDefault="00844E71" w:rsidP="008233F3">
      <w:pPr>
        <w:pStyle w:val="enumlev1"/>
      </w:pPr>
      <w:r w:rsidRPr="008C187F">
        <w:t>–</w:t>
      </w:r>
      <w:r w:rsidRPr="008C187F">
        <w:tab/>
      </w:r>
      <w:r w:rsidR="00D451F0" w:rsidRPr="008C187F">
        <w:t>D</w:t>
      </w:r>
      <w:r w:rsidRPr="008C187F">
        <w:t xml:space="preserve">ésignation de l'équipe de direction du Groupe </w:t>
      </w:r>
      <w:r w:rsidR="00274877" w:rsidRPr="008C187F">
        <w:rPr>
          <w:bCs/>
        </w:rPr>
        <w:t>FG-AI4NDM</w:t>
      </w:r>
      <w:r w:rsidRPr="008C187F">
        <w:t xml:space="preserve">, </w:t>
      </w:r>
      <w:r w:rsidR="00274877" w:rsidRPr="008C187F">
        <w:t xml:space="preserve">y compris </w:t>
      </w:r>
      <w:r w:rsidRPr="008C187F">
        <w:t>de vice-présidents</w:t>
      </w:r>
      <w:r w:rsidR="00D451F0" w:rsidRPr="008C187F">
        <w:t>.</w:t>
      </w:r>
    </w:p>
    <w:p w14:paraId="421071C7" w14:textId="0447B098" w:rsidR="00844E71" w:rsidRPr="008C187F" w:rsidRDefault="00844E71" w:rsidP="008233F3">
      <w:pPr>
        <w:pStyle w:val="enumlev1"/>
      </w:pPr>
      <w:r w:rsidRPr="008C187F">
        <w:t>–</w:t>
      </w:r>
      <w:r w:rsidRPr="008C187F">
        <w:tab/>
      </w:r>
      <w:r w:rsidR="00D451F0" w:rsidRPr="008C187F">
        <w:t>A</w:t>
      </w:r>
      <w:r w:rsidRPr="008C187F">
        <w:t xml:space="preserve">pprobation d'une feuille de route </w:t>
      </w:r>
      <w:r w:rsidR="00742018" w:rsidRPr="008C187F">
        <w:t xml:space="preserve">du </w:t>
      </w:r>
      <w:r w:rsidRPr="008C187F">
        <w:t xml:space="preserve">Groupe </w:t>
      </w:r>
      <w:r w:rsidR="00274877" w:rsidRPr="008C187F">
        <w:rPr>
          <w:bCs/>
        </w:rPr>
        <w:t>FG-AI4NDM</w:t>
      </w:r>
      <w:r w:rsidR="00094F84" w:rsidRPr="008C187F">
        <w:rPr>
          <w:bCs/>
        </w:rPr>
        <w:t>,</w:t>
      </w:r>
      <w:r w:rsidR="00274877" w:rsidRPr="008C187F">
        <w:rPr>
          <w:bCs/>
        </w:rPr>
        <w:t xml:space="preserve"> </w:t>
      </w:r>
      <w:r w:rsidR="006C4263" w:rsidRPr="008C187F">
        <w:t xml:space="preserve">avec </w:t>
      </w:r>
      <w:r w:rsidR="00094F84" w:rsidRPr="008C187F">
        <w:t xml:space="preserve">les </w:t>
      </w:r>
      <w:r w:rsidR="006C4263" w:rsidRPr="008C187F">
        <w:t xml:space="preserve">produits finals </w:t>
      </w:r>
      <w:r w:rsidR="00094F84" w:rsidRPr="008C187F">
        <w:t xml:space="preserve">attendus, </w:t>
      </w:r>
      <w:r w:rsidRPr="008C187F">
        <w:t xml:space="preserve">le calendrier, le domaine de compétence et les éditeurs, ainsi que l'attribution des responsabilités aux différents </w:t>
      </w:r>
      <w:r w:rsidR="007169E8" w:rsidRPr="008C187F">
        <w:t>sous-</w:t>
      </w:r>
      <w:r w:rsidRPr="008C187F">
        <w:t>groupes</w:t>
      </w:r>
      <w:r w:rsidR="00D451F0" w:rsidRPr="008C187F">
        <w:t>.</w:t>
      </w:r>
    </w:p>
    <w:p w14:paraId="0BE9AC9F" w14:textId="51DC1D4E" w:rsidR="00844E71" w:rsidRPr="008C187F" w:rsidRDefault="00844E71" w:rsidP="008233F3">
      <w:pPr>
        <w:pStyle w:val="enumlev1"/>
      </w:pPr>
      <w:r w:rsidRPr="008C187F">
        <w:t>–</w:t>
      </w:r>
      <w:r w:rsidRPr="008C187F">
        <w:tab/>
      </w:r>
      <w:r w:rsidR="00D451F0" w:rsidRPr="008C187F">
        <w:t>A</w:t>
      </w:r>
      <w:r w:rsidRPr="008C187F">
        <w:t xml:space="preserve">pprobation des méthodes de travail du Groupe </w:t>
      </w:r>
      <w:r w:rsidR="00274877" w:rsidRPr="008C187F">
        <w:rPr>
          <w:bCs/>
        </w:rPr>
        <w:t>FG-AI4NDM</w:t>
      </w:r>
      <w:r w:rsidRPr="008C187F">
        <w:t>, sur la base de la Recommandation UIT-T A.7</w:t>
      </w:r>
      <w:r w:rsidR="00D451F0" w:rsidRPr="008C187F">
        <w:t>.</w:t>
      </w:r>
    </w:p>
    <w:p w14:paraId="1E9014A0" w14:textId="020033A9" w:rsidR="00844E71" w:rsidRPr="008C187F" w:rsidRDefault="00844E71" w:rsidP="008233F3">
      <w:pPr>
        <w:pStyle w:val="enumlev1"/>
      </w:pPr>
      <w:r w:rsidRPr="008C187F">
        <w:t>–</w:t>
      </w:r>
      <w:r w:rsidRPr="008C187F">
        <w:tab/>
      </w:r>
      <w:r w:rsidR="00D451F0" w:rsidRPr="008C187F">
        <w:t>A</w:t>
      </w:r>
      <w:r w:rsidRPr="008C187F">
        <w:t xml:space="preserve">pprobation du programme des futures réunions du Groupe </w:t>
      </w:r>
      <w:r w:rsidR="00274877" w:rsidRPr="008C187F">
        <w:rPr>
          <w:bCs/>
        </w:rPr>
        <w:t>FG-AI4NDM</w:t>
      </w:r>
      <w:r w:rsidRPr="008C187F">
        <w:t>, y compris la fréquence des réunions</w:t>
      </w:r>
      <w:r w:rsidR="00D451F0" w:rsidRPr="008C187F">
        <w:t>.</w:t>
      </w:r>
    </w:p>
    <w:p w14:paraId="1873EED5" w14:textId="7553B311" w:rsidR="00844E71" w:rsidRPr="008C187F" w:rsidRDefault="00844E71" w:rsidP="008233F3">
      <w:pPr>
        <w:pStyle w:val="enumlev1"/>
      </w:pPr>
      <w:r w:rsidRPr="008C187F">
        <w:t>–</w:t>
      </w:r>
      <w:r w:rsidRPr="008C187F">
        <w:tab/>
      </w:r>
      <w:r w:rsidR="00D451F0" w:rsidRPr="008C187F">
        <w:t>E</w:t>
      </w:r>
      <w:r w:rsidR="007169E8" w:rsidRPr="008C187F">
        <w:t xml:space="preserve">xamen des contributions écrites et </w:t>
      </w:r>
      <w:r w:rsidR="006C4263" w:rsidRPr="008C187F">
        <w:t xml:space="preserve">élaboration d'une première version </w:t>
      </w:r>
      <w:r w:rsidR="007169E8" w:rsidRPr="008C187F">
        <w:t xml:space="preserve">du contenu des </w:t>
      </w:r>
      <w:r w:rsidR="006C4263" w:rsidRPr="008C187F">
        <w:t>produits finals</w:t>
      </w:r>
      <w:r w:rsidRPr="008C187F">
        <w:t>.</w:t>
      </w:r>
    </w:p>
    <w:p w14:paraId="329E1767" w14:textId="6F1AC267" w:rsidR="00844E71" w:rsidRPr="008C187F" w:rsidRDefault="00844E71" w:rsidP="008233F3">
      <w:pPr>
        <w:rPr>
          <w:bCs/>
        </w:rPr>
      </w:pPr>
      <w:r w:rsidRPr="008C187F">
        <w:rPr>
          <w:bCs/>
        </w:rPr>
        <w:t>6</w:t>
      </w:r>
      <w:r w:rsidRPr="008C187F">
        <w:rPr>
          <w:bCs/>
        </w:rPr>
        <w:tab/>
      </w:r>
      <w:r w:rsidR="002D6C1A" w:rsidRPr="008C187F">
        <w:rPr>
          <w:bCs/>
        </w:rPr>
        <w:t xml:space="preserve">Des contributions écrites sont essentielles </w:t>
      </w:r>
      <w:r w:rsidR="006C4263" w:rsidRPr="008C187F">
        <w:rPr>
          <w:bCs/>
        </w:rPr>
        <w:t xml:space="preserve">pour </w:t>
      </w:r>
      <w:r w:rsidR="002D6C1A" w:rsidRPr="008C187F">
        <w:rPr>
          <w:bCs/>
        </w:rPr>
        <w:t>permettre au Groupe spécialisé de mener à bien ses travaux – et sont vivement sollicitées conformément au mandat défini à l'</w:t>
      </w:r>
      <w:r w:rsidR="002D6C1A" w:rsidRPr="008C187F">
        <w:rPr>
          <w:b/>
        </w:rPr>
        <w:t>Annexe 1</w:t>
      </w:r>
      <w:r w:rsidR="002D6C1A" w:rsidRPr="008C187F">
        <w:rPr>
          <w:bCs/>
        </w:rPr>
        <w:t xml:space="preserve"> – ainsi que pour </w:t>
      </w:r>
      <w:r w:rsidR="006C4263" w:rsidRPr="008C187F">
        <w:rPr>
          <w:bCs/>
        </w:rPr>
        <w:t xml:space="preserve">remplir les </w:t>
      </w:r>
      <w:r w:rsidR="002D6C1A" w:rsidRPr="008C187F">
        <w:rPr>
          <w:bCs/>
        </w:rPr>
        <w:t xml:space="preserve">objectifs </w:t>
      </w:r>
      <w:r w:rsidR="006C4263" w:rsidRPr="008C187F">
        <w:rPr>
          <w:bCs/>
        </w:rPr>
        <w:t xml:space="preserve">présentés </w:t>
      </w:r>
      <w:r w:rsidR="002D6C1A" w:rsidRPr="008C187F">
        <w:rPr>
          <w:bCs/>
        </w:rPr>
        <w:t xml:space="preserve">ci-dessus </w:t>
      </w:r>
      <w:r w:rsidR="006C4263" w:rsidRPr="008C187F">
        <w:rPr>
          <w:bCs/>
        </w:rPr>
        <w:t xml:space="preserve">et permettre d'établir un premier calendrier d'élaboration </w:t>
      </w:r>
      <w:r w:rsidR="002D6C1A" w:rsidRPr="008C187F">
        <w:rPr>
          <w:bCs/>
        </w:rPr>
        <w:t xml:space="preserve">des </w:t>
      </w:r>
      <w:r w:rsidR="00756F0C" w:rsidRPr="008C187F">
        <w:rPr>
          <w:bCs/>
        </w:rPr>
        <w:t>produits finals</w:t>
      </w:r>
      <w:r w:rsidR="002D6C1A" w:rsidRPr="008C187F">
        <w:rPr>
          <w:bCs/>
        </w:rPr>
        <w:t xml:space="preserve">. Les contributions écrites doivent </w:t>
      </w:r>
      <w:r w:rsidR="00EC27C5">
        <w:rPr>
          <w:bCs/>
        </w:rPr>
        <w:t>être soumises au secrétariat du </w:t>
      </w:r>
      <w:r w:rsidR="002D6C1A" w:rsidRPr="008C187F">
        <w:rPr>
          <w:bCs/>
        </w:rPr>
        <w:t>TSB (</w:t>
      </w:r>
      <w:hyperlink r:id="rId13" w:history="1">
        <w:r w:rsidR="00742018" w:rsidRPr="008C187F">
          <w:rPr>
            <w:rStyle w:val="Hyperlink"/>
            <w:bCs/>
          </w:rPr>
          <w:t>tsbfgai4ndm@itu.int</w:t>
        </w:r>
      </w:hyperlink>
      <w:r w:rsidR="002D6C1A" w:rsidRPr="008C187F">
        <w:rPr>
          <w:bCs/>
        </w:rPr>
        <w:t xml:space="preserve">) sous forme électronique en utilisant les gabarits disponibles sur la </w:t>
      </w:r>
      <w:hyperlink r:id="rId14" w:history="1">
        <w:r w:rsidR="002D6C1A" w:rsidRPr="008C187F">
          <w:rPr>
            <w:rStyle w:val="Hyperlink"/>
            <w:bCs/>
          </w:rPr>
          <w:t>page d'accueil du Groupe FG-AI4NDM</w:t>
        </w:r>
      </w:hyperlink>
      <w:r w:rsidR="002D6C1A" w:rsidRPr="008C187F">
        <w:rPr>
          <w:bCs/>
        </w:rPr>
        <w:t xml:space="preserve">. </w:t>
      </w:r>
      <w:r w:rsidRPr="008C187F">
        <w:rPr>
          <w:b/>
        </w:rPr>
        <w:t xml:space="preserve">La date limite de soumission </w:t>
      </w:r>
      <w:r w:rsidR="002D6C1A" w:rsidRPr="008C187F">
        <w:rPr>
          <w:b/>
        </w:rPr>
        <w:t xml:space="preserve">des contributions à la première réunion </w:t>
      </w:r>
      <w:r w:rsidRPr="008C187F">
        <w:rPr>
          <w:b/>
        </w:rPr>
        <w:t xml:space="preserve">est </w:t>
      </w:r>
      <w:r w:rsidR="002D6C1A" w:rsidRPr="008C187F">
        <w:rPr>
          <w:b/>
        </w:rPr>
        <w:t xml:space="preserve">le </w:t>
      </w:r>
      <w:r w:rsidRPr="008C187F">
        <w:rPr>
          <w:b/>
        </w:rPr>
        <w:t>2 mars 2021</w:t>
      </w:r>
      <w:r w:rsidRPr="008C187F">
        <w:rPr>
          <w:bCs/>
        </w:rPr>
        <w:t>.</w:t>
      </w:r>
    </w:p>
    <w:p w14:paraId="75F4A2D5" w14:textId="40E9B780" w:rsidR="00844E71" w:rsidRPr="008C187F" w:rsidRDefault="00844E71" w:rsidP="008233F3">
      <w:r w:rsidRPr="008C187F">
        <w:t>7</w:t>
      </w:r>
      <w:r w:rsidRPr="008C187F">
        <w:tab/>
      </w:r>
      <w:r w:rsidR="004005DC" w:rsidRPr="008C187F">
        <w:t xml:space="preserve">L'ordre du jour de la réunion, les documents et d'autres informations pratiques seront disponibles sur la </w:t>
      </w:r>
      <w:hyperlink r:id="rId15" w:history="1">
        <w:r w:rsidR="004005DC" w:rsidRPr="008C187F">
          <w:rPr>
            <w:rStyle w:val="Hyperlink"/>
          </w:rPr>
          <w:t>page d'accueil du Groupe FG-AI4NDM</w:t>
        </w:r>
      </w:hyperlink>
      <w:r w:rsidR="004005DC" w:rsidRPr="008C187F">
        <w:t xml:space="preserve"> avant la réunion. Les débats se dérouleront en anglais seulement via la </w:t>
      </w:r>
      <w:hyperlink r:id="rId16" w:anchor="/MyMeetings" w:history="1">
        <w:r w:rsidR="004005DC" w:rsidRPr="008C187F">
          <w:rPr>
            <w:rStyle w:val="Hyperlink"/>
          </w:rPr>
          <w:t>plate-forme M</w:t>
        </w:r>
        <w:r w:rsidRPr="008C187F">
          <w:rPr>
            <w:rStyle w:val="Hyperlink"/>
          </w:rPr>
          <w:t>yMeetings</w:t>
        </w:r>
      </w:hyperlink>
      <w:r w:rsidRPr="008C187F">
        <w:t xml:space="preserve">. </w:t>
      </w:r>
    </w:p>
    <w:p w14:paraId="4517AC1B" w14:textId="5A00460D" w:rsidR="00844E71" w:rsidRPr="008C187F" w:rsidRDefault="00844E71" w:rsidP="004C5873">
      <w:pPr>
        <w:spacing w:after="240"/>
        <w:rPr>
          <w:bCs/>
        </w:rPr>
      </w:pPr>
      <w:r w:rsidRPr="008C187F">
        <w:rPr>
          <w:bCs/>
        </w:rPr>
        <w:t>8</w:t>
      </w:r>
      <w:r w:rsidRPr="008C187F">
        <w:rPr>
          <w:bCs/>
        </w:rPr>
        <w:tab/>
      </w:r>
      <w:r w:rsidR="004005DC" w:rsidRPr="008C187F">
        <w:rPr>
          <w:bCs/>
        </w:rPr>
        <w:t xml:space="preserve">Afin de </w:t>
      </w:r>
      <w:r w:rsidRPr="008C187F">
        <w:rPr>
          <w:bCs/>
        </w:rPr>
        <w:t>permettre à l'</w:t>
      </w:r>
      <w:r w:rsidR="004005DC" w:rsidRPr="008C187F">
        <w:rPr>
          <w:bCs/>
        </w:rPr>
        <w:t xml:space="preserve">UIT </w:t>
      </w:r>
      <w:r w:rsidRPr="008C187F">
        <w:rPr>
          <w:bCs/>
        </w:rPr>
        <w:t xml:space="preserve">de </w:t>
      </w:r>
      <w:r w:rsidR="004005DC" w:rsidRPr="008C187F">
        <w:rPr>
          <w:bCs/>
        </w:rPr>
        <w:t>prendre les dispositions nécessaires</w:t>
      </w:r>
      <w:r w:rsidRPr="008C187F">
        <w:rPr>
          <w:bCs/>
        </w:rPr>
        <w:t xml:space="preserve">, </w:t>
      </w:r>
      <w:r w:rsidR="004005DC" w:rsidRPr="008C187F">
        <w:rPr>
          <w:bCs/>
        </w:rPr>
        <w:t xml:space="preserve">les participants sont invités à s'inscrire en ligne sur </w:t>
      </w:r>
      <w:r w:rsidR="00756F0C" w:rsidRPr="008C187F">
        <w:rPr>
          <w:bCs/>
        </w:rPr>
        <w:t xml:space="preserve">la </w:t>
      </w:r>
      <w:hyperlink r:id="rId17" w:history="1">
        <w:r w:rsidR="004005DC" w:rsidRPr="008C187F">
          <w:rPr>
            <w:rStyle w:val="Hyperlink"/>
          </w:rPr>
          <w:t>page d'accueil du Groupe FG-AI4NDM</w:t>
        </w:r>
      </w:hyperlink>
      <w:r w:rsidR="004005DC" w:rsidRPr="008C187F">
        <w:t xml:space="preserve"> </w:t>
      </w:r>
      <w:r w:rsidRPr="008C187F">
        <w:rPr>
          <w:bCs/>
        </w:rPr>
        <w:t>dès que possible</w:t>
      </w:r>
      <w:r w:rsidR="004005DC" w:rsidRPr="008C187F">
        <w:rPr>
          <w:bCs/>
        </w:rPr>
        <w:t xml:space="preserve">. </w:t>
      </w:r>
      <w:r w:rsidR="004005DC" w:rsidRPr="008C187F">
        <w:rPr>
          <w:bCs/>
          <w:u w:val="single"/>
        </w:rPr>
        <w:t>Veuillez noter que l'inscription est obligatoire</w:t>
      </w:r>
      <w:r w:rsidRPr="008C187F">
        <w:rPr>
          <w:bCs/>
        </w:rPr>
        <w:t>.</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744"/>
      </w:tblGrid>
      <w:tr w:rsidR="00ED6216" w:rsidRPr="008C187F" w14:paraId="24BB6476" w14:textId="77777777" w:rsidTr="00853E8D">
        <w:tc>
          <w:tcPr>
            <w:tcW w:w="1980" w:type="dxa"/>
            <w:shd w:val="clear" w:color="auto" w:fill="auto"/>
          </w:tcPr>
          <w:p w14:paraId="383262D9" w14:textId="77777777" w:rsidR="00ED6216" w:rsidRPr="008C187F" w:rsidRDefault="00ED6216" w:rsidP="008233F3">
            <w:pPr>
              <w:pStyle w:val="TableText"/>
              <w:jc w:val="center"/>
              <w:rPr>
                <w:szCs w:val="22"/>
              </w:rPr>
            </w:pPr>
            <w:r w:rsidRPr="008C187F">
              <w:rPr>
                <w:szCs w:val="22"/>
              </w:rPr>
              <w:t>2 mars 2021</w:t>
            </w:r>
          </w:p>
        </w:tc>
        <w:tc>
          <w:tcPr>
            <w:tcW w:w="7744" w:type="dxa"/>
            <w:shd w:val="clear" w:color="auto" w:fill="auto"/>
          </w:tcPr>
          <w:p w14:paraId="0006ECE9" w14:textId="77777777" w:rsidR="00ED6216" w:rsidRPr="008C187F" w:rsidRDefault="00ED6216" w:rsidP="008233F3">
            <w:pPr>
              <w:pStyle w:val="TableText"/>
              <w:ind w:left="284" w:hanging="284"/>
              <w:rPr>
                <w:szCs w:val="22"/>
              </w:rPr>
            </w:pPr>
            <w:r w:rsidRPr="008C187F">
              <w:rPr>
                <w:szCs w:val="22"/>
              </w:rPr>
              <w:t>–</w:t>
            </w:r>
            <w:r w:rsidRPr="008C187F">
              <w:rPr>
                <w:szCs w:val="22"/>
              </w:rPr>
              <w:tab/>
              <w:t xml:space="preserve">Soumission des contributions écrites (par courrier électronique à l'adresse </w:t>
            </w:r>
            <w:hyperlink r:id="rId18" w:history="1">
              <w:r w:rsidRPr="008C187F">
                <w:rPr>
                  <w:rStyle w:val="Hyperlink"/>
                  <w:szCs w:val="22"/>
                </w:rPr>
                <w:t>tsbfgai4ndm@itu.int</w:t>
              </w:r>
            </w:hyperlink>
            <w:r w:rsidRPr="008C187F">
              <w:rPr>
                <w:szCs w:val="22"/>
              </w:rPr>
              <w:t>)</w:t>
            </w:r>
          </w:p>
        </w:tc>
      </w:tr>
      <w:tr w:rsidR="00ED6216" w:rsidRPr="008C187F" w14:paraId="70F99AA6" w14:textId="77777777" w:rsidTr="00853E8D">
        <w:tc>
          <w:tcPr>
            <w:tcW w:w="1980" w:type="dxa"/>
            <w:shd w:val="clear" w:color="auto" w:fill="auto"/>
          </w:tcPr>
          <w:p w14:paraId="4409D717" w14:textId="77777777" w:rsidR="00ED6216" w:rsidRPr="008C187F" w:rsidRDefault="00ED6216" w:rsidP="008233F3">
            <w:pPr>
              <w:pStyle w:val="TableText"/>
              <w:jc w:val="center"/>
              <w:rPr>
                <w:szCs w:val="22"/>
                <w:highlight w:val="yellow"/>
              </w:rPr>
            </w:pPr>
            <w:r w:rsidRPr="008C187F">
              <w:rPr>
                <w:szCs w:val="22"/>
              </w:rPr>
              <w:t>5 mars 2021</w:t>
            </w:r>
          </w:p>
        </w:tc>
        <w:tc>
          <w:tcPr>
            <w:tcW w:w="7744" w:type="dxa"/>
            <w:shd w:val="clear" w:color="auto" w:fill="auto"/>
          </w:tcPr>
          <w:p w14:paraId="488D54C3" w14:textId="73A88BB6" w:rsidR="00ED6216" w:rsidRPr="008C187F" w:rsidRDefault="00ED6216" w:rsidP="00827E59">
            <w:pPr>
              <w:pStyle w:val="TableText"/>
              <w:ind w:left="284" w:hanging="284"/>
              <w:rPr>
                <w:szCs w:val="22"/>
              </w:rPr>
            </w:pPr>
            <w:r w:rsidRPr="008C187F">
              <w:rPr>
                <w:szCs w:val="22"/>
              </w:rPr>
              <w:t>–</w:t>
            </w:r>
            <w:r w:rsidRPr="008C187F">
              <w:rPr>
                <w:szCs w:val="22"/>
              </w:rPr>
              <w:tab/>
              <w:t xml:space="preserve">Inscription préalable en ligne à </w:t>
            </w:r>
            <w:proofErr w:type="gramStart"/>
            <w:r w:rsidRPr="008C187F">
              <w:rPr>
                <w:szCs w:val="22"/>
              </w:rPr>
              <w:t>l'adresse:</w:t>
            </w:r>
            <w:proofErr w:type="gramEnd"/>
            <w:r w:rsidR="004C5873" w:rsidRPr="008C187F">
              <w:rPr>
                <w:szCs w:val="22"/>
              </w:rPr>
              <w:t xml:space="preserve"> </w:t>
            </w:r>
            <w:hyperlink r:id="rId19" w:history="1">
              <w:r w:rsidR="004C5873" w:rsidRPr="008C187F">
                <w:rPr>
                  <w:rStyle w:val="Hyperlink"/>
                  <w:szCs w:val="22"/>
                </w:rPr>
                <w:t>https://www.itu.int/net4/CRM/xreg/web/Login.aspx?src=Registration&amp;Event=C-00009268</w:t>
              </w:r>
            </w:hyperlink>
            <w:r w:rsidRPr="008C187F">
              <w:rPr>
                <w:szCs w:val="22"/>
              </w:rPr>
              <w:t>)</w:t>
            </w:r>
          </w:p>
        </w:tc>
      </w:tr>
    </w:tbl>
    <w:p w14:paraId="745B0731" w14:textId="77777777" w:rsidR="004C5873" w:rsidRPr="008C187F" w:rsidRDefault="004C5873" w:rsidP="008233F3">
      <w:pPr>
        <w:spacing w:before="240"/>
      </w:pPr>
      <w:r w:rsidRPr="008C187F">
        <w:br w:type="page"/>
      </w:r>
    </w:p>
    <w:p w14:paraId="32AEBC08" w14:textId="5A2FBC63" w:rsidR="00ED6216" w:rsidRPr="008C187F" w:rsidRDefault="00ED6216" w:rsidP="008233F3">
      <w:pPr>
        <w:spacing w:before="240"/>
      </w:pPr>
      <w:r w:rsidRPr="008C187F">
        <w:lastRenderedPageBreak/>
        <w:t>Je vous souhaite une réunion constructive et agréable.</w:t>
      </w:r>
    </w:p>
    <w:p w14:paraId="74703DC5" w14:textId="29E109C4" w:rsidR="00ED6216" w:rsidRPr="008C187F" w:rsidRDefault="00ED6216" w:rsidP="008233F3">
      <w:pPr>
        <w:spacing w:after="120"/>
      </w:pPr>
      <w:r w:rsidRPr="008C187F">
        <w:t>Veuillez agréer, Madame, Monsieur, l'assurance de ma considération distinguée.</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8"/>
        <w:gridCol w:w="3305"/>
      </w:tblGrid>
      <w:tr w:rsidR="00ED6216" w:rsidRPr="008C187F" w14:paraId="3226EBEB" w14:textId="77777777" w:rsidTr="00FD4512">
        <w:trPr>
          <w:trHeight w:val="1955"/>
        </w:trPr>
        <w:tc>
          <w:tcPr>
            <w:tcW w:w="6618" w:type="dxa"/>
            <w:tcBorders>
              <w:right w:val="single" w:sz="4" w:space="0" w:color="auto"/>
            </w:tcBorders>
            <w:tcMar>
              <w:left w:w="0" w:type="dxa"/>
              <w:right w:w="0" w:type="dxa"/>
            </w:tcMar>
          </w:tcPr>
          <w:p w14:paraId="120B555A" w14:textId="394066D1" w:rsidR="00ED6216" w:rsidRPr="008C187F" w:rsidRDefault="000B4B22" w:rsidP="00C15698">
            <w:pPr>
              <w:spacing w:before="960"/>
            </w:pPr>
            <w:r>
              <w:rPr>
                <w:noProof/>
              </w:rPr>
              <w:drawing>
                <wp:anchor distT="0" distB="0" distL="114300" distR="114300" simplePos="0" relativeHeight="251658240" behindDoc="1" locked="0" layoutInCell="1" allowOverlap="1" wp14:anchorId="41B9D79F" wp14:editId="41BE9300">
                  <wp:simplePos x="0" y="0"/>
                  <wp:positionH relativeFrom="column">
                    <wp:posOffset>635</wp:posOffset>
                  </wp:positionH>
                  <wp:positionV relativeFrom="paragraph">
                    <wp:posOffset>57150</wp:posOffset>
                  </wp:positionV>
                  <wp:extent cx="596899" cy="447675"/>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96899" cy="447675"/>
                          </a:xfrm>
                          <a:prstGeom prst="rect">
                            <a:avLst/>
                          </a:prstGeom>
                        </pic:spPr>
                      </pic:pic>
                    </a:graphicData>
                  </a:graphic>
                  <wp14:sizeRelH relativeFrom="margin">
                    <wp14:pctWidth>0</wp14:pctWidth>
                  </wp14:sizeRelH>
                  <wp14:sizeRelV relativeFrom="margin">
                    <wp14:pctHeight>0</wp14:pctHeight>
                  </wp14:sizeRelV>
                </wp:anchor>
              </w:drawing>
            </w:r>
            <w:r w:rsidR="00ED6216" w:rsidRPr="008C187F">
              <w:rPr>
                <w:szCs w:val="24"/>
              </w:rPr>
              <w:t>Chaesub Lee</w:t>
            </w:r>
            <w:r w:rsidR="00ED6216" w:rsidRPr="008C187F">
              <w:br/>
              <w:t xml:space="preserve">Directeur du Bureau de la normalisation </w:t>
            </w:r>
            <w:r w:rsidR="00ED6216" w:rsidRPr="008C187F">
              <w:br/>
              <w:t xml:space="preserve">des télécommunications </w:t>
            </w:r>
          </w:p>
        </w:tc>
        <w:tc>
          <w:tcPr>
            <w:tcW w:w="3305" w:type="dxa"/>
            <w:tcBorders>
              <w:top w:val="single" w:sz="4" w:space="0" w:color="auto"/>
              <w:left w:val="single" w:sz="4" w:space="0" w:color="auto"/>
              <w:bottom w:val="single" w:sz="4" w:space="0" w:color="auto"/>
              <w:right w:val="single" w:sz="4" w:space="0" w:color="auto"/>
            </w:tcBorders>
            <w:vAlign w:val="center"/>
          </w:tcPr>
          <w:p w14:paraId="57D62613" w14:textId="77777777" w:rsidR="00ED6216" w:rsidRPr="008C187F" w:rsidRDefault="00ED6216" w:rsidP="008233F3">
            <w:pPr>
              <w:spacing w:before="0"/>
              <w:jc w:val="center"/>
              <w:rPr>
                <w:highlight w:val="yellow"/>
              </w:rPr>
            </w:pPr>
            <w:r w:rsidRPr="008C187F">
              <w:rPr>
                <w:noProof/>
                <w:lang w:val="en-US"/>
              </w:rPr>
              <w:drawing>
                <wp:inline distT="0" distB="0" distL="0" distR="0" wp14:anchorId="318FF2BB" wp14:editId="7A5FC353">
                  <wp:extent cx="1263650" cy="1263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itag_QRCode_156526089161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83688" cy="1283688"/>
                          </a:xfrm>
                          <a:prstGeom prst="rect">
                            <a:avLst/>
                          </a:prstGeom>
                        </pic:spPr>
                      </pic:pic>
                    </a:graphicData>
                  </a:graphic>
                </wp:inline>
              </w:drawing>
            </w:r>
          </w:p>
          <w:p w14:paraId="4D7F9293" w14:textId="77777777" w:rsidR="00ED6216" w:rsidRPr="008C187F" w:rsidRDefault="00ED6216" w:rsidP="008233F3">
            <w:pPr>
              <w:spacing w:before="0"/>
              <w:jc w:val="center"/>
              <w:rPr>
                <w:sz w:val="20"/>
              </w:rPr>
            </w:pPr>
            <w:r w:rsidRPr="008C187F">
              <w:rPr>
                <w:sz w:val="20"/>
              </w:rPr>
              <w:t>Informations les plus récentes concernant la réunion</w:t>
            </w:r>
          </w:p>
        </w:tc>
      </w:tr>
    </w:tbl>
    <w:p w14:paraId="1A355A09" w14:textId="77777777" w:rsidR="00ED6216" w:rsidRPr="008C187F" w:rsidRDefault="00ED6216" w:rsidP="00853E8D">
      <w:pPr>
        <w:spacing w:before="2880"/>
      </w:pPr>
      <w:proofErr w:type="gramStart"/>
      <w:r w:rsidRPr="008C187F">
        <w:rPr>
          <w:b/>
          <w:bCs/>
        </w:rPr>
        <w:t>Annexe</w:t>
      </w:r>
      <w:r w:rsidRPr="008C187F">
        <w:t>:</w:t>
      </w:r>
      <w:proofErr w:type="gramEnd"/>
      <w:r w:rsidRPr="008C187F">
        <w:t xml:space="preserve"> 1</w:t>
      </w:r>
      <w:r w:rsidRPr="008C187F">
        <w:rPr>
          <w:b/>
          <w:bCs/>
        </w:rPr>
        <w:br w:type="page"/>
      </w:r>
    </w:p>
    <w:p w14:paraId="0BCBBF93" w14:textId="518674A8" w:rsidR="00ED6216" w:rsidRPr="008C187F" w:rsidRDefault="00ED6216" w:rsidP="008233F3">
      <w:pPr>
        <w:pStyle w:val="AnnexTitle"/>
        <w:spacing w:after="120"/>
        <w:rPr>
          <w:sz w:val="28"/>
          <w:szCs w:val="28"/>
        </w:rPr>
      </w:pPr>
      <w:r w:rsidRPr="008C187F">
        <w:rPr>
          <w:sz w:val="28"/>
          <w:szCs w:val="28"/>
        </w:rPr>
        <w:lastRenderedPageBreak/>
        <w:t>ANNEXE 1</w:t>
      </w:r>
      <w:r w:rsidRPr="008C187F">
        <w:rPr>
          <w:sz w:val="28"/>
          <w:szCs w:val="28"/>
        </w:rPr>
        <w:br/>
      </w:r>
      <w:r w:rsidRPr="008C187F">
        <w:rPr>
          <w:sz w:val="28"/>
          <w:szCs w:val="28"/>
        </w:rPr>
        <w:br/>
        <w:t xml:space="preserve">Mandat du Groupe spécialisé de l'UIT-T </w:t>
      </w:r>
      <w:r w:rsidR="004005DC" w:rsidRPr="008C187F">
        <w:rPr>
          <w:sz w:val="28"/>
          <w:szCs w:val="28"/>
        </w:rPr>
        <w:t xml:space="preserve">sur l'intelligence artificielle au service </w:t>
      </w:r>
      <w:r w:rsidR="00853E8D">
        <w:rPr>
          <w:sz w:val="28"/>
          <w:szCs w:val="28"/>
        </w:rPr>
        <w:br/>
      </w:r>
      <w:r w:rsidR="004005DC" w:rsidRPr="008C187F">
        <w:rPr>
          <w:sz w:val="28"/>
          <w:szCs w:val="28"/>
        </w:rPr>
        <w:t>de la gestion des catastrophes naturelles (FG</w:t>
      </w:r>
      <w:r w:rsidR="004C5873" w:rsidRPr="008C187F">
        <w:rPr>
          <w:sz w:val="28"/>
          <w:szCs w:val="28"/>
        </w:rPr>
        <w:t>-</w:t>
      </w:r>
      <w:r w:rsidR="004005DC" w:rsidRPr="008C187F">
        <w:rPr>
          <w:sz w:val="28"/>
          <w:szCs w:val="28"/>
        </w:rPr>
        <w:t>AI4NDM)</w:t>
      </w:r>
    </w:p>
    <w:p w14:paraId="228115A3" w14:textId="331BC776" w:rsidR="00ED6216" w:rsidRPr="008C187F" w:rsidRDefault="00ED6216" w:rsidP="008233F3">
      <w:pPr>
        <w:pStyle w:val="Heading1"/>
        <w:keepNext w:val="0"/>
        <w:keepLines w:val="0"/>
        <w:rPr>
          <w:rFonts w:eastAsia="SimSun"/>
          <w:lang w:eastAsia="ja-JP"/>
        </w:rPr>
      </w:pPr>
      <w:r w:rsidRPr="008C187F">
        <w:rPr>
          <w:rFonts w:eastAsia="SimSun"/>
          <w:lang w:eastAsia="ja-JP"/>
        </w:rPr>
        <w:t>1</w:t>
      </w:r>
      <w:r w:rsidRPr="008C187F">
        <w:rPr>
          <w:rFonts w:eastAsia="SimSun"/>
          <w:lang w:eastAsia="ja-JP"/>
        </w:rPr>
        <w:tab/>
      </w:r>
      <w:r w:rsidR="004005DC" w:rsidRPr="008C187F">
        <w:rPr>
          <w:rFonts w:eastAsia="SimSun"/>
          <w:lang w:eastAsia="ja-JP"/>
        </w:rPr>
        <w:t xml:space="preserve">Contexte </w:t>
      </w:r>
      <w:r w:rsidRPr="008C187F">
        <w:rPr>
          <w:rFonts w:eastAsia="SimSun"/>
          <w:lang w:eastAsia="ja-JP"/>
        </w:rPr>
        <w:t>et domaine de compétence</w:t>
      </w:r>
    </w:p>
    <w:p w14:paraId="1072C7B6" w14:textId="0CDF5665" w:rsidR="004005DC" w:rsidRPr="008C187F" w:rsidRDefault="004005DC" w:rsidP="004005DC">
      <w:pPr>
        <w:rPr>
          <w:rFonts w:eastAsia="SimSun"/>
          <w:lang w:eastAsia="ja-JP"/>
        </w:rPr>
      </w:pPr>
      <w:r w:rsidRPr="008C187F">
        <w:rPr>
          <w:rFonts w:eastAsia="SimSun"/>
          <w:lang w:eastAsia="ja-JP"/>
        </w:rPr>
        <w:t xml:space="preserve">Les catastrophes naturelles sont généralement définies comme </w:t>
      </w:r>
      <w:r w:rsidR="00377E08" w:rsidRPr="008C187F">
        <w:rPr>
          <w:rFonts w:eastAsia="SimSun"/>
          <w:lang w:eastAsia="ja-JP"/>
        </w:rPr>
        <w:t xml:space="preserve">des </w:t>
      </w:r>
      <w:r w:rsidRPr="008C187F">
        <w:rPr>
          <w:rFonts w:eastAsia="SimSun"/>
          <w:lang w:eastAsia="ja-JP"/>
        </w:rPr>
        <w:t>"événement</w:t>
      </w:r>
      <w:r w:rsidR="00377E08" w:rsidRPr="008C187F">
        <w:rPr>
          <w:rFonts w:eastAsia="SimSun"/>
          <w:lang w:eastAsia="ja-JP"/>
        </w:rPr>
        <w:t>s</w:t>
      </w:r>
      <w:r w:rsidRPr="008C187F">
        <w:rPr>
          <w:rFonts w:eastAsia="SimSun"/>
          <w:lang w:eastAsia="ja-JP"/>
        </w:rPr>
        <w:t xml:space="preserve"> physique</w:t>
      </w:r>
      <w:r w:rsidR="00377E08" w:rsidRPr="008C187F">
        <w:rPr>
          <w:rFonts w:eastAsia="SimSun"/>
          <w:lang w:eastAsia="ja-JP"/>
        </w:rPr>
        <w:t>s</w:t>
      </w:r>
      <w:r w:rsidRPr="008C187F">
        <w:rPr>
          <w:rFonts w:eastAsia="SimSun"/>
          <w:lang w:eastAsia="ja-JP"/>
        </w:rPr>
        <w:t xml:space="preserve"> potentiellement dommageable</w:t>
      </w:r>
      <w:r w:rsidR="00377E08" w:rsidRPr="008C187F">
        <w:rPr>
          <w:rFonts w:eastAsia="SimSun"/>
          <w:lang w:eastAsia="ja-JP"/>
        </w:rPr>
        <w:t>s</w:t>
      </w:r>
      <w:r w:rsidRPr="008C187F">
        <w:rPr>
          <w:rFonts w:eastAsia="SimSun"/>
          <w:lang w:eastAsia="ja-JP"/>
        </w:rPr>
        <w:t>"</w:t>
      </w:r>
      <w:r w:rsidR="006E72F2" w:rsidRPr="00853E8D">
        <w:rPr>
          <w:rStyle w:val="FootnoteReference"/>
          <w:sz w:val="18"/>
          <w:szCs w:val="18"/>
        </w:rPr>
        <w:footnoteReference w:id="1"/>
      </w:r>
      <w:r w:rsidRPr="008C187F">
        <w:rPr>
          <w:rFonts w:eastAsia="SimSun"/>
          <w:lang w:eastAsia="ja-JP"/>
        </w:rPr>
        <w:t xml:space="preserve"> d'origine essentiellement naturelle (par exemple atmosphérique, hydrologique, géophysique, océanographique ou biologique)</w:t>
      </w:r>
      <w:r w:rsidR="00C50535" w:rsidRPr="00853E8D">
        <w:rPr>
          <w:rStyle w:val="FootnoteReference"/>
          <w:rFonts w:eastAsia="SimSun"/>
          <w:sz w:val="18"/>
          <w:szCs w:val="18"/>
        </w:rPr>
        <w:footnoteReference w:id="2"/>
      </w:r>
      <w:r w:rsidR="004C5873" w:rsidRPr="008C187F">
        <w:rPr>
          <w:rFonts w:eastAsia="SimSun"/>
          <w:lang w:eastAsia="ja-JP"/>
        </w:rPr>
        <w:t>.</w:t>
      </w:r>
      <w:r w:rsidRPr="008C187F">
        <w:rPr>
          <w:rFonts w:eastAsia="SimSun"/>
          <w:lang w:eastAsia="ja-JP"/>
        </w:rPr>
        <w:t xml:space="preserve"> Les effets néfastes de ces événements </w:t>
      </w:r>
      <w:r w:rsidR="00A069A5" w:rsidRPr="008C187F">
        <w:rPr>
          <w:rFonts w:eastAsia="SimSun"/>
          <w:lang w:eastAsia="ja-JP"/>
        </w:rPr>
        <w:t xml:space="preserve">sont </w:t>
      </w:r>
      <w:r w:rsidR="00377E08" w:rsidRPr="008C187F">
        <w:rPr>
          <w:rFonts w:eastAsia="SimSun"/>
          <w:lang w:eastAsia="ja-JP"/>
        </w:rPr>
        <w:t>d</w:t>
      </w:r>
      <w:r w:rsidRPr="008C187F">
        <w:rPr>
          <w:rFonts w:eastAsia="SimSun"/>
          <w:lang w:eastAsia="ja-JP"/>
        </w:rPr>
        <w:t xml:space="preserve">es </w:t>
      </w:r>
      <w:r w:rsidR="00A069A5" w:rsidRPr="008C187F">
        <w:rPr>
          <w:rFonts w:eastAsia="SimSun"/>
          <w:lang w:eastAsia="ja-JP"/>
        </w:rPr>
        <w:t>préjudices corporels</w:t>
      </w:r>
      <w:r w:rsidRPr="008C187F">
        <w:rPr>
          <w:rFonts w:eastAsia="SimSun"/>
          <w:lang w:eastAsia="ja-JP"/>
        </w:rPr>
        <w:t xml:space="preserve">, </w:t>
      </w:r>
      <w:r w:rsidR="00377E08" w:rsidRPr="008C187F">
        <w:rPr>
          <w:rFonts w:eastAsia="SimSun"/>
          <w:lang w:eastAsia="ja-JP"/>
        </w:rPr>
        <w:t>d</w:t>
      </w:r>
      <w:r w:rsidR="00A069A5" w:rsidRPr="008C187F">
        <w:rPr>
          <w:rFonts w:eastAsia="SimSun"/>
          <w:lang w:eastAsia="ja-JP"/>
        </w:rPr>
        <w:t>es pertes en vies humaines</w:t>
      </w:r>
      <w:r w:rsidRPr="008C187F">
        <w:rPr>
          <w:rFonts w:eastAsia="SimSun"/>
          <w:lang w:eastAsia="ja-JP"/>
        </w:rPr>
        <w:t xml:space="preserve">, </w:t>
      </w:r>
      <w:r w:rsidR="00377E08" w:rsidRPr="008C187F">
        <w:rPr>
          <w:rFonts w:eastAsia="SimSun"/>
          <w:lang w:eastAsia="ja-JP"/>
        </w:rPr>
        <w:t>d</w:t>
      </w:r>
      <w:r w:rsidRPr="008C187F">
        <w:rPr>
          <w:rFonts w:eastAsia="SimSun"/>
          <w:lang w:eastAsia="ja-JP"/>
        </w:rPr>
        <w:t xml:space="preserve">es déplacements, </w:t>
      </w:r>
      <w:r w:rsidR="00377E08" w:rsidRPr="008C187F">
        <w:rPr>
          <w:rFonts w:eastAsia="SimSun"/>
          <w:lang w:eastAsia="ja-JP"/>
        </w:rPr>
        <w:t>d</w:t>
      </w:r>
      <w:r w:rsidRPr="008C187F">
        <w:rPr>
          <w:rFonts w:eastAsia="SimSun"/>
          <w:lang w:eastAsia="ja-JP"/>
        </w:rPr>
        <w:t xml:space="preserve">es dommages aux biens (y compris le patrimoine culturel) et aux infrastructures, et </w:t>
      </w:r>
      <w:r w:rsidR="00377E08" w:rsidRPr="008C187F">
        <w:rPr>
          <w:rFonts w:eastAsia="SimSun"/>
          <w:lang w:eastAsia="ja-JP"/>
        </w:rPr>
        <w:t>d</w:t>
      </w:r>
      <w:r w:rsidRPr="008C187F">
        <w:rPr>
          <w:rFonts w:eastAsia="SimSun"/>
          <w:lang w:eastAsia="ja-JP"/>
        </w:rPr>
        <w:t xml:space="preserve">es perturbations de la nature et des ressources naturelles. </w:t>
      </w:r>
    </w:p>
    <w:p w14:paraId="1933146C" w14:textId="29F29262" w:rsidR="004005DC" w:rsidRPr="008C187F" w:rsidRDefault="004005DC" w:rsidP="004005DC">
      <w:pPr>
        <w:rPr>
          <w:rFonts w:eastAsia="SimSun"/>
          <w:lang w:eastAsia="ja-JP"/>
        </w:rPr>
      </w:pPr>
      <w:r w:rsidRPr="008C187F">
        <w:rPr>
          <w:rFonts w:eastAsia="SimSun"/>
          <w:lang w:eastAsia="ja-JP"/>
        </w:rPr>
        <w:t>Entre 2005 et 2015, les catastrophes naturelles ont touché 1,5 milliard de personnes de diverses manières (700 000 morts, 1,4 million de blessés et 23 millions de sans-abri)</w:t>
      </w:r>
      <w:r w:rsidR="00C50535" w:rsidRPr="00853E8D">
        <w:rPr>
          <w:rStyle w:val="FootnoteReference"/>
          <w:rFonts w:eastAsia="SimSun"/>
          <w:sz w:val="18"/>
          <w:szCs w:val="18"/>
        </w:rPr>
        <w:footnoteReference w:id="3"/>
      </w:r>
      <w:r w:rsidR="004C5873" w:rsidRPr="008C187F">
        <w:rPr>
          <w:rFonts w:eastAsia="SimSun"/>
          <w:lang w:eastAsia="ja-JP"/>
        </w:rPr>
        <w:t>,</w:t>
      </w:r>
      <w:r w:rsidRPr="008C187F">
        <w:rPr>
          <w:rFonts w:eastAsia="SimSun"/>
          <w:lang w:eastAsia="ja-JP"/>
        </w:rPr>
        <w:t xml:space="preserve"> et il a été démontré que ces catastrophes naturelles étaient principalement d'origine hydrométéorologique. La situation est particulièrement grave dans les petits États insulaires en développement (PEID) et les pays les moins avancés (PMA)</w:t>
      </w:r>
      <w:r w:rsidR="00C50535" w:rsidRPr="00786BF8">
        <w:rPr>
          <w:rStyle w:val="FootnoteReference"/>
          <w:rFonts w:eastAsia="SimSun"/>
          <w:sz w:val="18"/>
          <w:szCs w:val="18"/>
        </w:rPr>
        <w:footnoteReference w:id="4"/>
      </w:r>
      <w:r w:rsidR="004C5873" w:rsidRPr="008C187F">
        <w:rPr>
          <w:rFonts w:eastAsia="SimSun"/>
          <w:lang w:eastAsia="ja-JP"/>
        </w:rPr>
        <w:t>.</w:t>
      </w:r>
      <w:r w:rsidR="00A069A5" w:rsidRPr="008C187F">
        <w:rPr>
          <w:rFonts w:eastAsia="SimSun"/>
        </w:rPr>
        <w:t xml:space="preserve"> </w:t>
      </w:r>
      <w:r w:rsidRPr="008C187F">
        <w:rPr>
          <w:rFonts w:eastAsia="SimSun"/>
          <w:lang w:eastAsia="ja-JP"/>
        </w:rPr>
        <w:t>En outre, les femmes, les enfants et les personnes en situation de vulnérabilité, en particulier, sont touchés de manière disproportionnée</w:t>
      </w:r>
      <w:r w:rsidR="00C50535" w:rsidRPr="00786BF8">
        <w:rPr>
          <w:rStyle w:val="FootnoteReference"/>
          <w:rFonts w:eastAsia="SimSun"/>
          <w:sz w:val="18"/>
          <w:szCs w:val="18"/>
        </w:rPr>
        <w:footnoteReference w:id="5"/>
      </w:r>
      <w:r w:rsidR="004C5873" w:rsidRPr="008C187F">
        <w:rPr>
          <w:rFonts w:eastAsia="SimSun"/>
          <w:lang w:eastAsia="ja-JP"/>
        </w:rPr>
        <w:t>.</w:t>
      </w:r>
    </w:p>
    <w:p w14:paraId="5D5F6BA9" w14:textId="7D8529CA" w:rsidR="004005DC" w:rsidRPr="008C187F" w:rsidRDefault="004005DC" w:rsidP="004005DC">
      <w:pPr>
        <w:rPr>
          <w:rFonts w:eastAsia="SimSun"/>
          <w:lang w:eastAsia="ja-JP"/>
        </w:rPr>
      </w:pPr>
      <w:r w:rsidRPr="008C187F">
        <w:rPr>
          <w:rFonts w:eastAsia="SimSun"/>
          <w:lang w:eastAsia="ja-JP"/>
        </w:rPr>
        <w:t>Malheureusement, on s'attend à ce que les effets des catastrophes naturelles s'a</w:t>
      </w:r>
      <w:r w:rsidR="007B490A" w:rsidRPr="008C187F">
        <w:rPr>
          <w:rFonts w:eastAsia="SimSun"/>
          <w:lang w:eastAsia="ja-JP"/>
        </w:rPr>
        <w:t xml:space="preserve">mplifient </w:t>
      </w:r>
      <w:r w:rsidR="00377E08" w:rsidRPr="008C187F">
        <w:rPr>
          <w:rFonts w:eastAsia="SimSun"/>
          <w:lang w:eastAsia="ja-JP"/>
        </w:rPr>
        <w:t xml:space="preserve">sous l'effet conjugué </w:t>
      </w:r>
      <w:r w:rsidRPr="008C187F">
        <w:rPr>
          <w:rFonts w:eastAsia="SimSun"/>
          <w:lang w:eastAsia="ja-JP"/>
        </w:rPr>
        <w:t xml:space="preserve">de la croissance démographique, du développement urbain rapide (souvent dans des régions </w:t>
      </w:r>
      <w:r w:rsidR="007B490A" w:rsidRPr="008C187F">
        <w:rPr>
          <w:rFonts w:eastAsia="SimSun"/>
          <w:lang w:eastAsia="ja-JP"/>
        </w:rPr>
        <w:t xml:space="preserve">par ailleurs </w:t>
      </w:r>
      <w:r w:rsidRPr="008C187F">
        <w:rPr>
          <w:rFonts w:eastAsia="SimSun"/>
          <w:lang w:eastAsia="ja-JP"/>
        </w:rPr>
        <w:t xml:space="preserve">vulnérables) et de la fréquence et de l'intensité croissantes de certains types de catastrophes naturelles, en particulier celles liées aux </w:t>
      </w:r>
      <w:r w:rsidR="007B490A" w:rsidRPr="008C187F">
        <w:rPr>
          <w:rFonts w:eastAsia="SimSun"/>
          <w:lang w:eastAsia="ja-JP"/>
        </w:rPr>
        <w:t xml:space="preserve">phénomènes </w:t>
      </w:r>
      <w:r w:rsidRPr="008C187F">
        <w:rPr>
          <w:rFonts w:eastAsia="SimSun"/>
          <w:lang w:eastAsia="ja-JP"/>
        </w:rPr>
        <w:t>atmosphériques, hydrologiques et océanographiques</w:t>
      </w:r>
      <w:r w:rsidR="00C50535" w:rsidRPr="00786BF8">
        <w:rPr>
          <w:rStyle w:val="FootnoteReference"/>
          <w:rFonts w:eastAsia="SimSun"/>
          <w:sz w:val="18"/>
          <w:szCs w:val="18"/>
        </w:rPr>
        <w:footnoteReference w:id="6"/>
      </w:r>
      <w:r w:rsidR="004C5873" w:rsidRPr="008C187F">
        <w:rPr>
          <w:rFonts w:eastAsia="SimSun"/>
          <w:lang w:eastAsia="ja-JP"/>
        </w:rPr>
        <w:t>.</w:t>
      </w:r>
    </w:p>
    <w:p w14:paraId="3D1BDDB1" w14:textId="2E10525B" w:rsidR="004005DC" w:rsidRPr="008C187F" w:rsidRDefault="004005DC" w:rsidP="004005DC">
      <w:pPr>
        <w:rPr>
          <w:rFonts w:eastAsia="SimSun"/>
          <w:lang w:eastAsia="ja-JP"/>
        </w:rPr>
      </w:pPr>
      <w:r w:rsidRPr="008C187F">
        <w:rPr>
          <w:rFonts w:eastAsia="SimSun"/>
          <w:lang w:eastAsia="ja-JP"/>
        </w:rPr>
        <w:t xml:space="preserve">En raison de ces </w:t>
      </w:r>
      <w:r w:rsidR="007B490A" w:rsidRPr="008C187F">
        <w:rPr>
          <w:rFonts w:eastAsia="SimSun"/>
          <w:lang w:eastAsia="ja-JP"/>
        </w:rPr>
        <w:t xml:space="preserve">effets </w:t>
      </w:r>
      <w:r w:rsidRPr="008C187F">
        <w:rPr>
          <w:rFonts w:eastAsia="SimSun"/>
          <w:lang w:eastAsia="ja-JP"/>
        </w:rPr>
        <w:t xml:space="preserve">étendus et </w:t>
      </w:r>
      <w:r w:rsidR="007B490A" w:rsidRPr="008C187F">
        <w:rPr>
          <w:rFonts w:eastAsia="SimSun"/>
          <w:lang w:eastAsia="ja-JP"/>
        </w:rPr>
        <w:t>multiples</w:t>
      </w:r>
      <w:r w:rsidRPr="008C187F">
        <w:rPr>
          <w:rFonts w:eastAsia="SimSun"/>
          <w:lang w:eastAsia="ja-JP"/>
        </w:rPr>
        <w:t xml:space="preserve">, plusieurs bureaux des Nations Unies (par exemple, le Bureau des Nations Unies pour la réduction des risques de catastrophe), programmes (par exemple, le Programme des Nations Unies pour l'environnement) et organisations (par exemple, l'Organisation météorologique </w:t>
      </w:r>
      <w:proofErr w:type="gramStart"/>
      <w:r w:rsidRPr="008C187F">
        <w:rPr>
          <w:rFonts w:eastAsia="SimSun"/>
          <w:lang w:eastAsia="ja-JP"/>
        </w:rPr>
        <w:t>mondiale;</w:t>
      </w:r>
      <w:proofErr w:type="gramEnd"/>
      <w:r w:rsidRPr="008C187F">
        <w:rPr>
          <w:rFonts w:eastAsia="SimSun"/>
          <w:lang w:eastAsia="ja-JP"/>
        </w:rPr>
        <w:t xml:space="preserve"> l'Organisation des Nations Unies pour l'éducation, la science et la culture)</w:t>
      </w:r>
      <w:r w:rsidR="006E72F2" w:rsidRPr="008C187F">
        <w:rPr>
          <w:rFonts w:eastAsia="SimSun"/>
          <w:lang w:eastAsia="ja-JP"/>
        </w:rPr>
        <w:t xml:space="preserve"> mènent des activités relatives aux catastrophes naturelles</w:t>
      </w:r>
      <w:r w:rsidRPr="008C187F">
        <w:rPr>
          <w:rFonts w:eastAsia="SimSun"/>
          <w:lang w:eastAsia="ja-JP"/>
        </w:rPr>
        <w:t xml:space="preserve">. En outre, </w:t>
      </w:r>
      <w:r w:rsidR="006E72F2" w:rsidRPr="008C187F">
        <w:rPr>
          <w:rFonts w:eastAsia="SimSun"/>
          <w:lang w:eastAsia="ja-JP"/>
        </w:rPr>
        <w:t xml:space="preserve">les </w:t>
      </w:r>
      <w:r w:rsidRPr="008C187F">
        <w:rPr>
          <w:rFonts w:eastAsia="SimSun"/>
          <w:lang w:eastAsia="ja-JP"/>
        </w:rPr>
        <w:t xml:space="preserve">catastrophes naturelles </w:t>
      </w:r>
      <w:r w:rsidR="007B5A36" w:rsidRPr="008C187F">
        <w:rPr>
          <w:rFonts w:eastAsia="SimSun"/>
          <w:lang w:eastAsia="ja-JP"/>
        </w:rPr>
        <w:t xml:space="preserve">occupent une place importante </w:t>
      </w:r>
      <w:r w:rsidRPr="008C187F">
        <w:rPr>
          <w:rFonts w:eastAsia="SimSun"/>
          <w:lang w:eastAsia="ja-JP"/>
        </w:rPr>
        <w:t xml:space="preserve">dans des rapports tels que le Cadre d'action de </w:t>
      </w:r>
      <w:proofErr w:type="spellStart"/>
      <w:r w:rsidRPr="008C187F">
        <w:rPr>
          <w:rFonts w:eastAsia="SimSun"/>
          <w:lang w:eastAsia="ja-JP"/>
        </w:rPr>
        <w:t>Hyogo</w:t>
      </w:r>
      <w:proofErr w:type="spellEnd"/>
      <w:r w:rsidRPr="008C187F">
        <w:rPr>
          <w:rFonts w:eastAsia="SimSun"/>
          <w:lang w:eastAsia="ja-JP"/>
        </w:rPr>
        <w:t xml:space="preserve"> </w:t>
      </w:r>
      <w:r w:rsidR="007B490A" w:rsidRPr="008C187F">
        <w:rPr>
          <w:rFonts w:eastAsia="SimSun"/>
          <w:lang w:eastAsia="ja-JP"/>
        </w:rPr>
        <w:t xml:space="preserve">de </w:t>
      </w:r>
      <w:r w:rsidRPr="008C187F">
        <w:rPr>
          <w:rFonts w:eastAsia="SimSun"/>
          <w:lang w:eastAsia="ja-JP"/>
        </w:rPr>
        <w:t>2005</w:t>
      </w:r>
      <w:r w:rsidR="00C50535" w:rsidRPr="00786BF8">
        <w:rPr>
          <w:rStyle w:val="FootnoteReference"/>
          <w:rFonts w:eastAsia="SimSun"/>
          <w:sz w:val="18"/>
          <w:szCs w:val="18"/>
        </w:rPr>
        <w:footnoteReference w:id="7"/>
      </w:r>
      <w:r w:rsidRPr="00786BF8">
        <w:rPr>
          <w:rFonts w:eastAsia="SimSun"/>
          <w:sz w:val="18"/>
          <w:szCs w:val="18"/>
          <w:lang w:eastAsia="ja-JP"/>
        </w:rPr>
        <w:t xml:space="preserve"> </w:t>
      </w:r>
      <w:r w:rsidRPr="008C187F">
        <w:rPr>
          <w:rFonts w:eastAsia="SimSun"/>
          <w:lang w:eastAsia="ja-JP"/>
        </w:rPr>
        <w:t>et le Cadre de Sendai pour la réduction des risques de catastrophe 2015-2030</w:t>
      </w:r>
      <w:r w:rsidR="00C50535" w:rsidRPr="00786BF8">
        <w:rPr>
          <w:rStyle w:val="FootnoteReference"/>
          <w:rFonts w:eastAsia="SimSun"/>
          <w:sz w:val="18"/>
          <w:szCs w:val="18"/>
        </w:rPr>
        <w:footnoteReference w:id="8"/>
      </w:r>
      <w:r w:rsidR="004C5873" w:rsidRPr="008C187F">
        <w:rPr>
          <w:rFonts w:eastAsia="SimSun"/>
          <w:lang w:eastAsia="ja-JP"/>
        </w:rPr>
        <w:t>,</w:t>
      </w:r>
      <w:r w:rsidR="00827E59" w:rsidRPr="008C187F">
        <w:rPr>
          <w:rFonts w:eastAsia="SimSun"/>
          <w:vertAlign w:val="superscript"/>
          <w:lang w:eastAsia="ja-JP"/>
        </w:rPr>
        <w:t xml:space="preserve"> </w:t>
      </w:r>
      <w:r w:rsidR="006E72F2" w:rsidRPr="008C187F">
        <w:rPr>
          <w:rFonts w:eastAsia="SimSun"/>
          <w:lang w:eastAsia="ja-JP"/>
        </w:rPr>
        <w:t xml:space="preserve">ont constitué le thème de travail </w:t>
      </w:r>
      <w:r w:rsidRPr="008C187F">
        <w:rPr>
          <w:rFonts w:eastAsia="SimSun"/>
          <w:lang w:eastAsia="ja-JP"/>
        </w:rPr>
        <w:t xml:space="preserve">d'un précédent groupe </w:t>
      </w:r>
      <w:r w:rsidR="006E72F2" w:rsidRPr="008C187F">
        <w:rPr>
          <w:rFonts w:eastAsia="SimSun"/>
          <w:lang w:eastAsia="ja-JP"/>
        </w:rPr>
        <w:t>spécialisé de la Commission d'études </w:t>
      </w:r>
      <w:r w:rsidRPr="008C187F">
        <w:rPr>
          <w:rFonts w:eastAsia="SimSun"/>
          <w:lang w:eastAsia="ja-JP"/>
        </w:rPr>
        <w:t>2</w:t>
      </w:r>
      <w:r w:rsidR="00C50535" w:rsidRPr="00786BF8">
        <w:rPr>
          <w:rStyle w:val="FootnoteReference"/>
          <w:rFonts w:eastAsia="SimSun"/>
          <w:sz w:val="18"/>
          <w:szCs w:val="18"/>
        </w:rPr>
        <w:footnoteReference w:id="9"/>
      </w:r>
      <w:r w:rsidRPr="008C187F">
        <w:rPr>
          <w:rFonts w:eastAsia="SimSun"/>
          <w:lang w:eastAsia="ja-JP"/>
        </w:rPr>
        <w:t xml:space="preserve"> et </w:t>
      </w:r>
      <w:r w:rsidR="006E72F2" w:rsidRPr="008C187F">
        <w:rPr>
          <w:rFonts w:eastAsia="SimSun"/>
          <w:lang w:eastAsia="ja-JP"/>
        </w:rPr>
        <w:t>font l'objet d'</w:t>
      </w:r>
      <w:r w:rsidRPr="008C187F">
        <w:rPr>
          <w:rFonts w:eastAsia="SimSun"/>
          <w:lang w:eastAsia="ja-JP"/>
        </w:rPr>
        <w:t>un rapport de l'UIT-D de 2019</w:t>
      </w:r>
      <w:r w:rsidRPr="00786BF8">
        <w:rPr>
          <w:rStyle w:val="FootnoteReference"/>
          <w:rFonts w:eastAsia="SimSun"/>
          <w:sz w:val="18"/>
          <w:szCs w:val="18"/>
        </w:rPr>
        <w:footnoteReference w:id="10"/>
      </w:r>
      <w:r w:rsidR="004C5873" w:rsidRPr="008C187F">
        <w:rPr>
          <w:rFonts w:eastAsia="SimSun"/>
          <w:lang w:eastAsia="ja-JP"/>
        </w:rPr>
        <w:t>.</w:t>
      </w:r>
    </w:p>
    <w:p w14:paraId="1E412FD3" w14:textId="4067E968" w:rsidR="004005DC" w:rsidRPr="008C187F" w:rsidRDefault="004005DC" w:rsidP="004005DC">
      <w:pPr>
        <w:rPr>
          <w:rFonts w:eastAsia="SimSun"/>
          <w:lang w:eastAsia="ja-JP"/>
        </w:rPr>
      </w:pPr>
      <w:r w:rsidRPr="008C187F">
        <w:rPr>
          <w:rFonts w:eastAsia="SimSun"/>
          <w:lang w:eastAsia="ja-JP"/>
        </w:rPr>
        <w:lastRenderedPageBreak/>
        <w:t>Afin de réduire les coûts (</w:t>
      </w:r>
      <w:r w:rsidR="004E19D6" w:rsidRPr="008C187F">
        <w:rPr>
          <w:rFonts w:eastAsia="SimSun"/>
          <w:lang w:eastAsia="ja-JP"/>
        </w:rPr>
        <w:t xml:space="preserve">ainsi que </w:t>
      </w:r>
      <w:r w:rsidRPr="008C187F">
        <w:rPr>
          <w:rFonts w:eastAsia="SimSun"/>
          <w:lang w:eastAsia="ja-JP"/>
        </w:rPr>
        <w:t xml:space="preserve">les effets négatifs </w:t>
      </w:r>
      <w:r w:rsidR="007B5A36" w:rsidRPr="008C187F">
        <w:rPr>
          <w:rFonts w:eastAsia="SimSun"/>
          <w:lang w:eastAsia="ja-JP"/>
        </w:rPr>
        <w:t xml:space="preserve">indiqués </w:t>
      </w:r>
      <w:r w:rsidRPr="008C187F">
        <w:rPr>
          <w:rFonts w:eastAsia="SimSun"/>
          <w:lang w:eastAsia="ja-JP"/>
        </w:rPr>
        <w:t xml:space="preserve">ci-dessus) et d'améliorer la </w:t>
      </w:r>
      <w:r w:rsidR="00BD49A4" w:rsidRPr="008C187F">
        <w:rPr>
          <w:rFonts w:eastAsia="SimSun"/>
          <w:lang w:eastAsia="ja-JP"/>
        </w:rPr>
        <w:t xml:space="preserve">planification en prévision des </w:t>
      </w:r>
      <w:r w:rsidRPr="008C187F">
        <w:rPr>
          <w:rFonts w:eastAsia="SimSun"/>
          <w:lang w:eastAsia="ja-JP"/>
        </w:rPr>
        <w:t>catastrophes naturelles</w:t>
      </w:r>
      <w:r w:rsidR="00BD49A4" w:rsidRPr="008C187F">
        <w:rPr>
          <w:rFonts w:eastAsia="SimSun"/>
          <w:lang w:eastAsia="ja-JP"/>
        </w:rPr>
        <w:t xml:space="preserve"> (ainsi que les interventions)</w:t>
      </w:r>
      <w:r w:rsidR="00BD49A4" w:rsidRPr="00786BF8">
        <w:rPr>
          <w:rStyle w:val="FootnoteReference"/>
          <w:rFonts w:eastAsia="SimSun"/>
          <w:sz w:val="18"/>
          <w:szCs w:val="18"/>
        </w:rPr>
        <w:footnoteReference w:id="11"/>
      </w:r>
      <w:r w:rsidR="00F4472C" w:rsidRPr="008C187F">
        <w:rPr>
          <w:rFonts w:eastAsia="SimSun"/>
          <w:lang w:eastAsia="ja-JP"/>
        </w:rPr>
        <w:t>,</w:t>
      </w:r>
      <w:r w:rsidRPr="008C187F">
        <w:rPr>
          <w:rFonts w:eastAsia="SimSun"/>
          <w:lang w:eastAsia="ja-JP"/>
        </w:rPr>
        <w:t xml:space="preserve"> le </w:t>
      </w:r>
      <w:r w:rsidR="00786BF8">
        <w:rPr>
          <w:rFonts w:eastAsia="SimSun"/>
          <w:lang w:eastAsia="ja-JP"/>
        </w:rPr>
        <w:t>Groupe </w:t>
      </w:r>
      <w:r w:rsidRPr="008C187F">
        <w:rPr>
          <w:rFonts w:eastAsia="SimSun"/>
          <w:lang w:eastAsia="ja-JP"/>
        </w:rPr>
        <w:t>FG</w:t>
      </w:r>
      <w:r w:rsidR="00F4472C" w:rsidRPr="008C187F">
        <w:rPr>
          <w:rFonts w:eastAsia="SimSun"/>
          <w:lang w:eastAsia="ja-JP"/>
        </w:rPr>
        <w:noBreakHyphen/>
      </w:r>
      <w:r w:rsidRPr="008C187F">
        <w:rPr>
          <w:rFonts w:eastAsia="SimSun"/>
          <w:lang w:eastAsia="ja-JP"/>
        </w:rPr>
        <w:t xml:space="preserve">AI4NDM </w:t>
      </w:r>
      <w:r w:rsidR="00B13B6F" w:rsidRPr="008C187F">
        <w:rPr>
          <w:rFonts w:eastAsia="SimSun"/>
          <w:lang w:eastAsia="ja-JP"/>
        </w:rPr>
        <w:t xml:space="preserve">réfléchira aux </w:t>
      </w:r>
      <w:r w:rsidR="00BD49A4" w:rsidRPr="008C187F">
        <w:rPr>
          <w:rFonts w:eastAsia="SimSun"/>
          <w:lang w:eastAsia="ja-JP"/>
        </w:rPr>
        <w:t xml:space="preserve">possibilités offertes par l'intelligence artificielle </w:t>
      </w:r>
      <w:r w:rsidRPr="008C187F">
        <w:rPr>
          <w:rFonts w:eastAsia="SimSun"/>
          <w:lang w:eastAsia="ja-JP"/>
        </w:rPr>
        <w:t xml:space="preserve">pour </w:t>
      </w:r>
      <w:r w:rsidR="00BD49A4" w:rsidRPr="008C187F">
        <w:rPr>
          <w:rFonts w:eastAsia="SimSun"/>
          <w:lang w:eastAsia="ja-JP"/>
        </w:rPr>
        <w:t xml:space="preserve">assurer </w:t>
      </w:r>
      <w:r w:rsidR="00786BF8">
        <w:rPr>
          <w:rFonts w:eastAsia="SimSun"/>
          <w:lang w:eastAsia="ja-JP"/>
        </w:rPr>
        <w:t>la </w:t>
      </w:r>
      <w:r w:rsidRPr="008C187F">
        <w:rPr>
          <w:rFonts w:eastAsia="SimSun"/>
          <w:lang w:eastAsia="ja-JP"/>
        </w:rPr>
        <w:t xml:space="preserve">collecte et le traitement des données, améliorer la modélisation </w:t>
      </w:r>
      <w:r w:rsidR="00BD49A4" w:rsidRPr="008C187F">
        <w:rPr>
          <w:rFonts w:eastAsia="SimSun"/>
          <w:lang w:eastAsia="ja-JP"/>
        </w:rPr>
        <w:t xml:space="preserve">dans les dimensions </w:t>
      </w:r>
      <w:r w:rsidR="00786BF8">
        <w:rPr>
          <w:rFonts w:eastAsia="SimSun"/>
          <w:lang w:eastAsia="ja-JP"/>
        </w:rPr>
        <w:t>spatio</w:t>
      </w:r>
      <w:r w:rsidR="00786BF8">
        <w:rPr>
          <w:rFonts w:eastAsia="SimSun"/>
          <w:lang w:eastAsia="ja-JP"/>
        </w:rPr>
        <w:noBreakHyphen/>
      </w:r>
      <w:r w:rsidRPr="008C187F">
        <w:rPr>
          <w:rFonts w:eastAsia="SimSun"/>
          <w:lang w:eastAsia="ja-JP"/>
        </w:rPr>
        <w:t xml:space="preserve">temporelles </w:t>
      </w:r>
      <w:r w:rsidR="00BD49A4" w:rsidRPr="008C187F">
        <w:rPr>
          <w:rFonts w:eastAsia="SimSun"/>
          <w:lang w:eastAsia="ja-JP"/>
        </w:rPr>
        <w:t xml:space="preserve">par le biais de l'extraction de </w:t>
      </w:r>
      <w:r w:rsidRPr="008C187F">
        <w:rPr>
          <w:rFonts w:eastAsia="SimSun"/>
          <w:lang w:eastAsia="ja-JP"/>
        </w:rPr>
        <w:t xml:space="preserve">modèles complexes (et </w:t>
      </w:r>
      <w:r w:rsidR="00BD49A4" w:rsidRPr="008C187F">
        <w:rPr>
          <w:rFonts w:eastAsia="SimSun"/>
          <w:lang w:eastAsia="ja-JP"/>
        </w:rPr>
        <w:t xml:space="preserve">de l'acquisition de </w:t>
      </w:r>
      <w:r w:rsidRPr="008C187F">
        <w:rPr>
          <w:rFonts w:eastAsia="SimSun"/>
          <w:lang w:eastAsia="ja-JP"/>
        </w:rPr>
        <w:t xml:space="preserve">connaissances) à partir d'un volume croissant de données géospatiales, et fournir une communication efficace. Pour atteindre ces objectifs ambitieux, </w:t>
      </w:r>
      <w:r w:rsidR="00BD49A4" w:rsidRPr="008C187F">
        <w:rPr>
          <w:rFonts w:eastAsia="SimSun"/>
          <w:lang w:eastAsia="ja-JP"/>
        </w:rPr>
        <w:t xml:space="preserve">le Groupe </w:t>
      </w:r>
      <w:r w:rsidRPr="008C187F">
        <w:rPr>
          <w:rFonts w:eastAsia="SimSun"/>
          <w:lang w:eastAsia="ja-JP"/>
        </w:rPr>
        <w:t xml:space="preserve">FG-AI4NDM </w:t>
      </w:r>
      <w:r w:rsidR="00BD49A4" w:rsidRPr="008C187F">
        <w:rPr>
          <w:rFonts w:eastAsia="SimSun"/>
          <w:lang w:eastAsia="ja-JP"/>
        </w:rPr>
        <w:t xml:space="preserve">réunira </w:t>
      </w:r>
      <w:r w:rsidRPr="008C187F">
        <w:rPr>
          <w:rFonts w:eastAsia="SimSun"/>
          <w:lang w:eastAsia="ja-JP"/>
        </w:rPr>
        <w:t xml:space="preserve">de multiples parties prenantes et experts du monde entier. </w:t>
      </w:r>
      <w:r w:rsidR="00C028F6" w:rsidRPr="008C187F">
        <w:rPr>
          <w:rFonts w:eastAsia="SimSun"/>
          <w:lang w:eastAsia="ja-JP"/>
        </w:rPr>
        <w:t xml:space="preserve">Il s'attachera tout particulièrement à </w:t>
      </w:r>
      <w:r w:rsidR="00BD49A4" w:rsidRPr="008C187F">
        <w:rPr>
          <w:rFonts w:eastAsia="SimSun"/>
          <w:lang w:eastAsia="ja-JP"/>
        </w:rPr>
        <w:t xml:space="preserve">encourager </w:t>
      </w:r>
      <w:r w:rsidRPr="008C187F">
        <w:rPr>
          <w:rFonts w:eastAsia="SimSun"/>
          <w:lang w:eastAsia="ja-JP"/>
        </w:rPr>
        <w:t xml:space="preserve">la participation des pays à faible revenu </w:t>
      </w:r>
      <w:r w:rsidR="00BD49A4" w:rsidRPr="008C187F">
        <w:rPr>
          <w:rFonts w:eastAsia="SimSun"/>
          <w:lang w:eastAsia="ja-JP"/>
        </w:rPr>
        <w:t xml:space="preserve">ou à revenu intermédiaire </w:t>
      </w:r>
      <w:r w:rsidRPr="008C187F">
        <w:rPr>
          <w:rFonts w:eastAsia="SimSun"/>
          <w:lang w:eastAsia="ja-JP"/>
        </w:rPr>
        <w:t xml:space="preserve">et des pays particulièrement touchés par ce type d'événements (par exemple, les PEID et les PMA). Enfin, le </w:t>
      </w:r>
      <w:r w:rsidR="00C028F6" w:rsidRPr="008C187F">
        <w:rPr>
          <w:rFonts w:eastAsia="SimSun"/>
          <w:lang w:eastAsia="ja-JP"/>
        </w:rPr>
        <w:t xml:space="preserve">Groupe </w:t>
      </w:r>
      <w:r w:rsidRPr="008C187F">
        <w:rPr>
          <w:rFonts w:eastAsia="SimSun"/>
          <w:lang w:eastAsia="ja-JP"/>
        </w:rPr>
        <w:t xml:space="preserve">FG-AI4NDM </w:t>
      </w:r>
      <w:r w:rsidR="00C028F6" w:rsidRPr="008C187F">
        <w:rPr>
          <w:rFonts w:eastAsia="SimSun"/>
          <w:lang w:eastAsia="ja-JP"/>
        </w:rPr>
        <w:t xml:space="preserve">poursuivra </w:t>
      </w:r>
      <w:r w:rsidRPr="008C187F">
        <w:rPr>
          <w:rFonts w:eastAsia="SimSun"/>
          <w:lang w:eastAsia="ja-JP"/>
        </w:rPr>
        <w:t xml:space="preserve">les </w:t>
      </w:r>
      <w:r w:rsidR="00C028F6" w:rsidRPr="008C187F">
        <w:rPr>
          <w:rFonts w:eastAsia="SimSun"/>
          <w:lang w:eastAsia="ja-JP"/>
        </w:rPr>
        <w:t xml:space="preserve">efforts déployés par son entité de rattachement, à savoir </w:t>
      </w:r>
      <w:r w:rsidRPr="008C187F">
        <w:rPr>
          <w:rFonts w:eastAsia="SimSun"/>
          <w:lang w:eastAsia="ja-JP"/>
        </w:rPr>
        <w:t>la Commission d'étude</w:t>
      </w:r>
      <w:r w:rsidR="00C028F6" w:rsidRPr="008C187F">
        <w:rPr>
          <w:rFonts w:eastAsia="SimSun"/>
          <w:lang w:eastAsia="ja-JP"/>
        </w:rPr>
        <w:t>s</w:t>
      </w:r>
      <w:r w:rsidRPr="008C187F">
        <w:rPr>
          <w:rFonts w:eastAsia="SimSun"/>
          <w:lang w:eastAsia="ja-JP"/>
        </w:rPr>
        <w:t xml:space="preserve"> 2</w:t>
      </w:r>
      <w:r w:rsidR="00C028F6" w:rsidRPr="008C187F">
        <w:rPr>
          <w:rFonts w:eastAsia="SimSun"/>
          <w:lang w:eastAsia="ja-JP"/>
        </w:rPr>
        <w:t>,</w:t>
      </w:r>
      <w:r w:rsidRPr="008C187F">
        <w:rPr>
          <w:rFonts w:eastAsia="SimSun"/>
          <w:lang w:eastAsia="ja-JP"/>
        </w:rPr>
        <w:t xml:space="preserve"> </w:t>
      </w:r>
      <w:r w:rsidR="00C028F6" w:rsidRPr="008C187F">
        <w:rPr>
          <w:rFonts w:eastAsia="SimSun"/>
          <w:lang w:eastAsia="ja-JP"/>
        </w:rPr>
        <w:t xml:space="preserve">concernant l'utilisation des technologies de télécommunication pour les secours en cas de catastrophe/l'alerte avancée et le rétablissement, </w:t>
      </w:r>
      <w:r w:rsidR="00786BF8">
        <w:rPr>
          <w:rFonts w:eastAsia="SimSun"/>
          <w:lang w:eastAsia="ja-JP"/>
        </w:rPr>
        <w:t>et s'appuiera sur les travaux </w:t>
      </w:r>
      <w:r w:rsidR="00C028F6" w:rsidRPr="008C187F">
        <w:rPr>
          <w:rFonts w:eastAsia="SimSun"/>
          <w:lang w:eastAsia="ja-JP"/>
        </w:rPr>
        <w:t xml:space="preserve">menés par le </w:t>
      </w:r>
      <w:r w:rsidRPr="008C187F">
        <w:rPr>
          <w:rFonts w:eastAsia="SimSun"/>
          <w:lang w:eastAsia="ja-JP"/>
        </w:rPr>
        <w:t xml:space="preserve">précédent </w:t>
      </w:r>
      <w:r w:rsidR="007B5A36" w:rsidRPr="008C187F">
        <w:rPr>
          <w:rFonts w:eastAsia="SimSun"/>
          <w:lang w:eastAsia="ja-JP"/>
        </w:rPr>
        <w:t>G</w:t>
      </w:r>
      <w:r w:rsidRPr="008C187F">
        <w:rPr>
          <w:rFonts w:eastAsia="SimSun"/>
          <w:lang w:eastAsia="ja-JP"/>
        </w:rPr>
        <w:t xml:space="preserve">roupe </w:t>
      </w:r>
      <w:r w:rsidR="00C028F6" w:rsidRPr="008C187F">
        <w:rPr>
          <w:rFonts w:eastAsia="SimSun"/>
          <w:lang w:eastAsia="ja-JP"/>
        </w:rPr>
        <w:t xml:space="preserve">spécialisé </w:t>
      </w:r>
      <w:r w:rsidRPr="008C187F">
        <w:rPr>
          <w:rFonts w:eastAsia="SimSun"/>
          <w:lang w:eastAsia="ja-JP"/>
        </w:rPr>
        <w:t>de la Commission d'étude</w:t>
      </w:r>
      <w:r w:rsidR="00C028F6" w:rsidRPr="008C187F">
        <w:rPr>
          <w:rFonts w:eastAsia="SimSun"/>
          <w:lang w:eastAsia="ja-JP"/>
        </w:rPr>
        <w:t>s</w:t>
      </w:r>
      <w:r w:rsidRPr="008C187F">
        <w:rPr>
          <w:rFonts w:eastAsia="SimSun"/>
          <w:lang w:eastAsia="ja-JP"/>
        </w:rPr>
        <w:t xml:space="preserve"> 2 de l'UIT-T </w:t>
      </w:r>
      <w:r w:rsidR="00C028F6" w:rsidRPr="008C187F">
        <w:rPr>
          <w:rFonts w:eastAsia="SimSun"/>
          <w:lang w:eastAsia="ja-JP"/>
        </w:rPr>
        <w:t xml:space="preserve">sur les systèmes de secours en cas de catastrophe, ainsi que la résilience et le rétablissement des réseaux </w:t>
      </w:r>
      <w:r w:rsidRPr="008C187F">
        <w:rPr>
          <w:rFonts w:eastAsia="SimSun"/>
          <w:lang w:eastAsia="ja-JP"/>
        </w:rPr>
        <w:t>(FG-DR&amp;NRR).</w:t>
      </w:r>
    </w:p>
    <w:p w14:paraId="61B0323A" w14:textId="4F55A901" w:rsidR="00ED6216" w:rsidRPr="006C3F0A" w:rsidRDefault="00ED6216" w:rsidP="006C3F0A">
      <w:pPr>
        <w:pStyle w:val="Heading1"/>
        <w:spacing w:before="360"/>
        <w:rPr>
          <w:rFonts w:eastAsia="SimSun"/>
        </w:rPr>
      </w:pPr>
      <w:r w:rsidRPr="006C3F0A">
        <w:rPr>
          <w:rFonts w:eastAsia="SimSun"/>
        </w:rPr>
        <w:t>2</w:t>
      </w:r>
      <w:r w:rsidRPr="006C3F0A">
        <w:rPr>
          <w:rFonts w:eastAsia="SimSun"/>
        </w:rPr>
        <w:tab/>
      </w:r>
      <w:r w:rsidR="004005DC" w:rsidRPr="006C3F0A">
        <w:rPr>
          <w:rFonts w:eastAsia="SimSun"/>
        </w:rPr>
        <w:t xml:space="preserve">Buts et </w:t>
      </w:r>
      <w:r w:rsidRPr="006C3F0A">
        <w:rPr>
          <w:rFonts w:eastAsia="SimSun"/>
        </w:rPr>
        <w:t>objecti</w:t>
      </w:r>
      <w:r w:rsidR="004005DC" w:rsidRPr="006C3F0A">
        <w:rPr>
          <w:rFonts w:eastAsia="SimSun"/>
        </w:rPr>
        <w:t>f</w:t>
      </w:r>
      <w:r w:rsidRPr="006C3F0A">
        <w:rPr>
          <w:rFonts w:eastAsia="SimSun"/>
        </w:rPr>
        <w:t xml:space="preserve">s </w:t>
      </w:r>
      <w:r w:rsidR="004005DC" w:rsidRPr="006C3F0A">
        <w:rPr>
          <w:rFonts w:eastAsia="SimSun"/>
        </w:rPr>
        <w:t xml:space="preserve">du Groupe </w:t>
      </w:r>
      <w:r w:rsidRPr="006C3F0A">
        <w:rPr>
          <w:rFonts w:eastAsia="SimSun"/>
        </w:rPr>
        <w:t>FG-AI4NDM</w:t>
      </w:r>
    </w:p>
    <w:p w14:paraId="3F83C266" w14:textId="196B37BD" w:rsidR="00ED6216" w:rsidRPr="008C187F" w:rsidRDefault="00B13B6F" w:rsidP="008233F3">
      <w:pPr>
        <w:rPr>
          <w:rFonts w:eastAsia="SimSun"/>
          <w:lang w:eastAsia="ja-JP"/>
        </w:rPr>
      </w:pPr>
      <w:r w:rsidRPr="008C187F">
        <w:rPr>
          <w:rFonts w:eastAsia="SimSun"/>
          <w:lang w:eastAsia="ja-JP"/>
        </w:rPr>
        <w:t xml:space="preserve">Le Groupe FG-AI4NDM poursuivra les objectifs généraux </w:t>
      </w:r>
      <w:proofErr w:type="gramStart"/>
      <w:r w:rsidRPr="008C187F">
        <w:rPr>
          <w:rFonts w:eastAsia="SimSun"/>
          <w:lang w:eastAsia="ja-JP"/>
        </w:rPr>
        <w:t>suivants:</w:t>
      </w:r>
      <w:proofErr w:type="gramEnd"/>
      <w:r w:rsidR="00ED6216" w:rsidRPr="008C187F">
        <w:rPr>
          <w:rFonts w:eastAsia="SimSun"/>
          <w:lang w:eastAsia="ja-JP"/>
        </w:rPr>
        <w:t xml:space="preserve"> </w:t>
      </w:r>
    </w:p>
    <w:p w14:paraId="3CC5890A" w14:textId="174D2D6B" w:rsidR="00ED6216" w:rsidRPr="008C187F" w:rsidRDefault="00ED6216" w:rsidP="00B13B6F">
      <w:pPr>
        <w:pStyle w:val="enumlev1"/>
        <w:rPr>
          <w:rFonts w:eastAsia="SimSun"/>
          <w:lang w:eastAsia="ja-JP"/>
        </w:rPr>
      </w:pPr>
      <w:bookmarkStart w:id="3" w:name="_9002luq7o99m" w:colFirst="0" w:colLast="0"/>
      <w:bookmarkEnd w:id="3"/>
      <w:r w:rsidRPr="008C187F">
        <w:rPr>
          <w:rFonts w:eastAsia="SimSun"/>
          <w:lang w:eastAsia="ja-JP"/>
        </w:rPr>
        <w:t>1)</w:t>
      </w:r>
      <w:r w:rsidRPr="008C187F">
        <w:rPr>
          <w:rFonts w:eastAsia="SimSun"/>
          <w:lang w:eastAsia="ja-JP"/>
        </w:rPr>
        <w:tab/>
      </w:r>
      <w:r w:rsidR="00B13B6F" w:rsidRPr="008C187F">
        <w:rPr>
          <w:rFonts w:eastAsia="SimSun"/>
          <w:lang w:eastAsia="ja-JP"/>
        </w:rPr>
        <w:t>Créer une communauté de parties prenantes et d'experts</w:t>
      </w:r>
      <w:r w:rsidR="00B13B6F" w:rsidRPr="00786BF8">
        <w:rPr>
          <w:rStyle w:val="FootnoteReference"/>
          <w:rFonts w:eastAsia="SimSun"/>
          <w:sz w:val="18"/>
          <w:szCs w:val="18"/>
        </w:rPr>
        <w:footnoteReference w:id="12"/>
      </w:r>
      <w:r w:rsidR="00B13B6F" w:rsidRPr="008C187F">
        <w:rPr>
          <w:rFonts w:eastAsia="SimSun"/>
          <w:lang w:eastAsia="ja-JP"/>
        </w:rPr>
        <w:t xml:space="preserve"> du monde entier pour réfléchir à l'utilisation de l'IA (dans le contexte des données, de la modélisation et des technologies de communication) aux fins de la gestion des catastrophes naturelles</w:t>
      </w:r>
      <w:r w:rsidRPr="00786BF8">
        <w:rPr>
          <w:rStyle w:val="FootnoteReference"/>
          <w:rFonts w:eastAsia="SimSun"/>
          <w:sz w:val="18"/>
          <w:szCs w:val="18"/>
        </w:rPr>
        <w:footnoteReference w:id="13"/>
      </w:r>
      <w:r w:rsidR="00F4472C" w:rsidRPr="008C187F">
        <w:rPr>
          <w:rFonts w:eastAsia="SimSun"/>
          <w:lang w:eastAsia="ja-JP"/>
        </w:rPr>
        <w:t>.</w:t>
      </w:r>
    </w:p>
    <w:p w14:paraId="01271124" w14:textId="10FECC1C" w:rsidR="00ED6216" w:rsidRPr="008C187F" w:rsidRDefault="00ED6216" w:rsidP="00FD4512">
      <w:pPr>
        <w:pStyle w:val="enumlev1"/>
        <w:rPr>
          <w:rFonts w:eastAsia="SimSun"/>
          <w:lang w:eastAsia="ja-JP"/>
        </w:rPr>
      </w:pPr>
      <w:r w:rsidRPr="008C187F">
        <w:rPr>
          <w:rFonts w:eastAsia="SimSun"/>
          <w:lang w:eastAsia="ja-JP"/>
        </w:rPr>
        <w:t>2)</w:t>
      </w:r>
      <w:r w:rsidRPr="008C187F">
        <w:rPr>
          <w:rFonts w:eastAsia="SimSun"/>
          <w:lang w:eastAsia="ja-JP"/>
        </w:rPr>
        <w:tab/>
      </w:r>
      <w:r w:rsidR="00FD4512" w:rsidRPr="008C187F">
        <w:rPr>
          <w:rFonts w:eastAsia="SimSun"/>
          <w:lang w:eastAsia="ja-JP"/>
        </w:rPr>
        <w:t xml:space="preserve">Optimiser les synergies au sein de cette communauté afin </w:t>
      </w:r>
      <w:r w:rsidR="001A5E4F" w:rsidRPr="008C187F">
        <w:rPr>
          <w:rFonts w:eastAsia="SimSun"/>
          <w:lang w:eastAsia="ja-JP"/>
        </w:rPr>
        <w:t xml:space="preserve">d'appuyer </w:t>
      </w:r>
      <w:r w:rsidR="00FD4512" w:rsidRPr="008C187F">
        <w:rPr>
          <w:rFonts w:eastAsia="SimSun"/>
          <w:lang w:eastAsia="ja-JP"/>
        </w:rPr>
        <w:t>les objectifs interdépendants des Nations Unies en faveur d'un avenir meilleur et plus durable</w:t>
      </w:r>
      <w:r w:rsidRPr="00786BF8">
        <w:rPr>
          <w:rStyle w:val="FootnoteReference"/>
          <w:rFonts w:eastAsia="SimSun"/>
          <w:sz w:val="18"/>
          <w:szCs w:val="18"/>
        </w:rPr>
        <w:footnoteReference w:id="14"/>
      </w:r>
      <w:r w:rsidR="00F4472C" w:rsidRPr="008C187F">
        <w:rPr>
          <w:rFonts w:eastAsia="SimSun"/>
          <w:lang w:eastAsia="ja-JP"/>
        </w:rPr>
        <w:t>.</w:t>
      </w:r>
    </w:p>
    <w:p w14:paraId="5C114A24" w14:textId="4F970BE8" w:rsidR="00FD4512" w:rsidRPr="008C187F" w:rsidRDefault="00ED6216" w:rsidP="008233F3">
      <w:pPr>
        <w:pStyle w:val="enumlev1"/>
        <w:rPr>
          <w:rFonts w:eastAsia="SimSun"/>
          <w:lang w:eastAsia="ja-JP"/>
        </w:rPr>
      </w:pPr>
      <w:r w:rsidRPr="008C187F">
        <w:rPr>
          <w:rFonts w:eastAsia="SimSun"/>
          <w:lang w:eastAsia="ja-JP"/>
        </w:rPr>
        <w:t>3)</w:t>
      </w:r>
      <w:r w:rsidRPr="008C187F">
        <w:rPr>
          <w:rFonts w:eastAsia="SimSun"/>
          <w:lang w:eastAsia="ja-JP"/>
        </w:rPr>
        <w:tab/>
      </w:r>
      <w:r w:rsidR="00FD4512" w:rsidRPr="008C187F">
        <w:rPr>
          <w:rFonts w:eastAsia="SimSun"/>
          <w:lang w:eastAsia="ja-JP"/>
        </w:rPr>
        <w:t xml:space="preserve">Identifier des projets dans le domaine de l'IA (dans le contexte des données, de la modélisation et des technologies de communication) au service de la gestion des catastrophes naturelles et trouver des moyens d'intégrer de manière optimale leurs résultats dans les activités du Groupe spécialisé. Identifier les domaines dans lesquels l'IA (dans le contexte des données, de la modélisation et des technologies de communication) peut faciliter (mais ne facilite pas encore) la gestion des catastrophes naturelles en accordant une attention particulière aux régions vulnérables et à ressources limitées. </w:t>
      </w:r>
    </w:p>
    <w:p w14:paraId="6F213508" w14:textId="33546363" w:rsidR="00FD4512" w:rsidRPr="008C187F" w:rsidRDefault="00ED6216" w:rsidP="008233F3">
      <w:pPr>
        <w:pStyle w:val="enumlev1"/>
        <w:rPr>
          <w:rFonts w:eastAsia="SimSun"/>
          <w:lang w:eastAsia="ja-JP"/>
        </w:rPr>
      </w:pPr>
      <w:r w:rsidRPr="008C187F">
        <w:rPr>
          <w:rFonts w:eastAsia="SimSun"/>
          <w:lang w:eastAsia="ja-JP"/>
        </w:rPr>
        <w:lastRenderedPageBreak/>
        <w:t>4)</w:t>
      </w:r>
      <w:r w:rsidRPr="008C187F">
        <w:rPr>
          <w:rFonts w:eastAsia="SimSun"/>
          <w:lang w:eastAsia="ja-JP"/>
        </w:rPr>
        <w:tab/>
      </w:r>
      <w:r w:rsidR="00FD4512" w:rsidRPr="008C187F">
        <w:rPr>
          <w:rFonts w:eastAsia="SimSun"/>
          <w:lang w:eastAsia="ja-JP"/>
        </w:rPr>
        <w:t>Recenser les activités liées à l'utilisation de l'IA concernant les données, la modélisation (reconst</w:t>
      </w:r>
      <w:r w:rsidR="001A5E4F" w:rsidRPr="008C187F">
        <w:rPr>
          <w:rFonts w:eastAsia="SimSun"/>
          <w:lang w:eastAsia="ja-JP"/>
        </w:rPr>
        <w:t>itu</w:t>
      </w:r>
      <w:r w:rsidR="00FD4512" w:rsidRPr="008C187F">
        <w:rPr>
          <w:rFonts w:eastAsia="SimSun"/>
          <w:lang w:eastAsia="ja-JP"/>
        </w:rPr>
        <w:t xml:space="preserve">tion, prévision et projection) et la communication au service de la gestion des catastrophes naturelles. </w:t>
      </w:r>
    </w:p>
    <w:p w14:paraId="33FECA93" w14:textId="191A5503" w:rsidR="00FD4512" w:rsidRPr="008C187F" w:rsidRDefault="00ED6216" w:rsidP="008233F3">
      <w:pPr>
        <w:pStyle w:val="enumlev1"/>
        <w:rPr>
          <w:rFonts w:eastAsia="SimSun"/>
          <w:lang w:eastAsia="ja-JP"/>
        </w:rPr>
      </w:pPr>
      <w:r w:rsidRPr="008C187F">
        <w:rPr>
          <w:rFonts w:eastAsia="SimSun"/>
          <w:lang w:eastAsia="ja-JP"/>
        </w:rPr>
        <w:t>5)</w:t>
      </w:r>
      <w:r w:rsidRPr="008C187F">
        <w:rPr>
          <w:rFonts w:eastAsia="SimSun"/>
          <w:lang w:eastAsia="ja-JP"/>
        </w:rPr>
        <w:tab/>
      </w:r>
      <w:r w:rsidR="00FD4512" w:rsidRPr="008C187F">
        <w:rPr>
          <w:rFonts w:eastAsia="SimSun"/>
          <w:lang w:eastAsia="ja-JP"/>
        </w:rPr>
        <w:t>Identifier les bonnes pratiques actuelles sur l'utilisation de l'IA concernant les données, la modélisation (</w:t>
      </w:r>
      <w:r w:rsidR="001A5E4F" w:rsidRPr="008C187F">
        <w:rPr>
          <w:rFonts w:eastAsia="SimSun"/>
          <w:lang w:eastAsia="ja-JP"/>
        </w:rPr>
        <w:t>reconstitution</w:t>
      </w:r>
      <w:r w:rsidR="00FD4512" w:rsidRPr="008C187F">
        <w:rPr>
          <w:rFonts w:eastAsia="SimSun"/>
          <w:lang w:eastAsia="ja-JP"/>
        </w:rPr>
        <w:t>, prévision et projection) et la communication efficace</w:t>
      </w:r>
      <w:r w:rsidR="00FD4512" w:rsidRPr="00786BF8">
        <w:rPr>
          <w:rStyle w:val="FootnoteReference"/>
          <w:rFonts w:eastAsia="SimSun"/>
          <w:sz w:val="18"/>
          <w:szCs w:val="18"/>
        </w:rPr>
        <w:footnoteReference w:id="15"/>
      </w:r>
      <w:r w:rsidR="00FD4512" w:rsidRPr="008C187F">
        <w:rPr>
          <w:rFonts w:eastAsia="SimSun"/>
          <w:lang w:eastAsia="ja-JP"/>
        </w:rPr>
        <w:t xml:space="preserve"> au service de la gestion des catastrophes naturelles. </w:t>
      </w:r>
    </w:p>
    <w:p w14:paraId="61A7937E" w14:textId="6B0751E9" w:rsidR="00A2253B" w:rsidRPr="008C187F" w:rsidRDefault="00ED6216" w:rsidP="008233F3">
      <w:pPr>
        <w:pStyle w:val="enumlev1"/>
        <w:rPr>
          <w:rFonts w:eastAsia="SimSun"/>
          <w:lang w:eastAsia="ja-JP"/>
        </w:rPr>
      </w:pPr>
      <w:r w:rsidRPr="008C187F">
        <w:rPr>
          <w:rFonts w:eastAsia="SimSun"/>
          <w:lang w:eastAsia="ja-JP"/>
        </w:rPr>
        <w:t>6)</w:t>
      </w:r>
      <w:r w:rsidRPr="008C187F">
        <w:rPr>
          <w:rFonts w:eastAsia="SimSun"/>
          <w:lang w:eastAsia="ja-JP"/>
        </w:rPr>
        <w:tab/>
      </w:r>
      <w:r w:rsidR="00A2253B" w:rsidRPr="008C187F">
        <w:rPr>
          <w:rFonts w:eastAsia="SimSun"/>
          <w:lang w:eastAsia="ja-JP"/>
        </w:rPr>
        <w:t>Appuyer les efforts déployés pour élaborer des répertoires mondiaux (y compris des solutions en nuage) contenant des données pertinentes relatives aux catastrophes naturelles pour les cas d'utilisation (</w:t>
      </w:r>
      <w:r w:rsidR="00881C70" w:rsidRPr="008C187F">
        <w:rPr>
          <w:rFonts w:eastAsia="SimSun"/>
          <w:lang w:eastAsia="ja-JP"/>
        </w:rPr>
        <w:t xml:space="preserve">à savoir </w:t>
      </w:r>
      <w:r w:rsidR="00A2253B" w:rsidRPr="008C187F">
        <w:rPr>
          <w:rFonts w:eastAsia="SimSun"/>
          <w:lang w:eastAsia="ja-JP"/>
        </w:rPr>
        <w:t>des types particuliers de catastrophes naturelles).</w:t>
      </w:r>
    </w:p>
    <w:p w14:paraId="70AA16DE" w14:textId="48903187" w:rsidR="00F36683" w:rsidRPr="008C187F" w:rsidRDefault="00ED6216" w:rsidP="008233F3">
      <w:pPr>
        <w:pStyle w:val="enumlev1"/>
        <w:rPr>
          <w:rFonts w:eastAsia="SimSun"/>
          <w:lang w:eastAsia="ja-JP"/>
        </w:rPr>
      </w:pPr>
      <w:r w:rsidRPr="008C187F">
        <w:rPr>
          <w:rFonts w:eastAsia="SimSun"/>
          <w:lang w:eastAsia="ja-JP"/>
        </w:rPr>
        <w:t>7)</w:t>
      </w:r>
      <w:r w:rsidRPr="008C187F">
        <w:rPr>
          <w:rFonts w:eastAsia="SimSun"/>
          <w:lang w:eastAsia="ja-JP"/>
        </w:rPr>
        <w:tab/>
      </w:r>
      <w:r w:rsidR="00881C70" w:rsidRPr="008C187F">
        <w:rPr>
          <w:rFonts w:eastAsia="SimSun"/>
          <w:lang w:eastAsia="ja-JP"/>
        </w:rPr>
        <w:t xml:space="preserve">Appuyer la mise en </w:t>
      </w:r>
      <w:r w:rsidR="004E14E1" w:rsidRPr="008C187F">
        <w:rPr>
          <w:rFonts w:eastAsia="SimSun"/>
          <w:lang w:eastAsia="ja-JP"/>
        </w:rPr>
        <w:t>œuvre</w:t>
      </w:r>
      <w:r w:rsidR="00881C70" w:rsidRPr="008C187F">
        <w:rPr>
          <w:rFonts w:eastAsia="SimSun"/>
          <w:lang w:eastAsia="ja-JP"/>
        </w:rPr>
        <w:t xml:space="preserve"> du Cadre de Sendai pour la réduction des risques de catastrophes </w:t>
      </w:r>
      <w:r w:rsidRPr="008C187F">
        <w:rPr>
          <w:rFonts w:eastAsia="SimSun"/>
          <w:lang w:eastAsia="ja-JP"/>
        </w:rPr>
        <w:t>(2015-2030)</w:t>
      </w:r>
      <w:r w:rsidRPr="00786BF8">
        <w:rPr>
          <w:rStyle w:val="FootnoteReference"/>
          <w:rFonts w:eastAsia="SimSun"/>
          <w:sz w:val="18"/>
          <w:szCs w:val="18"/>
        </w:rPr>
        <w:footnoteReference w:id="16"/>
      </w:r>
      <w:r w:rsidR="00F36683" w:rsidRPr="008C187F">
        <w:rPr>
          <w:rFonts w:eastAsia="SimSun"/>
          <w:lang w:eastAsia="ja-JP"/>
        </w:rPr>
        <w:t>.</w:t>
      </w:r>
    </w:p>
    <w:p w14:paraId="14F1B38A" w14:textId="1733A0BB" w:rsidR="00881C70" w:rsidRPr="008C187F" w:rsidRDefault="00ED6216" w:rsidP="008233F3">
      <w:pPr>
        <w:pStyle w:val="enumlev1"/>
        <w:rPr>
          <w:rFonts w:eastAsia="SimSun"/>
          <w:lang w:eastAsia="ja-JP"/>
        </w:rPr>
      </w:pPr>
      <w:r w:rsidRPr="008C187F">
        <w:rPr>
          <w:rFonts w:eastAsia="SimSun"/>
          <w:lang w:eastAsia="ja-JP"/>
        </w:rPr>
        <w:t>8)</w:t>
      </w:r>
      <w:r w:rsidRPr="008C187F">
        <w:rPr>
          <w:rFonts w:eastAsia="SimSun"/>
          <w:lang w:eastAsia="ja-JP"/>
        </w:rPr>
        <w:tab/>
      </w:r>
      <w:r w:rsidR="00881C70" w:rsidRPr="008C187F">
        <w:rPr>
          <w:rFonts w:eastAsia="SimSun"/>
          <w:lang w:eastAsia="ja-JP"/>
        </w:rPr>
        <w:t>Assurer la liaison et collaborer avec les autres commissions d'études de l'UIT-T dans un souci d'homogénéité des activités complémentaires.</w:t>
      </w:r>
    </w:p>
    <w:p w14:paraId="67477F79" w14:textId="77777777" w:rsidR="00ED6216" w:rsidRPr="008C187F" w:rsidRDefault="00ED6216" w:rsidP="006C3F0A">
      <w:pPr>
        <w:pStyle w:val="Heading1"/>
        <w:spacing w:before="360"/>
        <w:rPr>
          <w:rFonts w:eastAsia="SimSun"/>
          <w:lang w:eastAsia="ja-JP"/>
        </w:rPr>
      </w:pPr>
      <w:r w:rsidRPr="008C187F">
        <w:rPr>
          <w:rFonts w:eastAsia="SimSun"/>
          <w:lang w:eastAsia="ja-JP"/>
        </w:rPr>
        <w:t>3</w:t>
      </w:r>
      <w:r w:rsidRPr="008C187F">
        <w:rPr>
          <w:rFonts w:eastAsia="SimSun"/>
          <w:lang w:eastAsia="ja-JP"/>
        </w:rPr>
        <w:tab/>
        <w:t>Structure</w:t>
      </w:r>
    </w:p>
    <w:p w14:paraId="18062862" w14:textId="6441B707" w:rsidR="00881C70" w:rsidRPr="008C187F" w:rsidRDefault="00881C70" w:rsidP="008233F3">
      <w:pPr>
        <w:rPr>
          <w:rFonts w:eastAsia="SimSun"/>
          <w:lang w:eastAsia="ja-JP"/>
        </w:rPr>
      </w:pPr>
      <w:r w:rsidRPr="008C187F">
        <w:rPr>
          <w:rFonts w:eastAsia="SimSun"/>
          <w:lang w:eastAsia="ja-JP"/>
        </w:rPr>
        <w:t xml:space="preserve">Le Groupe FG-AI4NDM peut créer des sous-groupes selon les besoins. Pour coordonner les travaux et fournir des conseils aux sous-groupes, il y aura un président et des vice-présidents. </w:t>
      </w:r>
    </w:p>
    <w:p w14:paraId="33D5B8C5" w14:textId="475611F1" w:rsidR="00ED6216" w:rsidRPr="008C187F" w:rsidRDefault="00ED6216" w:rsidP="008233F3">
      <w:pPr>
        <w:pStyle w:val="Heading1"/>
        <w:keepNext w:val="0"/>
        <w:keepLines w:val="0"/>
        <w:spacing w:before="360"/>
        <w:rPr>
          <w:rFonts w:eastAsia="SimSun"/>
          <w:lang w:eastAsia="ja-JP"/>
        </w:rPr>
      </w:pPr>
      <w:r w:rsidRPr="008C187F">
        <w:rPr>
          <w:rFonts w:eastAsia="SimSun"/>
          <w:lang w:eastAsia="ja-JP"/>
        </w:rPr>
        <w:t>4</w:t>
      </w:r>
      <w:r w:rsidRPr="008C187F">
        <w:rPr>
          <w:rFonts w:eastAsia="SimSun"/>
          <w:lang w:eastAsia="ja-JP"/>
        </w:rPr>
        <w:tab/>
        <w:t xml:space="preserve">Tâches spécifiques et </w:t>
      </w:r>
      <w:r w:rsidR="00756F0C" w:rsidRPr="008C187F">
        <w:rPr>
          <w:rFonts w:eastAsia="SimSun"/>
          <w:lang w:eastAsia="ja-JP"/>
        </w:rPr>
        <w:t>produits finals</w:t>
      </w:r>
    </w:p>
    <w:p w14:paraId="291E1B9C" w14:textId="77D9EA3E" w:rsidR="00ED6216" w:rsidRPr="008C187F" w:rsidRDefault="00ED6216" w:rsidP="008233F3">
      <w:pPr>
        <w:rPr>
          <w:rFonts w:eastAsia="SimSun"/>
          <w:lang w:eastAsia="ja-JP"/>
        </w:rPr>
      </w:pPr>
      <w:r w:rsidRPr="008C187F">
        <w:rPr>
          <w:rFonts w:eastAsia="SimSun"/>
          <w:lang w:eastAsia="ja-JP"/>
        </w:rPr>
        <w:t>Les tâches du Groupe FG-AI4</w:t>
      </w:r>
      <w:r w:rsidR="004005DC" w:rsidRPr="008C187F">
        <w:rPr>
          <w:rFonts w:eastAsia="SimSun"/>
          <w:lang w:eastAsia="ja-JP"/>
        </w:rPr>
        <w:t xml:space="preserve">NDM </w:t>
      </w:r>
      <w:r w:rsidRPr="008C187F">
        <w:rPr>
          <w:rFonts w:eastAsia="SimSun"/>
          <w:lang w:eastAsia="ja-JP"/>
        </w:rPr>
        <w:t xml:space="preserve">et les </w:t>
      </w:r>
      <w:r w:rsidR="00756F0C" w:rsidRPr="008C187F">
        <w:rPr>
          <w:rFonts w:eastAsia="SimSun"/>
          <w:lang w:eastAsia="ja-JP"/>
        </w:rPr>
        <w:t xml:space="preserve">produits finals </w:t>
      </w:r>
      <w:r w:rsidRPr="008C187F">
        <w:rPr>
          <w:rFonts w:eastAsia="SimSun"/>
          <w:lang w:eastAsia="ja-JP"/>
        </w:rPr>
        <w:t xml:space="preserve">pourront notamment être les </w:t>
      </w:r>
      <w:proofErr w:type="gramStart"/>
      <w:r w:rsidRPr="008C187F">
        <w:rPr>
          <w:rFonts w:eastAsia="SimSun"/>
          <w:lang w:eastAsia="ja-JP"/>
        </w:rPr>
        <w:t>suivants:</w:t>
      </w:r>
      <w:proofErr w:type="gramEnd"/>
    </w:p>
    <w:p w14:paraId="4C4A12A8" w14:textId="4FB1EEA1" w:rsidR="00881C70" w:rsidRPr="008C187F" w:rsidRDefault="00ED6216" w:rsidP="008233F3">
      <w:pPr>
        <w:pStyle w:val="enumlev1"/>
        <w:rPr>
          <w:rFonts w:eastAsia="SimSun"/>
          <w:lang w:eastAsia="ja-JP"/>
        </w:rPr>
      </w:pPr>
      <w:r w:rsidRPr="008C187F">
        <w:rPr>
          <w:rFonts w:eastAsia="SimSun"/>
          <w:lang w:eastAsia="ja-JP"/>
        </w:rPr>
        <w:t>1)</w:t>
      </w:r>
      <w:r w:rsidRPr="008C187F">
        <w:rPr>
          <w:rFonts w:eastAsia="SimSun"/>
          <w:lang w:eastAsia="ja-JP"/>
        </w:rPr>
        <w:tab/>
      </w:r>
      <w:r w:rsidR="00881C70" w:rsidRPr="008C187F">
        <w:t>Élaborer une feuille de route des activités relatives à l'intelligence artificielle (dans le contexte des données, de la modélisation et des technologies de communication) au service de la gestion des catastrophes naturelles</w:t>
      </w:r>
      <w:r w:rsidR="00F36683" w:rsidRPr="008C187F">
        <w:rPr>
          <w:rFonts w:eastAsia="SimSun"/>
          <w:lang w:eastAsia="ja-JP"/>
        </w:rPr>
        <w:t>.</w:t>
      </w:r>
    </w:p>
    <w:p w14:paraId="7C026017" w14:textId="0F1BCBAA" w:rsidR="00ED6216" w:rsidRPr="008C187F" w:rsidRDefault="00ED6216" w:rsidP="00E326A5">
      <w:pPr>
        <w:pStyle w:val="enumlev1"/>
        <w:rPr>
          <w:rFonts w:eastAsia="SimSun"/>
          <w:lang w:eastAsia="ja-JP"/>
        </w:rPr>
      </w:pPr>
      <w:r w:rsidRPr="008C187F">
        <w:rPr>
          <w:rFonts w:eastAsia="SimSun"/>
          <w:lang w:eastAsia="ja-JP"/>
        </w:rPr>
        <w:t>2)</w:t>
      </w:r>
      <w:r w:rsidRPr="008C187F">
        <w:rPr>
          <w:rFonts w:eastAsia="SimSun"/>
          <w:lang w:eastAsia="ja-JP"/>
        </w:rPr>
        <w:tab/>
      </w:r>
      <w:r w:rsidR="00881C70" w:rsidRPr="008C187F">
        <w:t>Établir une liste de parties prenantes et d'experts</w:t>
      </w:r>
      <w:r w:rsidR="00881C70" w:rsidRPr="008C187F">
        <w:rPr>
          <w:rFonts w:eastAsia="SimSun"/>
          <w:lang w:eastAsia="ja-JP"/>
        </w:rPr>
        <w:t xml:space="preserve"> </w:t>
      </w:r>
      <w:r w:rsidR="00E326A5" w:rsidRPr="008C187F">
        <w:rPr>
          <w:rFonts w:eastAsia="SimSun"/>
          <w:lang w:eastAsia="ja-JP"/>
        </w:rPr>
        <w:t>et s'efforcer de manière concertée de les faire participer aux activités du Groupe spécialisé</w:t>
      </w:r>
      <w:r w:rsidRPr="008C187F">
        <w:rPr>
          <w:rFonts w:eastAsia="SimSun"/>
          <w:lang w:eastAsia="ja-JP"/>
        </w:rPr>
        <w:t xml:space="preserve">. </w:t>
      </w:r>
      <w:bookmarkStart w:id="4" w:name="_t5pzvm7p3dpf" w:colFirst="0" w:colLast="0"/>
      <w:bookmarkEnd w:id="4"/>
    </w:p>
    <w:p w14:paraId="1C51641F" w14:textId="781C7126" w:rsidR="00E326A5" w:rsidRPr="008C187F" w:rsidRDefault="00ED6216" w:rsidP="008233F3">
      <w:pPr>
        <w:pStyle w:val="enumlev1"/>
        <w:rPr>
          <w:rFonts w:eastAsia="SimSun"/>
          <w:lang w:eastAsia="ja-JP"/>
        </w:rPr>
      </w:pPr>
      <w:r w:rsidRPr="008C187F">
        <w:rPr>
          <w:rFonts w:eastAsia="SimSun"/>
          <w:lang w:eastAsia="ja-JP"/>
        </w:rPr>
        <w:t>3)</w:t>
      </w:r>
      <w:r w:rsidRPr="008C187F">
        <w:rPr>
          <w:rFonts w:eastAsia="SimSun"/>
          <w:lang w:eastAsia="ja-JP"/>
        </w:rPr>
        <w:tab/>
      </w:r>
      <w:r w:rsidR="00E326A5" w:rsidRPr="008C187F">
        <w:rPr>
          <w:rFonts w:eastAsia="SimSun"/>
          <w:lang w:eastAsia="ja-JP"/>
        </w:rPr>
        <w:t xml:space="preserve">Organiser des ateliers réunissant les parties prenantes et les experts, mettre en avant les activités innovantes dans le domaine de l'IA (dans le contexte des données, de la modélisation et des technologies de communication) au service de la gestion des catastrophes naturelles, et faciliter le recrutement de nouveaux membres </w:t>
      </w:r>
      <w:r w:rsidR="00A863FB" w:rsidRPr="008C187F">
        <w:rPr>
          <w:rFonts w:eastAsia="SimSun"/>
          <w:lang w:eastAsia="ja-JP"/>
        </w:rPr>
        <w:t xml:space="preserve">du </w:t>
      </w:r>
      <w:r w:rsidR="00E326A5" w:rsidRPr="008C187F">
        <w:rPr>
          <w:rFonts w:eastAsia="SimSun"/>
          <w:lang w:eastAsia="ja-JP"/>
        </w:rPr>
        <w:t>Groupe spécialisé. En outre, évaluer les propositions de nouveaux cas d'utilisation.</w:t>
      </w:r>
    </w:p>
    <w:p w14:paraId="10035F6C" w14:textId="77777777" w:rsidR="00F36683" w:rsidRPr="008C187F" w:rsidRDefault="00F36683" w:rsidP="008233F3">
      <w:pPr>
        <w:pStyle w:val="enumlev1"/>
        <w:rPr>
          <w:rFonts w:eastAsia="SimSun"/>
          <w:lang w:eastAsia="ja-JP"/>
        </w:rPr>
      </w:pPr>
      <w:r w:rsidRPr="008C187F">
        <w:rPr>
          <w:rFonts w:eastAsia="SimSun"/>
          <w:lang w:eastAsia="ja-JP"/>
        </w:rPr>
        <w:br w:type="page"/>
      </w:r>
    </w:p>
    <w:p w14:paraId="7CABEAC7" w14:textId="52C94FB3" w:rsidR="00E326A5" w:rsidRPr="008C187F" w:rsidRDefault="00ED6216" w:rsidP="008233F3">
      <w:pPr>
        <w:pStyle w:val="enumlev1"/>
        <w:rPr>
          <w:rFonts w:eastAsia="SimSun"/>
          <w:lang w:eastAsia="ja-JP"/>
        </w:rPr>
      </w:pPr>
      <w:r w:rsidRPr="008C187F">
        <w:rPr>
          <w:rFonts w:eastAsia="SimSun"/>
          <w:lang w:eastAsia="ja-JP"/>
        </w:rPr>
        <w:lastRenderedPageBreak/>
        <w:t>4)</w:t>
      </w:r>
      <w:r w:rsidRPr="008C187F">
        <w:rPr>
          <w:rFonts w:eastAsia="SimSun"/>
          <w:lang w:eastAsia="ja-JP"/>
        </w:rPr>
        <w:tab/>
      </w:r>
      <w:r w:rsidR="00E326A5" w:rsidRPr="008C187F">
        <w:rPr>
          <w:rFonts w:eastAsia="SimSun"/>
          <w:lang w:eastAsia="ja-JP"/>
        </w:rPr>
        <w:t xml:space="preserve">Travailler à </w:t>
      </w:r>
      <w:r w:rsidR="00A863FB" w:rsidRPr="008C187F">
        <w:rPr>
          <w:rFonts w:eastAsia="SimSun"/>
          <w:lang w:eastAsia="ja-JP"/>
        </w:rPr>
        <w:t xml:space="preserve">la rédaction </w:t>
      </w:r>
      <w:r w:rsidR="00E326A5" w:rsidRPr="008C187F">
        <w:rPr>
          <w:rFonts w:eastAsia="SimSun"/>
          <w:lang w:eastAsia="ja-JP"/>
        </w:rPr>
        <w:t xml:space="preserve">de </w:t>
      </w:r>
      <w:r w:rsidR="009A5675" w:rsidRPr="008C187F">
        <w:rPr>
          <w:rFonts w:eastAsia="SimSun"/>
          <w:lang w:eastAsia="ja-JP"/>
        </w:rPr>
        <w:t xml:space="preserve">documents </w:t>
      </w:r>
      <w:r w:rsidR="00E326A5" w:rsidRPr="008C187F">
        <w:rPr>
          <w:rFonts w:eastAsia="SimSun"/>
          <w:lang w:eastAsia="ja-JP"/>
        </w:rPr>
        <w:t>non normatifs (par exemple, des rapports techniques) sur l'utilisation de l'IA concernant les données, la modélisation (reconst</w:t>
      </w:r>
      <w:r w:rsidR="001A5E4F" w:rsidRPr="008C187F">
        <w:rPr>
          <w:rFonts w:eastAsia="SimSun"/>
          <w:lang w:eastAsia="ja-JP"/>
        </w:rPr>
        <w:t>itu</w:t>
      </w:r>
      <w:r w:rsidR="00E326A5" w:rsidRPr="008C187F">
        <w:rPr>
          <w:rFonts w:eastAsia="SimSun"/>
          <w:lang w:eastAsia="ja-JP"/>
        </w:rPr>
        <w:t>tion, prévision et projection) et la communication efficace</w:t>
      </w:r>
      <w:r w:rsidR="009A5675" w:rsidRPr="009A5DE3">
        <w:rPr>
          <w:rStyle w:val="FootnoteReference"/>
          <w:rFonts w:eastAsia="SimSun"/>
          <w:sz w:val="18"/>
          <w:szCs w:val="18"/>
        </w:rPr>
        <w:footnoteReference w:id="17"/>
      </w:r>
      <w:r w:rsidR="00E326A5" w:rsidRPr="009A5DE3">
        <w:rPr>
          <w:rFonts w:eastAsia="SimSun"/>
          <w:sz w:val="18"/>
          <w:szCs w:val="18"/>
          <w:lang w:eastAsia="ja-JP"/>
        </w:rPr>
        <w:t xml:space="preserve"> </w:t>
      </w:r>
      <w:r w:rsidR="00E326A5" w:rsidRPr="008C187F">
        <w:rPr>
          <w:rFonts w:eastAsia="SimSun"/>
          <w:lang w:eastAsia="ja-JP"/>
        </w:rPr>
        <w:t xml:space="preserve">au sujet des catastrophes naturelles, sur la base des données issues des cas d'utilisation. </w:t>
      </w:r>
    </w:p>
    <w:p w14:paraId="0CF56BDB" w14:textId="176F6DCB" w:rsidR="009A5675" w:rsidRPr="008C187F" w:rsidRDefault="00ED6216" w:rsidP="008233F3">
      <w:pPr>
        <w:pStyle w:val="enumlev1"/>
        <w:rPr>
          <w:rFonts w:eastAsia="SimSun"/>
          <w:lang w:eastAsia="ja-JP"/>
        </w:rPr>
      </w:pPr>
      <w:r w:rsidRPr="008C187F">
        <w:rPr>
          <w:rFonts w:eastAsia="SimSun"/>
          <w:lang w:eastAsia="ja-JP"/>
        </w:rPr>
        <w:t>5)</w:t>
      </w:r>
      <w:r w:rsidRPr="008C187F">
        <w:rPr>
          <w:rFonts w:eastAsia="SimSun"/>
          <w:lang w:eastAsia="ja-JP"/>
        </w:rPr>
        <w:tab/>
      </w:r>
      <w:r w:rsidR="009A5675" w:rsidRPr="008C187F">
        <w:rPr>
          <w:rFonts w:eastAsia="SimSun"/>
          <w:lang w:eastAsia="ja-JP"/>
        </w:rPr>
        <w:t>Travailler à l'élaboration de supports pédagogiques (par exemple, des cours en ligne et des brochures) en collaboration avec l'OMM (et d'autres partenaires), permettant de rendre le contenu de (4) accessible à l'ensemble des parties prenantes et des experts, en particulier ceux des PEID et des PMA.</w:t>
      </w:r>
    </w:p>
    <w:p w14:paraId="4AE015F7" w14:textId="3BA4485D" w:rsidR="009A5675" w:rsidRPr="008C187F" w:rsidRDefault="00ED6216" w:rsidP="008233F3">
      <w:pPr>
        <w:pStyle w:val="enumlev1"/>
        <w:rPr>
          <w:rFonts w:eastAsia="SimSun"/>
          <w:lang w:eastAsia="ja-JP"/>
        </w:rPr>
      </w:pPr>
      <w:r w:rsidRPr="008C187F">
        <w:rPr>
          <w:rFonts w:eastAsia="SimSun"/>
          <w:lang w:eastAsia="ja-JP"/>
        </w:rPr>
        <w:t>6)</w:t>
      </w:r>
      <w:r w:rsidRPr="008C187F">
        <w:rPr>
          <w:rFonts w:eastAsia="SimSun"/>
          <w:lang w:eastAsia="ja-JP"/>
        </w:rPr>
        <w:tab/>
      </w:r>
      <w:r w:rsidR="009A5675" w:rsidRPr="008C187F">
        <w:rPr>
          <w:rFonts w:eastAsia="SimSun"/>
          <w:lang w:eastAsia="ja-JP"/>
        </w:rPr>
        <w:t>Une fois que le Groupe FG-AI4NDM aura accompli les tâches susmentionnées, élaborer un rapport complet présent</w:t>
      </w:r>
      <w:r w:rsidR="00A863FB" w:rsidRPr="008C187F">
        <w:rPr>
          <w:rFonts w:eastAsia="SimSun"/>
          <w:lang w:eastAsia="ja-JP"/>
        </w:rPr>
        <w:t>ant</w:t>
      </w:r>
      <w:r w:rsidR="009A5675" w:rsidRPr="008C187F">
        <w:rPr>
          <w:rFonts w:eastAsia="SimSun"/>
          <w:lang w:eastAsia="ja-JP"/>
        </w:rPr>
        <w:t xml:space="preserve"> les résultats obtenus et fourni</w:t>
      </w:r>
      <w:r w:rsidR="00A863FB" w:rsidRPr="008C187F">
        <w:rPr>
          <w:rFonts w:eastAsia="SimSun"/>
          <w:lang w:eastAsia="ja-JP"/>
        </w:rPr>
        <w:t>ssan</w:t>
      </w:r>
      <w:r w:rsidR="009A5675" w:rsidRPr="008C187F">
        <w:rPr>
          <w:rFonts w:eastAsia="SimSun"/>
          <w:lang w:eastAsia="ja-JP"/>
        </w:rPr>
        <w:t>t des suggestions pour les orientations futures.</w:t>
      </w:r>
    </w:p>
    <w:p w14:paraId="18C2DD04" w14:textId="77777777" w:rsidR="00ED6216" w:rsidRPr="008C187F" w:rsidRDefault="00ED6216" w:rsidP="008233F3">
      <w:pPr>
        <w:pStyle w:val="Heading1"/>
        <w:keepNext w:val="0"/>
        <w:keepLines w:val="0"/>
        <w:spacing w:before="360"/>
        <w:rPr>
          <w:rFonts w:eastAsia="SimSun"/>
          <w:lang w:eastAsia="ja-JP"/>
        </w:rPr>
      </w:pPr>
      <w:r w:rsidRPr="008C187F">
        <w:rPr>
          <w:rFonts w:eastAsia="SimSun"/>
          <w:lang w:eastAsia="ja-JP"/>
        </w:rPr>
        <w:t>5</w:t>
      </w:r>
      <w:r w:rsidRPr="008C187F">
        <w:rPr>
          <w:rFonts w:eastAsia="SimSun"/>
          <w:lang w:eastAsia="ja-JP"/>
        </w:rPr>
        <w:tab/>
        <w:t>Relations</w:t>
      </w:r>
    </w:p>
    <w:p w14:paraId="06A5988E" w14:textId="6E90A1A2" w:rsidR="00ED6216" w:rsidRPr="008C187F" w:rsidRDefault="00A41205" w:rsidP="008233F3">
      <w:r w:rsidRPr="008C187F">
        <w:t>L</w:t>
      </w:r>
      <w:r w:rsidR="00ED6216" w:rsidRPr="008C187F">
        <w:t xml:space="preserve">e Groupe </w:t>
      </w:r>
      <w:r w:rsidRPr="008C187F">
        <w:rPr>
          <w:rFonts w:eastAsia="SimSun"/>
          <w:lang w:eastAsia="ja-JP"/>
        </w:rPr>
        <w:t xml:space="preserve">FG-AI4NDM </w:t>
      </w:r>
      <w:r w:rsidR="00ED6216" w:rsidRPr="008C187F">
        <w:t>travaillera en étroite collaboration avec les Commissions d'études concernées de l'UIT (-R, -T et -D), y compris dans le cadre de réunions colocalisées, dans la mesure du possible. Il établira et entretiendra en outre des relations de collaboration en fonction des tâches avec d'autres groupes de l'UIT</w:t>
      </w:r>
      <w:r w:rsidRPr="008C187F">
        <w:t xml:space="preserve"> ainsi qu'avec l'OMM et d'autres organismes des Nations</w:t>
      </w:r>
      <w:r w:rsidR="00BF28B1" w:rsidRPr="008C187F">
        <w:t> </w:t>
      </w:r>
      <w:r w:rsidRPr="008C187F">
        <w:t>Unies (par exemple PNUE, UNESCO)</w:t>
      </w:r>
      <w:r w:rsidR="00ED6216" w:rsidRPr="008C187F">
        <w:t>.</w:t>
      </w:r>
    </w:p>
    <w:p w14:paraId="19DA389C" w14:textId="028378B5" w:rsidR="00ED6216" w:rsidRPr="008C187F" w:rsidRDefault="00ED6216" w:rsidP="008233F3">
      <w:pPr>
        <w:rPr>
          <w:rFonts w:cstheme="minorHAnsi"/>
          <w:szCs w:val="24"/>
        </w:rPr>
      </w:pPr>
      <w:r w:rsidRPr="008C187F">
        <w:rPr>
          <w:rFonts w:cstheme="minorHAnsi"/>
          <w:szCs w:val="24"/>
        </w:rPr>
        <w:t xml:space="preserve">Le Groupe </w:t>
      </w:r>
      <w:r w:rsidR="00A41205" w:rsidRPr="008C187F">
        <w:rPr>
          <w:rFonts w:eastAsia="SimSun"/>
          <w:lang w:eastAsia="ja-JP"/>
        </w:rPr>
        <w:t xml:space="preserve">FG-AI4NDM </w:t>
      </w:r>
      <w:r w:rsidRPr="008C187F">
        <w:rPr>
          <w:rFonts w:cstheme="minorHAnsi"/>
          <w:szCs w:val="24"/>
        </w:rPr>
        <w:t xml:space="preserve">travaillera également en collaboration (en fonction des besoins) avec d'autres groupes et entités concernés, conformément à la Recommandation UIT-T A.7. Ces entités sont notamment les </w:t>
      </w:r>
      <w:proofErr w:type="gramStart"/>
      <w:r w:rsidRPr="008C187F">
        <w:rPr>
          <w:rFonts w:cstheme="minorHAnsi"/>
          <w:szCs w:val="24"/>
        </w:rPr>
        <w:t>suivantes:</w:t>
      </w:r>
      <w:proofErr w:type="gramEnd"/>
      <w:r w:rsidRPr="008C187F">
        <w:rPr>
          <w:rFonts w:cstheme="minorHAnsi"/>
          <w:szCs w:val="24"/>
        </w:rPr>
        <w:t xml:space="preserve"> gouvernements</w:t>
      </w:r>
      <w:r w:rsidR="00A41205" w:rsidRPr="008C187F">
        <w:rPr>
          <w:rFonts w:cstheme="minorHAnsi"/>
          <w:szCs w:val="24"/>
        </w:rPr>
        <w:t xml:space="preserve"> (</w:t>
      </w:r>
      <w:r w:rsidR="00FE5E87" w:rsidRPr="008C187F">
        <w:rPr>
          <w:rFonts w:cstheme="minorHAnsi"/>
          <w:szCs w:val="24"/>
        </w:rPr>
        <w:t xml:space="preserve">c'est-à-dire les </w:t>
      </w:r>
      <w:r w:rsidR="00A41205" w:rsidRPr="008C187F">
        <w:rPr>
          <w:rFonts w:cstheme="minorHAnsi"/>
          <w:szCs w:val="24"/>
        </w:rPr>
        <w:t>États Membres de l'UIT)</w:t>
      </w:r>
      <w:r w:rsidRPr="008C187F">
        <w:rPr>
          <w:rFonts w:cstheme="minorHAnsi"/>
          <w:szCs w:val="24"/>
        </w:rPr>
        <w:t>, organisations non gouvernementales (ONG), décideurs, organis</w:t>
      </w:r>
      <w:r w:rsidR="00FE5E87" w:rsidRPr="008C187F">
        <w:rPr>
          <w:rFonts w:cstheme="minorHAnsi"/>
          <w:szCs w:val="24"/>
        </w:rPr>
        <w:t xml:space="preserve">ations </w:t>
      </w:r>
      <w:r w:rsidRPr="008C187F">
        <w:rPr>
          <w:rFonts w:cstheme="minorHAnsi"/>
          <w:szCs w:val="24"/>
        </w:rPr>
        <w:t>de normalisation, forums et consortiums du secteur privé, entreprises, établissements universitaires, instituts de recherche et autres organismes concernés.</w:t>
      </w:r>
    </w:p>
    <w:p w14:paraId="63BA74EA" w14:textId="77777777" w:rsidR="00ED6216" w:rsidRPr="008C187F" w:rsidRDefault="00ED6216" w:rsidP="008233F3">
      <w:pPr>
        <w:pStyle w:val="Heading1"/>
        <w:keepNext w:val="0"/>
        <w:keepLines w:val="0"/>
        <w:spacing w:before="360"/>
      </w:pPr>
      <w:r w:rsidRPr="008C187F">
        <w:t>6</w:t>
      </w:r>
      <w:r w:rsidRPr="008C187F">
        <w:tab/>
        <w:t>Entité de rattachement</w:t>
      </w:r>
    </w:p>
    <w:p w14:paraId="03241059" w14:textId="103FAB74" w:rsidR="00ED6216" w:rsidRPr="008C187F" w:rsidRDefault="00ED6216" w:rsidP="008233F3">
      <w:pPr>
        <w:rPr>
          <w:rFonts w:cstheme="minorHAnsi"/>
          <w:szCs w:val="24"/>
        </w:rPr>
      </w:pPr>
      <w:r w:rsidRPr="008C187F">
        <w:rPr>
          <w:rFonts w:cstheme="minorHAnsi"/>
          <w:szCs w:val="24"/>
        </w:rPr>
        <w:t xml:space="preserve">L'entité de rattachement du Groupe </w:t>
      </w:r>
      <w:r w:rsidR="00A41205" w:rsidRPr="008C187F">
        <w:rPr>
          <w:rFonts w:eastAsia="SimSun"/>
          <w:lang w:eastAsia="ja-JP"/>
        </w:rPr>
        <w:t xml:space="preserve">FG-AI4NDM </w:t>
      </w:r>
      <w:r w:rsidRPr="008C187F">
        <w:rPr>
          <w:rFonts w:cstheme="minorHAnsi"/>
          <w:szCs w:val="24"/>
        </w:rPr>
        <w:t xml:space="preserve">est la </w:t>
      </w:r>
      <w:r w:rsidRPr="008C187F">
        <w:rPr>
          <w:rFonts w:cstheme="minorHAnsi"/>
          <w:bCs/>
          <w:szCs w:val="24"/>
        </w:rPr>
        <w:t xml:space="preserve">Commission d'études </w:t>
      </w:r>
      <w:r w:rsidR="00A41205" w:rsidRPr="008C187F">
        <w:rPr>
          <w:rFonts w:cstheme="minorHAnsi"/>
          <w:bCs/>
          <w:szCs w:val="24"/>
        </w:rPr>
        <w:t>2</w:t>
      </w:r>
      <w:r w:rsidRPr="008C187F">
        <w:rPr>
          <w:rFonts w:cstheme="minorHAnsi"/>
          <w:bCs/>
          <w:szCs w:val="24"/>
        </w:rPr>
        <w:t xml:space="preserve"> de l'UIT-T</w:t>
      </w:r>
      <w:r w:rsidRPr="008C187F">
        <w:rPr>
          <w:rFonts w:cstheme="minorHAnsi"/>
          <w:szCs w:val="24"/>
        </w:rPr>
        <w:t xml:space="preserve"> "</w:t>
      </w:r>
      <w:r w:rsidR="00A41205" w:rsidRPr="008C187F">
        <w:rPr>
          <w:rFonts w:cstheme="minorHAnsi"/>
          <w:szCs w:val="24"/>
        </w:rPr>
        <w:t>Aspects opérationnels</w:t>
      </w:r>
      <w:r w:rsidRPr="008C187F">
        <w:rPr>
          <w:rFonts w:cstheme="minorHAnsi"/>
          <w:szCs w:val="24"/>
        </w:rPr>
        <w:t>".</w:t>
      </w:r>
    </w:p>
    <w:p w14:paraId="1E96381D" w14:textId="702AF9E4" w:rsidR="00A41205" w:rsidRPr="008C187F" w:rsidRDefault="00ED6216" w:rsidP="00827E59">
      <w:r w:rsidRPr="008C187F">
        <w:t xml:space="preserve">La Commission d'études </w:t>
      </w:r>
      <w:r w:rsidR="00A41205" w:rsidRPr="008C187F">
        <w:t>2</w:t>
      </w:r>
      <w:r w:rsidRPr="008C187F">
        <w:t xml:space="preserve"> de l'UIT-T dirige les travaux </w:t>
      </w:r>
      <w:r w:rsidR="00A41205" w:rsidRPr="008C187F">
        <w:t xml:space="preserve">de l'UIT sur les télécommunications utilisées pour les secours en cas de catastrophe/l'alerte avancée, la résilience et le rétablissement des réseaux, et coordonne les études menées par les différentes commissions d'études de l'UIT-T dans ce domaine. </w:t>
      </w:r>
      <w:r w:rsidR="006C0932" w:rsidRPr="008C187F">
        <w:t>L</w:t>
      </w:r>
      <w:r w:rsidR="00A41205" w:rsidRPr="008C187F">
        <w:t xml:space="preserve">a Commission d'études 2 </w:t>
      </w:r>
      <w:r w:rsidR="006C0932" w:rsidRPr="008C187F">
        <w:t xml:space="preserve">est donc toute désignée pour être l'entité de rattachement du Groupe </w:t>
      </w:r>
      <w:r w:rsidR="00A41205" w:rsidRPr="008C187F">
        <w:t>FG-AI4NDM</w:t>
      </w:r>
      <w:r w:rsidR="00BF28B1" w:rsidRPr="008C187F">
        <w:t>.</w:t>
      </w:r>
    </w:p>
    <w:p w14:paraId="5A81B011" w14:textId="77777777" w:rsidR="00ED6216" w:rsidRPr="008C187F" w:rsidRDefault="00ED6216" w:rsidP="008233F3">
      <w:pPr>
        <w:pStyle w:val="Heading1"/>
        <w:keepNext w:val="0"/>
        <w:keepLines w:val="0"/>
        <w:spacing w:before="360"/>
        <w:rPr>
          <w:rFonts w:eastAsia="SimSun"/>
          <w:lang w:eastAsia="ja-JP"/>
        </w:rPr>
      </w:pPr>
      <w:r w:rsidRPr="008C187F">
        <w:rPr>
          <w:rFonts w:eastAsia="SimSun"/>
          <w:lang w:eastAsia="ja-JP"/>
        </w:rPr>
        <w:t>7</w:t>
      </w:r>
      <w:r w:rsidRPr="008C187F">
        <w:rPr>
          <w:rFonts w:eastAsia="SimSun"/>
          <w:lang w:eastAsia="ja-JP"/>
        </w:rPr>
        <w:tab/>
        <w:t xml:space="preserve">Équipe de direction </w:t>
      </w:r>
    </w:p>
    <w:p w14:paraId="3C4C68E6" w14:textId="15B5177F" w:rsidR="00ED6216" w:rsidRPr="008C187F" w:rsidRDefault="006C0932" w:rsidP="008233F3">
      <w:pPr>
        <w:rPr>
          <w:rFonts w:eastAsia="SimSun"/>
          <w:lang w:eastAsia="ja-JP"/>
        </w:rPr>
      </w:pPr>
      <w:r w:rsidRPr="008C187F">
        <w:rPr>
          <w:rFonts w:eastAsia="SimSun"/>
          <w:lang w:eastAsia="ja-JP"/>
        </w:rPr>
        <w:t xml:space="preserve">Les dispositions du </w:t>
      </w:r>
      <w:r w:rsidR="00ED6216" w:rsidRPr="008C187F">
        <w:rPr>
          <w:rFonts w:eastAsia="SimSun"/>
          <w:lang w:eastAsia="ja-JP"/>
        </w:rPr>
        <w:t>§ 2.3 de la Recommandation UIT-T A.7</w:t>
      </w:r>
      <w:r w:rsidRPr="008C187F">
        <w:rPr>
          <w:rFonts w:eastAsia="SimSun"/>
          <w:lang w:eastAsia="ja-JP"/>
        </w:rPr>
        <w:t xml:space="preserve"> s'appliquent</w:t>
      </w:r>
      <w:r w:rsidR="00ED6216" w:rsidRPr="008C187F">
        <w:rPr>
          <w:rFonts w:eastAsia="SimSun"/>
          <w:lang w:eastAsia="ja-JP"/>
        </w:rPr>
        <w:t>.</w:t>
      </w:r>
    </w:p>
    <w:p w14:paraId="439C4B34" w14:textId="77777777" w:rsidR="009A5DE3" w:rsidRDefault="009A5DE3" w:rsidP="008233F3">
      <w:pPr>
        <w:pStyle w:val="Heading1"/>
        <w:keepNext w:val="0"/>
        <w:keepLines w:val="0"/>
        <w:spacing w:before="360"/>
        <w:rPr>
          <w:rFonts w:eastAsia="SimSun"/>
          <w:lang w:eastAsia="ja-JP"/>
        </w:rPr>
      </w:pPr>
      <w:r>
        <w:rPr>
          <w:rFonts w:eastAsia="SimSun"/>
          <w:lang w:eastAsia="ja-JP"/>
        </w:rPr>
        <w:br w:type="page"/>
      </w:r>
    </w:p>
    <w:p w14:paraId="5A610889" w14:textId="5D87F3AE" w:rsidR="00ED6216" w:rsidRPr="008C187F" w:rsidRDefault="00ED6216" w:rsidP="008233F3">
      <w:pPr>
        <w:pStyle w:val="Heading1"/>
        <w:keepNext w:val="0"/>
        <w:keepLines w:val="0"/>
        <w:spacing w:before="360"/>
        <w:rPr>
          <w:rFonts w:eastAsia="SimSun"/>
          <w:lang w:eastAsia="ja-JP"/>
        </w:rPr>
      </w:pPr>
      <w:r w:rsidRPr="008C187F">
        <w:rPr>
          <w:rFonts w:eastAsia="SimSun"/>
          <w:lang w:eastAsia="ja-JP"/>
        </w:rPr>
        <w:lastRenderedPageBreak/>
        <w:t>8</w:t>
      </w:r>
      <w:r w:rsidRPr="008C187F">
        <w:rPr>
          <w:rFonts w:eastAsia="SimSun"/>
          <w:lang w:eastAsia="ja-JP"/>
        </w:rPr>
        <w:tab/>
        <w:t>Participation</w:t>
      </w:r>
    </w:p>
    <w:p w14:paraId="57914676" w14:textId="77777777" w:rsidR="00ED6216" w:rsidRPr="008C187F" w:rsidRDefault="00ED6216" w:rsidP="008233F3">
      <w:pPr>
        <w:rPr>
          <w:rFonts w:eastAsia="SimSun"/>
          <w:lang w:eastAsia="ja-JP"/>
        </w:rPr>
      </w:pPr>
      <w:r w:rsidRPr="008C187F">
        <w:rPr>
          <w:rFonts w:eastAsia="SimSun"/>
          <w:lang w:eastAsia="ja-JP"/>
        </w:rPr>
        <w:t xml:space="preserve">Voir le § 3.1 de la Recommandation UIT-T A.7. </w:t>
      </w:r>
    </w:p>
    <w:p w14:paraId="7B48FCC6" w14:textId="0B576E9A" w:rsidR="00ED6216" w:rsidRPr="008C187F" w:rsidRDefault="002A24A1" w:rsidP="002A24A1">
      <w:pPr>
        <w:rPr>
          <w:rFonts w:eastAsia="SimSun"/>
          <w:lang w:eastAsia="ja-JP"/>
        </w:rPr>
      </w:pPr>
      <w:r w:rsidRPr="008C187F">
        <w:rPr>
          <w:rFonts w:eastAsia="SimSun"/>
          <w:lang w:eastAsia="ja-JP"/>
        </w:rPr>
        <w:t>Toute personne issue d'un pays membre de l'UIT et qui souhaite contribuer activement aux travaux peut participer aux travaux du Groupe spécialisé</w:t>
      </w:r>
      <w:r w:rsidR="00ED6216" w:rsidRPr="008C187F">
        <w:rPr>
          <w:rFonts w:eastAsia="SimSun"/>
          <w:lang w:eastAsia="ja-JP"/>
        </w:rPr>
        <w:t xml:space="preserve">. </w:t>
      </w:r>
      <w:r w:rsidR="006C0932" w:rsidRPr="008C187F">
        <w:rPr>
          <w:rFonts w:eastAsia="SimSun"/>
          <w:lang w:eastAsia="ja-JP"/>
        </w:rPr>
        <w:t>Il peut s'agir de personnes qui sont aussi membres d'organisations internationales, régionales ou nationales.</w:t>
      </w:r>
    </w:p>
    <w:p w14:paraId="3A1624F3" w14:textId="723458B3" w:rsidR="00ED6216" w:rsidRPr="008C187F" w:rsidRDefault="006C0932" w:rsidP="008233F3">
      <w:pPr>
        <w:rPr>
          <w:rFonts w:eastAsia="SimSun"/>
          <w:lang w:eastAsia="ja-JP"/>
        </w:rPr>
      </w:pPr>
      <w:r w:rsidRPr="008C187F">
        <w:rPr>
          <w:rFonts w:eastAsia="SimSun"/>
          <w:lang w:eastAsia="ja-JP"/>
        </w:rPr>
        <w:t>En outre, l</w:t>
      </w:r>
      <w:r w:rsidR="00ED6216" w:rsidRPr="008C187F">
        <w:rPr>
          <w:rFonts w:eastAsia="SimSun"/>
          <w:lang w:eastAsia="ja-JP"/>
        </w:rPr>
        <w:t>a liste des participants sera tenue à jour à toutes fins utiles et sera transmise à l'entité de rattachement.</w:t>
      </w:r>
    </w:p>
    <w:p w14:paraId="7E946334" w14:textId="77777777" w:rsidR="00ED6216" w:rsidRPr="008C187F" w:rsidRDefault="00ED6216" w:rsidP="008233F3">
      <w:pPr>
        <w:pStyle w:val="Heading1"/>
        <w:keepNext w:val="0"/>
        <w:keepLines w:val="0"/>
        <w:spacing w:before="360"/>
        <w:rPr>
          <w:rFonts w:eastAsia="SimSun"/>
          <w:lang w:eastAsia="ja-JP"/>
        </w:rPr>
      </w:pPr>
      <w:r w:rsidRPr="008C187F">
        <w:rPr>
          <w:rFonts w:eastAsia="SimSun"/>
          <w:lang w:eastAsia="ja-JP"/>
        </w:rPr>
        <w:t>9</w:t>
      </w:r>
      <w:r w:rsidRPr="008C187F">
        <w:rPr>
          <w:rFonts w:eastAsia="SimSun"/>
          <w:lang w:eastAsia="ja-JP"/>
        </w:rPr>
        <w:tab/>
        <w:t xml:space="preserve">Appui administratif </w:t>
      </w:r>
    </w:p>
    <w:p w14:paraId="1DAEB56F" w14:textId="355E6E7C" w:rsidR="00ED6216" w:rsidRPr="008C187F" w:rsidRDefault="002A24A1" w:rsidP="008233F3">
      <w:pPr>
        <w:rPr>
          <w:rFonts w:eastAsia="SimSun"/>
          <w:lang w:eastAsia="ja-JP"/>
        </w:rPr>
      </w:pPr>
      <w:r w:rsidRPr="008C187F">
        <w:rPr>
          <w:rFonts w:eastAsia="SimSun"/>
          <w:lang w:eastAsia="ja-JP"/>
        </w:rPr>
        <w:t xml:space="preserve">Les dispositions du </w:t>
      </w:r>
      <w:r w:rsidR="00ED6216" w:rsidRPr="008C187F">
        <w:rPr>
          <w:rFonts w:eastAsia="SimSun"/>
          <w:lang w:eastAsia="ja-JP"/>
        </w:rPr>
        <w:t>§ 5 de la Recommandation UIT-T A.7</w:t>
      </w:r>
      <w:r w:rsidRPr="008C187F">
        <w:rPr>
          <w:rFonts w:eastAsia="SimSun"/>
          <w:lang w:eastAsia="ja-JP"/>
        </w:rPr>
        <w:t xml:space="preserve"> s'appliquent</w:t>
      </w:r>
      <w:r w:rsidR="00ED6216" w:rsidRPr="008C187F">
        <w:rPr>
          <w:rFonts w:eastAsia="SimSun"/>
          <w:lang w:eastAsia="ja-JP"/>
        </w:rPr>
        <w:t>.</w:t>
      </w:r>
    </w:p>
    <w:p w14:paraId="52731A65" w14:textId="77777777" w:rsidR="00ED6216" w:rsidRPr="008C187F" w:rsidRDefault="00ED6216" w:rsidP="008233F3">
      <w:pPr>
        <w:pStyle w:val="Heading1"/>
        <w:keepNext w:val="0"/>
        <w:keepLines w:val="0"/>
        <w:spacing w:before="360"/>
        <w:rPr>
          <w:rFonts w:eastAsia="SimSun"/>
          <w:lang w:eastAsia="ja-JP"/>
        </w:rPr>
      </w:pPr>
      <w:r w:rsidRPr="008C187F">
        <w:rPr>
          <w:rFonts w:eastAsia="SimSun"/>
          <w:lang w:eastAsia="ja-JP"/>
        </w:rPr>
        <w:t>10</w:t>
      </w:r>
      <w:r w:rsidRPr="008C187F">
        <w:rPr>
          <w:rFonts w:eastAsia="SimSun"/>
          <w:lang w:eastAsia="ja-JP"/>
        </w:rPr>
        <w:tab/>
        <w:t>Aspects financiers généraux</w:t>
      </w:r>
    </w:p>
    <w:p w14:paraId="5F7EFD26" w14:textId="76A8B483" w:rsidR="002A24A1" w:rsidRPr="008C187F" w:rsidRDefault="002A24A1" w:rsidP="008233F3">
      <w:pPr>
        <w:rPr>
          <w:rFonts w:eastAsia="SimSun"/>
          <w:lang w:eastAsia="ja-JP"/>
        </w:rPr>
      </w:pPr>
      <w:r w:rsidRPr="008C187F">
        <w:rPr>
          <w:rFonts w:eastAsia="SimSun"/>
          <w:lang w:eastAsia="ja-JP"/>
        </w:rPr>
        <w:t xml:space="preserve">Le Groupe </w:t>
      </w:r>
      <w:r w:rsidR="00ED6216" w:rsidRPr="008C187F">
        <w:rPr>
          <w:rFonts w:eastAsia="SimSun"/>
          <w:lang w:eastAsia="ja-JP"/>
        </w:rPr>
        <w:t xml:space="preserve">FG-AI4NDM </w:t>
      </w:r>
      <w:r w:rsidRPr="008C187F">
        <w:rPr>
          <w:rFonts w:eastAsia="SimSun"/>
          <w:lang w:eastAsia="ja-JP"/>
        </w:rPr>
        <w:t>suivra les dispositions du § 4 de la Recommandation UIT-T A.7 concern</w:t>
      </w:r>
      <w:r w:rsidR="00FE5E87" w:rsidRPr="008C187F">
        <w:rPr>
          <w:rFonts w:eastAsia="SimSun"/>
          <w:lang w:eastAsia="ja-JP"/>
        </w:rPr>
        <w:t>ant</w:t>
      </w:r>
      <w:r w:rsidRPr="008C187F">
        <w:rPr>
          <w:rFonts w:eastAsia="SimSun"/>
          <w:lang w:eastAsia="ja-JP"/>
        </w:rPr>
        <w:t xml:space="preserve"> le financement des groupes spécialisés et de leurs réunions et du § 10.2 de la Recommandation</w:t>
      </w:r>
      <w:r w:rsidR="00BF28B1" w:rsidRPr="008C187F">
        <w:rPr>
          <w:rFonts w:eastAsia="SimSun"/>
          <w:lang w:eastAsia="ja-JP"/>
        </w:rPr>
        <w:t> </w:t>
      </w:r>
      <w:r w:rsidRPr="008C187F">
        <w:rPr>
          <w:rFonts w:eastAsia="SimSun"/>
          <w:lang w:eastAsia="ja-JP"/>
        </w:rPr>
        <w:t>UIT</w:t>
      </w:r>
      <w:r w:rsidR="00BF28B1" w:rsidRPr="008C187F">
        <w:rPr>
          <w:rFonts w:eastAsia="SimSun"/>
          <w:lang w:eastAsia="ja-JP"/>
        </w:rPr>
        <w:noBreakHyphen/>
      </w:r>
      <w:r w:rsidRPr="008C187F">
        <w:rPr>
          <w:rFonts w:eastAsia="SimSun"/>
          <w:lang w:eastAsia="ja-JP"/>
        </w:rPr>
        <w:t>T</w:t>
      </w:r>
      <w:r w:rsidR="00BF28B1" w:rsidRPr="008C187F">
        <w:rPr>
          <w:rFonts w:eastAsia="SimSun"/>
          <w:lang w:eastAsia="ja-JP"/>
        </w:rPr>
        <w:t> </w:t>
      </w:r>
      <w:r w:rsidRPr="008C187F">
        <w:rPr>
          <w:rFonts w:eastAsia="SimSun"/>
          <w:lang w:eastAsia="ja-JP"/>
        </w:rPr>
        <w:t>A.7 concern</w:t>
      </w:r>
      <w:r w:rsidR="00FE5E87" w:rsidRPr="008C187F">
        <w:rPr>
          <w:rFonts w:eastAsia="SimSun"/>
          <w:lang w:eastAsia="ja-JP"/>
        </w:rPr>
        <w:t>ant</w:t>
      </w:r>
      <w:r w:rsidRPr="008C187F">
        <w:rPr>
          <w:rFonts w:eastAsia="SimSun"/>
          <w:lang w:eastAsia="ja-JP"/>
        </w:rPr>
        <w:t xml:space="preserve"> l'impression et la diffusion des produits attendus.</w:t>
      </w:r>
    </w:p>
    <w:p w14:paraId="3B2DA795" w14:textId="77777777" w:rsidR="00ED6216" w:rsidRPr="008C187F" w:rsidRDefault="00ED6216" w:rsidP="008233F3">
      <w:pPr>
        <w:pStyle w:val="Heading1"/>
        <w:keepNext w:val="0"/>
        <w:keepLines w:val="0"/>
        <w:spacing w:before="360"/>
        <w:rPr>
          <w:rFonts w:eastAsia="SimSun"/>
          <w:lang w:eastAsia="ja-JP"/>
        </w:rPr>
      </w:pPr>
      <w:r w:rsidRPr="008C187F">
        <w:rPr>
          <w:rFonts w:eastAsia="SimSun"/>
          <w:lang w:eastAsia="ja-JP"/>
        </w:rPr>
        <w:t>11</w:t>
      </w:r>
      <w:r w:rsidRPr="008C187F">
        <w:rPr>
          <w:rFonts w:eastAsia="SimSun"/>
          <w:lang w:eastAsia="ja-JP"/>
        </w:rPr>
        <w:tab/>
        <w:t>Réunions</w:t>
      </w:r>
    </w:p>
    <w:p w14:paraId="6182DF56" w14:textId="52E8CE6B" w:rsidR="00ED6216" w:rsidRPr="008C187F" w:rsidRDefault="00ED6216" w:rsidP="008233F3">
      <w:pPr>
        <w:rPr>
          <w:rFonts w:eastAsia="SimSun"/>
          <w:lang w:eastAsia="ja-JP"/>
        </w:rPr>
      </w:pPr>
      <w:r w:rsidRPr="008C187F">
        <w:t xml:space="preserve">Le Groupe </w:t>
      </w:r>
      <w:r w:rsidR="002A24A1" w:rsidRPr="008C187F">
        <w:rPr>
          <w:rFonts w:eastAsia="SimSun"/>
          <w:lang w:eastAsia="ja-JP"/>
        </w:rPr>
        <w:t xml:space="preserve">FG-AI4NDM </w:t>
      </w:r>
      <w:r w:rsidRPr="008C187F">
        <w:t xml:space="preserve">tiendra des réunions régulières. </w:t>
      </w:r>
      <w:r w:rsidRPr="008C187F">
        <w:rPr>
          <w:rFonts w:eastAsia="SimSun"/>
          <w:lang w:eastAsia="ja-JP"/>
        </w:rPr>
        <w:t xml:space="preserve">La fréquence et le lieu des réunions seront déterminés par l'équipe de direction du Groupe spécialisé. Le calendrier général des réunions sera annoncé après l'approbation du mandat. </w:t>
      </w:r>
    </w:p>
    <w:p w14:paraId="74BEC8C5" w14:textId="77777777" w:rsidR="00ED6216" w:rsidRPr="008C187F" w:rsidRDefault="00ED6216" w:rsidP="008233F3">
      <w:pPr>
        <w:rPr>
          <w:rFonts w:eastAsia="SimSun"/>
          <w:lang w:eastAsia="ja-JP"/>
        </w:rPr>
      </w:pPr>
      <w:r w:rsidRPr="008C187F">
        <w:rPr>
          <w:rFonts w:eastAsia="SimSun"/>
          <w:lang w:eastAsia="ja-JP"/>
        </w:rPr>
        <w:t>Le Groupe spécialisé utilisera les outils de collaboration à distance dans la mesure du possible, et la colocalisation avec des réunions existantes des Commissions d'études de l'UIT est souhaitée.</w:t>
      </w:r>
    </w:p>
    <w:p w14:paraId="5629284C" w14:textId="77777777" w:rsidR="00ED6216" w:rsidRPr="008C187F" w:rsidRDefault="00ED6216" w:rsidP="008233F3">
      <w:pPr>
        <w:rPr>
          <w:rFonts w:eastAsia="SimSun"/>
          <w:lang w:eastAsia="ja-JP"/>
        </w:rPr>
      </w:pPr>
      <w:r w:rsidRPr="008C187F">
        <w:rPr>
          <w:rFonts w:eastAsia="SimSun"/>
          <w:lang w:eastAsia="ja-JP"/>
        </w:rPr>
        <w:t>Les dates des réunions seront annoncées par voie électronique (courrier électronique, site web, etc.) au moins quatre semaines à l'avance.</w:t>
      </w:r>
    </w:p>
    <w:p w14:paraId="03FBD9D5" w14:textId="77777777" w:rsidR="00ED6216" w:rsidRPr="008C187F" w:rsidRDefault="00ED6216" w:rsidP="008233F3">
      <w:pPr>
        <w:pStyle w:val="Heading1"/>
        <w:keepNext w:val="0"/>
        <w:keepLines w:val="0"/>
        <w:spacing w:before="360"/>
        <w:rPr>
          <w:rFonts w:eastAsia="SimSun"/>
          <w:lang w:eastAsia="ja-JP"/>
        </w:rPr>
      </w:pPr>
      <w:r w:rsidRPr="008C187F">
        <w:rPr>
          <w:rFonts w:eastAsia="SimSun"/>
          <w:lang w:eastAsia="ja-JP"/>
        </w:rPr>
        <w:t>12</w:t>
      </w:r>
      <w:r w:rsidRPr="008C187F">
        <w:rPr>
          <w:rFonts w:eastAsia="SimSun"/>
          <w:lang w:eastAsia="ja-JP"/>
        </w:rPr>
        <w:tab/>
        <w:t>Contributions techniques</w:t>
      </w:r>
    </w:p>
    <w:p w14:paraId="6FE07B45" w14:textId="77777777" w:rsidR="00ED6216" w:rsidRPr="008C187F" w:rsidRDefault="00ED6216" w:rsidP="008233F3">
      <w:pPr>
        <w:rPr>
          <w:rFonts w:eastAsia="SimSun"/>
          <w:lang w:eastAsia="ja-JP"/>
        </w:rPr>
      </w:pPr>
      <w:r w:rsidRPr="008C187F">
        <w:rPr>
          <w:rFonts w:eastAsia="SimSun"/>
          <w:lang w:eastAsia="ja-JP"/>
        </w:rPr>
        <w:t>Voir le § 8 de la Recommandation UIT-T A.7.</w:t>
      </w:r>
    </w:p>
    <w:p w14:paraId="342D10B4" w14:textId="0074EFFF" w:rsidR="002A24A1" w:rsidRPr="008C187F" w:rsidRDefault="002A24A1" w:rsidP="008233F3">
      <w:pPr>
        <w:rPr>
          <w:rFonts w:eastAsia="SimSun"/>
          <w:lang w:eastAsia="ja-JP"/>
        </w:rPr>
      </w:pPr>
      <w:r w:rsidRPr="008C187F">
        <w:rPr>
          <w:rFonts w:eastAsia="SimSun"/>
          <w:lang w:eastAsia="ja-JP"/>
        </w:rPr>
        <w:t>Tout participant peut soumettre une contribution technique directement au Groupe FG-AI4NDM, conformément au calendrier adopté. On trouvera sur le site web de l'UIT-T un gabarit à utiliser pour les contributions. Les méthodes électroniques de transfert des documents doivent être utilisées autant que possible.</w:t>
      </w:r>
    </w:p>
    <w:p w14:paraId="3F382613" w14:textId="77777777" w:rsidR="00ED6216" w:rsidRPr="008C187F" w:rsidRDefault="00ED6216" w:rsidP="008233F3">
      <w:pPr>
        <w:pStyle w:val="Heading1"/>
        <w:keepNext w:val="0"/>
        <w:keepLines w:val="0"/>
        <w:spacing w:before="360"/>
        <w:rPr>
          <w:rFonts w:eastAsia="SimSun"/>
          <w:lang w:eastAsia="ja-JP"/>
        </w:rPr>
      </w:pPr>
      <w:r w:rsidRPr="008C187F">
        <w:rPr>
          <w:rFonts w:eastAsia="SimSun"/>
          <w:lang w:eastAsia="ja-JP"/>
        </w:rPr>
        <w:t>13</w:t>
      </w:r>
      <w:r w:rsidRPr="008C187F">
        <w:rPr>
          <w:rFonts w:eastAsia="SimSun"/>
          <w:lang w:eastAsia="ja-JP"/>
        </w:rPr>
        <w:tab/>
        <w:t>Langue de travail</w:t>
      </w:r>
    </w:p>
    <w:p w14:paraId="68197AD2" w14:textId="77777777" w:rsidR="00ED6216" w:rsidRPr="008C187F" w:rsidRDefault="00ED6216" w:rsidP="008233F3">
      <w:pPr>
        <w:rPr>
          <w:rFonts w:eastAsia="SimSun"/>
          <w:lang w:eastAsia="ja-JP"/>
        </w:rPr>
      </w:pPr>
      <w:r w:rsidRPr="008C187F">
        <w:rPr>
          <w:rFonts w:eastAsia="SimSun"/>
          <w:lang w:eastAsia="ja-JP"/>
        </w:rPr>
        <w:t>La langue de travail est l'anglais.</w:t>
      </w:r>
    </w:p>
    <w:p w14:paraId="3489B4EA" w14:textId="2183AC32" w:rsidR="00ED6216" w:rsidRPr="008C187F" w:rsidRDefault="00ED6216" w:rsidP="008233F3">
      <w:pPr>
        <w:pStyle w:val="Heading1"/>
        <w:keepNext w:val="0"/>
        <w:keepLines w:val="0"/>
        <w:spacing w:before="360"/>
        <w:rPr>
          <w:rFonts w:eastAsia="SimSun"/>
          <w:lang w:eastAsia="ja-JP"/>
        </w:rPr>
      </w:pPr>
      <w:r w:rsidRPr="008C187F">
        <w:rPr>
          <w:rFonts w:eastAsia="SimSun"/>
          <w:lang w:eastAsia="ja-JP"/>
        </w:rPr>
        <w:t>14</w:t>
      </w:r>
      <w:r w:rsidRPr="008C187F">
        <w:rPr>
          <w:rFonts w:eastAsia="SimSun"/>
          <w:lang w:eastAsia="ja-JP"/>
        </w:rPr>
        <w:tab/>
        <w:t xml:space="preserve">Approbation des </w:t>
      </w:r>
      <w:r w:rsidR="00756F0C" w:rsidRPr="008C187F">
        <w:rPr>
          <w:rFonts w:eastAsia="SimSun"/>
          <w:lang w:eastAsia="ja-JP"/>
        </w:rPr>
        <w:t>produits finals</w:t>
      </w:r>
    </w:p>
    <w:p w14:paraId="21EE3AB1" w14:textId="0157AB64" w:rsidR="00ED6216" w:rsidRPr="008C187F" w:rsidRDefault="00ED6216" w:rsidP="008233F3">
      <w:pPr>
        <w:rPr>
          <w:rFonts w:eastAsia="SimSun"/>
          <w:lang w:eastAsia="ja-JP"/>
        </w:rPr>
      </w:pPr>
      <w:r w:rsidRPr="008C187F">
        <w:rPr>
          <w:rFonts w:eastAsia="SimSun"/>
          <w:lang w:eastAsia="ja-JP"/>
        </w:rPr>
        <w:t xml:space="preserve">Les </w:t>
      </w:r>
      <w:r w:rsidR="00756F0C" w:rsidRPr="008C187F">
        <w:rPr>
          <w:rFonts w:eastAsia="SimSun"/>
          <w:lang w:eastAsia="ja-JP"/>
        </w:rPr>
        <w:t xml:space="preserve">produits finals </w:t>
      </w:r>
      <w:r w:rsidRPr="008C187F">
        <w:rPr>
          <w:rFonts w:eastAsia="SimSun"/>
          <w:lang w:eastAsia="ja-JP"/>
        </w:rPr>
        <w:t>doivent être approuvés par consensus.</w:t>
      </w:r>
    </w:p>
    <w:p w14:paraId="7C1202E1" w14:textId="77777777" w:rsidR="009A5DE3" w:rsidRDefault="009A5DE3" w:rsidP="008233F3">
      <w:pPr>
        <w:pStyle w:val="Heading1"/>
        <w:keepNext w:val="0"/>
        <w:keepLines w:val="0"/>
        <w:spacing w:before="360"/>
        <w:rPr>
          <w:rFonts w:eastAsia="SimSun"/>
          <w:lang w:eastAsia="ja-JP"/>
        </w:rPr>
      </w:pPr>
      <w:r>
        <w:rPr>
          <w:rFonts w:eastAsia="SimSun"/>
          <w:lang w:eastAsia="ja-JP"/>
        </w:rPr>
        <w:br w:type="page"/>
      </w:r>
    </w:p>
    <w:p w14:paraId="4B4E6F4B" w14:textId="38750372" w:rsidR="00ED6216" w:rsidRPr="008C187F" w:rsidRDefault="00ED6216" w:rsidP="008233F3">
      <w:pPr>
        <w:pStyle w:val="Heading1"/>
        <w:keepNext w:val="0"/>
        <w:keepLines w:val="0"/>
        <w:spacing w:before="360"/>
        <w:rPr>
          <w:rFonts w:eastAsia="SimSun"/>
          <w:lang w:eastAsia="ja-JP"/>
        </w:rPr>
      </w:pPr>
      <w:r w:rsidRPr="008C187F">
        <w:rPr>
          <w:rFonts w:eastAsia="SimSun"/>
          <w:lang w:eastAsia="ja-JP"/>
        </w:rPr>
        <w:lastRenderedPageBreak/>
        <w:t>15</w:t>
      </w:r>
      <w:r w:rsidRPr="008C187F">
        <w:rPr>
          <w:rFonts w:eastAsia="SimSun"/>
          <w:lang w:eastAsia="ja-JP"/>
        </w:rPr>
        <w:tab/>
        <w:t>Lignes directrices de travail</w:t>
      </w:r>
    </w:p>
    <w:p w14:paraId="1B1065AB" w14:textId="77777777" w:rsidR="00ED6216" w:rsidRPr="008C187F" w:rsidRDefault="00ED6216" w:rsidP="008233F3">
      <w:pPr>
        <w:rPr>
          <w:rFonts w:eastAsia="SimSun"/>
          <w:lang w:eastAsia="ja-JP"/>
        </w:rPr>
      </w:pPr>
      <w:r w:rsidRPr="008C187F">
        <w:rPr>
          <w:rFonts w:eastAsia="SimSun"/>
          <w:lang w:eastAsia="ja-JP"/>
        </w:rPr>
        <w:t xml:space="preserve">Les méthodes de travail seront conformes à celles des réunions des Groupes du Rapporteur. </w:t>
      </w:r>
    </w:p>
    <w:p w14:paraId="5F19074B" w14:textId="78F158C5" w:rsidR="00ED6216" w:rsidRPr="008C187F" w:rsidRDefault="00ED6216" w:rsidP="008233F3">
      <w:r w:rsidRPr="008C187F">
        <w:t xml:space="preserve">Le Groupe </w:t>
      </w:r>
      <w:r w:rsidR="002A24A1" w:rsidRPr="008C187F">
        <w:rPr>
          <w:rFonts w:eastAsia="SimSun"/>
          <w:lang w:eastAsia="ja-JP"/>
        </w:rPr>
        <w:t>FG-AI4NDM</w:t>
      </w:r>
      <w:r w:rsidR="002A24A1" w:rsidRPr="008C187F">
        <w:t xml:space="preserve"> </w:t>
      </w:r>
      <w:r w:rsidRPr="008C187F">
        <w:t xml:space="preserve">communiquera régulièrement à son entité de rattachement les projets de documents finals et autres résultats, afin d'assurer un transfert efficace des </w:t>
      </w:r>
      <w:r w:rsidR="00756F0C" w:rsidRPr="008C187F">
        <w:t xml:space="preserve">produits finals </w:t>
      </w:r>
      <w:r w:rsidRPr="008C187F">
        <w:t xml:space="preserve">et de rationaliser </w:t>
      </w:r>
      <w:r w:rsidR="002A24A1" w:rsidRPr="008C187F">
        <w:t xml:space="preserve">les activités </w:t>
      </w:r>
      <w:r w:rsidRPr="008C187F">
        <w:t>future</w:t>
      </w:r>
      <w:r w:rsidR="002A24A1" w:rsidRPr="008C187F">
        <w:t>s</w:t>
      </w:r>
      <w:r w:rsidRPr="008C187F">
        <w:t xml:space="preserve"> (voir l'Appendice I de la Recommandation UIT-T A.7).</w:t>
      </w:r>
    </w:p>
    <w:p w14:paraId="5E39AE99" w14:textId="77777777" w:rsidR="00ED6216" w:rsidRPr="008C187F" w:rsidRDefault="00ED6216" w:rsidP="008233F3">
      <w:pPr>
        <w:rPr>
          <w:rFonts w:eastAsia="SimSun"/>
          <w:lang w:eastAsia="ja-JP"/>
        </w:rPr>
      </w:pPr>
      <w:r w:rsidRPr="008C187F">
        <w:rPr>
          <w:rFonts w:eastAsia="SimSun"/>
          <w:lang w:eastAsia="ja-JP"/>
        </w:rPr>
        <w:t>Aucune ligne directrice de travail supplémentaire n'est définie.</w:t>
      </w:r>
    </w:p>
    <w:p w14:paraId="65EC0211" w14:textId="77777777" w:rsidR="00ED6216" w:rsidRPr="008C187F" w:rsidRDefault="00ED6216" w:rsidP="008233F3">
      <w:pPr>
        <w:pStyle w:val="Heading1"/>
        <w:keepNext w:val="0"/>
        <w:keepLines w:val="0"/>
        <w:spacing w:before="360"/>
        <w:rPr>
          <w:rFonts w:eastAsia="SimSun"/>
          <w:lang w:eastAsia="ja-JP"/>
        </w:rPr>
      </w:pPr>
      <w:r w:rsidRPr="008C187F">
        <w:rPr>
          <w:rFonts w:eastAsia="SimSun"/>
          <w:lang w:eastAsia="ja-JP"/>
        </w:rPr>
        <w:t>16</w:t>
      </w:r>
      <w:r w:rsidRPr="008C187F">
        <w:rPr>
          <w:rFonts w:eastAsia="SimSun"/>
          <w:lang w:eastAsia="ja-JP"/>
        </w:rPr>
        <w:tab/>
        <w:t xml:space="preserve">Rapports d'activité </w:t>
      </w:r>
    </w:p>
    <w:p w14:paraId="2A1821E4" w14:textId="78F9B34E" w:rsidR="00ED6216" w:rsidRPr="008C187F" w:rsidRDefault="002A24A1" w:rsidP="002A24A1">
      <w:pPr>
        <w:rPr>
          <w:rFonts w:eastAsia="SimSun"/>
          <w:lang w:eastAsia="ja-JP"/>
        </w:rPr>
      </w:pPr>
      <w:r w:rsidRPr="008C187F">
        <w:rPr>
          <w:rFonts w:eastAsia="SimSun"/>
          <w:lang w:eastAsia="ja-JP"/>
        </w:rPr>
        <w:t xml:space="preserve">Des rapports d'activité réguliers seront fournis à chaque réunion de l'entité de rattachement, conformément aux dispositions du </w:t>
      </w:r>
      <w:r w:rsidR="00ED6216" w:rsidRPr="008C187F">
        <w:rPr>
          <w:rFonts w:eastAsia="SimSun"/>
          <w:lang w:eastAsia="ja-JP"/>
        </w:rPr>
        <w:t>§ 11 de la Recommandation UIT-T A.7.</w:t>
      </w:r>
    </w:p>
    <w:p w14:paraId="7AD8E7E3" w14:textId="77777777" w:rsidR="00ED6216" w:rsidRPr="008C187F" w:rsidRDefault="00ED6216" w:rsidP="006C3F0A">
      <w:pPr>
        <w:pStyle w:val="Heading1"/>
        <w:spacing w:before="360"/>
        <w:rPr>
          <w:rFonts w:eastAsia="SimSun"/>
          <w:lang w:eastAsia="ja-JP"/>
        </w:rPr>
      </w:pPr>
      <w:r w:rsidRPr="008C187F">
        <w:rPr>
          <w:rFonts w:eastAsia="SimSun"/>
          <w:lang w:eastAsia="ja-JP"/>
        </w:rPr>
        <w:t>17</w:t>
      </w:r>
      <w:r w:rsidRPr="008C187F">
        <w:rPr>
          <w:rFonts w:eastAsia="SimSun"/>
          <w:lang w:eastAsia="ja-JP"/>
        </w:rPr>
        <w:tab/>
        <w:t>Annonce de la création du Groupe spécialisé</w:t>
      </w:r>
    </w:p>
    <w:p w14:paraId="6E44FB47" w14:textId="1B4E4F52" w:rsidR="00ED6216" w:rsidRPr="008C187F" w:rsidRDefault="00ED6216" w:rsidP="008233F3">
      <w:pPr>
        <w:rPr>
          <w:rFonts w:eastAsia="SimSun"/>
          <w:lang w:eastAsia="ja-JP"/>
        </w:rPr>
      </w:pPr>
      <w:r w:rsidRPr="008C187F">
        <w:rPr>
          <w:rFonts w:eastAsia="SimSun"/>
          <w:lang w:eastAsia="ja-JP"/>
        </w:rPr>
        <w:t xml:space="preserve">La création du Groupe </w:t>
      </w:r>
      <w:r w:rsidR="008C259A" w:rsidRPr="008C187F">
        <w:rPr>
          <w:rFonts w:eastAsia="SimSun"/>
          <w:lang w:eastAsia="ja-JP"/>
        </w:rPr>
        <w:t>FG-AI4NDM</w:t>
      </w:r>
      <w:r w:rsidR="008C259A" w:rsidRPr="008C187F">
        <w:t xml:space="preserve"> </w:t>
      </w:r>
      <w:r w:rsidRPr="008C187F">
        <w:rPr>
          <w:rFonts w:eastAsia="SimSun"/>
          <w:lang w:eastAsia="ja-JP"/>
        </w:rPr>
        <w:t xml:space="preserve">sera annoncée par l'intermédiaire d'une Circulaire du TSB adressée à </w:t>
      </w:r>
      <w:r w:rsidR="008C259A" w:rsidRPr="008C187F">
        <w:rPr>
          <w:rFonts w:eastAsia="SimSun"/>
          <w:lang w:eastAsia="ja-JP"/>
        </w:rPr>
        <w:t xml:space="preserve">tous les </w:t>
      </w:r>
      <w:r w:rsidRPr="008C187F">
        <w:rPr>
          <w:rFonts w:eastAsia="SimSun"/>
          <w:lang w:eastAsia="ja-JP"/>
        </w:rPr>
        <w:t>membres de l'UIT</w:t>
      </w:r>
      <w:r w:rsidR="008C259A" w:rsidRPr="008C187F">
        <w:rPr>
          <w:rFonts w:eastAsia="SimSun"/>
          <w:lang w:eastAsia="ja-JP"/>
        </w:rPr>
        <w:t>.</w:t>
      </w:r>
      <w:r w:rsidRPr="008C187F">
        <w:rPr>
          <w:rFonts w:eastAsia="SimSun"/>
          <w:lang w:eastAsia="ja-JP"/>
        </w:rPr>
        <w:t xml:space="preserve"> </w:t>
      </w:r>
      <w:r w:rsidR="008C259A" w:rsidRPr="008C187F">
        <w:rPr>
          <w:rFonts w:eastAsia="SimSun"/>
          <w:lang w:eastAsia="ja-JP"/>
        </w:rPr>
        <w:t xml:space="preserve">On pourra publier un article dans le </w:t>
      </w:r>
      <w:r w:rsidRPr="008C187F">
        <w:rPr>
          <w:rFonts w:eastAsia="SimSun"/>
          <w:lang w:eastAsia="ja-JP"/>
        </w:rPr>
        <w:t xml:space="preserve">bulletin d'actualités de l'UIT-T, </w:t>
      </w:r>
      <w:r w:rsidR="008C259A" w:rsidRPr="008C187F">
        <w:rPr>
          <w:rFonts w:eastAsia="SimSun"/>
          <w:lang w:eastAsia="ja-JP"/>
        </w:rPr>
        <w:t xml:space="preserve">diffuser </w:t>
      </w:r>
      <w:r w:rsidRPr="008C187F">
        <w:rPr>
          <w:rFonts w:eastAsia="SimSun"/>
          <w:lang w:eastAsia="ja-JP"/>
        </w:rPr>
        <w:t xml:space="preserve">des communiqués de presse et </w:t>
      </w:r>
      <w:r w:rsidR="008C259A" w:rsidRPr="008C187F">
        <w:rPr>
          <w:rFonts w:eastAsia="SimSun"/>
          <w:lang w:eastAsia="ja-JP"/>
        </w:rPr>
        <w:t xml:space="preserve">recourir à </w:t>
      </w:r>
      <w:r w:rsidRPr="008C187F">
        <w:rPr>
          <w:rFonts w:eastAsia="SimSun"/>
          <w:lang w:eastAsia="ja-JP"/>
        </w:rPr>
        <w:t xml:space="preserve">d'autres moyens. </w:t>
      </w:r>
    </w:p>
    <w:p w14:paraId="6768D0E5" w14:textId="77777777" w:rsidR="00ED6216" w:rsidRPr="008C187F" w:rsidRDefault="00ED6216" w:rsidP="006C3F0A">
      <w:pPr>
        <w:pStyle w:val="Heading1"/>
        <w:keepNext w:val="0"/>
        <w:keepLines w:val="0"/>
        <w:spacing w:before="360"/>
        <w:rPr>
          <w:rFonts w:eastAsia="SimSun"/>
          <w:lang w:eastAsia="ja-JP"/>
        </w:rPr>
      </w:pPr>
      <w:r w:rsidRPr="008C187F">
        <w:rPr>
          <w:rFonts w:eastAsia="SimSun"/>
          <w:lang w:eastAsia="ja-JP"/>
        </w:rPr>
        <w:t>18</w:t>
      </w:r>
      <w:r w:rsidRPr="008C187F">
        <w:rPr>
          <w:rFonts w:eastAsia="SimSun"/>
          <w:lang w:eastAsia="ja-JP"/>
        </w:rPr>
        <w:tab/>
        <w:t>Échéances et durée des activités du Groupe spécialisé</w:t>
      </w:r>
    </w:p>
    <w:p w14:paraId="3B22D601" w14:textId="353EF340" w:rsidR="00ED6216" w:rsidRPr="008C187F" w:rsidRDefault="00ED6216" w:rsidP="00667EBF">
      <w:pPr>
        <w:rPr>
          <w:rFonts w:eastAsia="SimSun"/>
          <w:lang w:eastAsia="ja-JP"/>
        </w:rPr>
      </w:pPr>
      <w:r w:rsidRPr="008C187F">
        <w:rPr>
          <w:rFonts w:eastAsia="SimSun"/>
          <w:lang w:eastAsia="ja-JP"/>
        </w:rPr>
        <w:t xml:space="preserve">La durée du mandat du Groupe spécialisé est </w:t>
      </w:r>
      <w:r w:rsidR="00667EBF" w:rsidRPr="008C187F">
        <w:rPr>
          <w:rFonts w:eastAsia="SimSun"/>
          <w:lang w:eastAsia="ja-JP"/>
        </w:rPr>
        <w:t xml:space="preserve">d'un </w:t>
      </w:r>
      <w:r w:rsidRPr="008C187F">
        <w:rPr>
          <w:rFonts w:eastAsia="SimSun"/>
          <w:lang w:eastAsia="ja-JP"/>
        </w:rPr>
        <w:t xml:space="preserve">an à compter de la première réunion du Groupe, </w:t>
      </w:r>
      <w:r w:rsidR="00667EBF" w:rsidRPr="008C187F">
        <w:rPr>
          <w:bCs/>
        </w:rPr>
        <w:t xml:space="preserve">avec la possibilité d'une année supplémentaire sous réserve de l'accord de </w:t>
      </w:r>
      <w:r w:rsidR="001B400D" w:rsidRPr="008C187F">
        <w:rPr>
          <w:bCs/>
        </w:rPr>
        <w:t xml:space="preserve">la Commission d'études </w:t>
      </w:r>
      <w:r w:rsidRPr="008C187F">
        <w:rPr>
          <w:rFonts w:eastAsia="SimSun"/>
          <w:lang w:eastAsia="ja-JP"/>
        </w:rPr>
        <w:t xml:space="preserve">(voir UIT-T A.7, § 2.2). </w:t>
      </w:r>
    </w:p>
    <w:p w14:paraId="4278C505" w14:textId="77777777" w:rsidR="00ED6216" w:rsidRPr="008C187F" w:rsidRDefault="00ED6216" w:rsidP="006C3F0A">
      <w:pPr>
        <w:pStyle w:val="Heading1"/>
        <w:keepNext w:val="0"/>
        <w:keepLines w:val="0"/>
        <w:spacing w:before="360"/>
        <w:rPr>
          <w:rFonts w:eastAsia="SimSun"/>
          <w:lang w:eastAsia="ja-JP"/>
        </w:rPr>
      </w:pPr>
      <w:r w:rsidRPr="008C187F">
        <w:rPr>
          <w:rFonts w:eastAsia="SimSun"/>
          <w:lang w:eastAsia="ja-JP"/>
        </w:rPr>
        <w:t>19</w:t>
      </w:r>
      <w:r w:rsidRPr="008C187F">
        <w:rPr>
          <w:rFonts w:eastAsia="SimSun"/>
          <w:lang w:eastAsia="ja-JP"/>
        </w:rPr>
        <w:tab/>
        <w:t xml:space="preserve">Politique en matière de brevets </w:t>
      </w:r>
    </w:p>
    <w:p w14:paraId="2E2B36CC" w14:textId="1BF8A042" w:rsidR="00ED6216" w:rsidRDefault="00ED6216" w:rsidP="008233F3">
      <w:pPr>
        <w:rPr>
          <w:rFonts w:eastAsia="SimSun"/>
          <w:lang w:eastAsia="ja-JP"/>
        </w:rPr>
      </w:pPr>
      <w:r w:rsidRPr="008C187F">
        <w:rPr>
          <w:rFonts w:eastAsia="SimSun"/>
          <w:lang w:eastAsia="ja-JP"/>
        </w:rPr>
        <w:t>Voir le § 9 de la Recommandation UIT-T A.7.</w:t>
      </w:r>
    </w:p>
    <w:p w14:paraId="2C28C1CB" w14:textId="77777777" w:rsidR="009A5DE3" w:rsidRPr="008C187F" w:rsidRDefault="009A5DE3" w:rsidP="008233F3">
      <w:pPr>
        <w:rPr>
          <w:rFonts w:eastAsia="SimSun"/>
          <w:lang w:eastAsia="ja-JP"/>
        </w:rPr>
      </w:pPr>
    </w:p>
    <w:p w14:paraId="151B11BC" w14:textId="77777777" w:rsidR="00ED6216" w:rsidRPr="008C187F" w:rsidRDefault="00ED6216" w:rsidP="00BF28B1">
      <w:pPr>
        <w:spacing w:before="360"/>
        <w:jc w:val="center"/>
      </w:pPr>
      <w:r w:rsidRPr="008C187F">
        <w:t>______________</w:t>
      </w:r>
    </w:p>
    <w:sectPr w:rsidR="00ED6216" w:rsidRPr="008C187F" w:rsidSect="00A15179">
      <w:headerReference w:type="default" r:id="rId22"/>
      <w:footerReference w:type="first" r:id="rId23"/>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0BD04" w14:textId="77777777" w:rsidR="00FD4512" w:rsidRDefault="00FD4512">
      <w:r>
        <w:separator/>
      </w:r>
    </w:p>
  </w:endnote>
  <w:endnote w:type="continuationSeparator" w:id="0">
    <w:p w14:paraId="566C9FD5" w14:textId="77777777" w:rsidR="00FD4512" w:rsidRDefault="00FD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915D1" w14:textId="504FAE45" w:rsidR="00FD4512" w:rsidRPr="00BD528C" w:rsidRDefault="00BD528C" w:rsidP="00BD528C">
    <w:pPr>
      <w:pStyle w:val="FirstFooter"/>
      <w:ind w:left="-397" w:right="-397"/>
      <w:jc w:val="center"/>
    </w:pPr>
    <w:r w:rsidRPr="00C24502">
      <w:rPr>
        <w:color w:val="0070C0"/>
        <w:szCs w:val="18"/>
      </w:rPr>
      <w:t xml:space="preserve">International </w:t>
    </w:r>
    <w:proofErr w:type="spellStart"/>
    <w:r w:rsidRPr="00C24502">
      <w:rPr>
        <w:color w:val="0070C0"/>
        <w:szCs w:val="18"/>
      </w:rPr>
      <w:t>Telecommunication</w:t>
    </w:r>
    <w:proofErr w:type="spellEnd"/>
    <w:r w:rsidRPr="00C24502">
      <w:rPr>
        <w:color w:val="0070C0"/>
        <w:szCs w:val="18"/>
      </w:rPr>
      <w:t xml:space="preserve"> Union • Place des Nations • CH-1211 Geneva 20 • </w:t>
    </w:r>
    <w:proofErr w:type="spellStart"/>
    <w:r w:rsidRPr="00C24502">
      <w:rPr>
        <w:color w:val="0070C0"/>
        <w:szCs w:val="18"/>
      </w:rPr>
      <w:t>Switzerland</w:t>
    </w:r>
    <w:proofErr w:type="spellEnd"/>
    <w:r w:rsidRPr="00C24502">
      <w:rPr>
        <w:color w:val="0070C0"/>
        <w:szCs w:val="18"/>
      </w:rPr>
      <w:br/>
    </w:r>
    <w:proofErr w:type="gramStart"/>
    <w:r w:rsidRPr="00C24502">
      <w:rPr>
        <w:color w:val="0070C0"/>
        <w:szCs w:val="18"/>
      </w:rPr>
      <w:t>Tel:</w:t>
    </w:r>
    <w:proofErr w:type="gramEnd"/>
    <w:r w:rsidRPr="00C24502">
      <w:rPr>
        <w:color w:val="0070C0"/>
        <w:szCs w:val="18"/>
      </w:rPr>
      <w:t xml:space="preserve"> +41 22 730 5111 • Fax: +41 22 733 7256 • E-mail: </w:t>
    </w:r>
    <w:hyperlink r:id="rId1" w:history="1">
      <w:r w:rsidRPr="00C24502">
        <w:rPr>
          <w:rStyle w:val="Hyperlink"/>
          <w:color w:val="0070C0"/>
          <w:szCs w:val="18"/>
        </w:rPr>
        <w:t>itumail@itu.int</w:t>
      </w:r>
    </w:hyperlink>
    <w:r w:rsidRPr="00C24502">
      <w:rPr>
        <w:color w:val="0070C0"/>
        <w:szCs w:val="18"/>
      </w:rPr>
      <w:t xml:space="preserve"> • </w:t>
    </w:r>
    <w:hyperlink r:id="rId2" w:history="1">
      <w:r w:rsidRPr="00C24502">
        <w:rPr>
          <w:rStyle w:val="Hyperlink"/>
          <w:color w:val="0070C0"/>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54DB9" w14:textId="77777777" w:rsidR="00FD4512" w:rsidRDefault="00FD4512">
      <w:r>
        <w:t>____________________</w:t>
      </w:r>
    </w:p>
  </w:footnote>
  <w:footnote w:type="continuationSeparator" w:id="0">
    <w:p w14:paraId="0A3DEB08" w14:textId="77777777" w:rsidR="00FD4512" w:rsidRDefault="00FD4512">
      <w:r>
        <w:continuationSeparator/>
      </w:r>
    </w:p>
  </w:footnote>
  <w:footnote w:id="1">
    <w:p w14:paraId="1A568DDE" w14:textId="014C3E17" w:rsidR="00FD4512" w:rsidRPr="009A4179" w:rsidRDefault="00FD4512" w:rsidP="006E72F2">
      <w:pPr>
        <w:tabs>
          <w:tab w:val="clear" w:pos="794"/>
          <w:tab w:val="clear" w:pos="1191"/>
          <w:tab w:val="clear" w:pos="1588"/>
          <w:tab w:val="clear" w:pos="1985"/>
          <w:tab w:val="left" w:pos="255"/>
        </w:tabs>
        <w:spacing w:before="0"/>
        <w:ind w:left="255" w:hanging="255"/>
        <w:rPr>
          <w:color w:val="000000"/>
          <w:sz w:val="20"/>
          <w:lang w:val="en-US"/>
        </w:rPr>
      </w:pPr>
      <w:r w:rsidRPr="00786BF8">
        <w:rPr>
          <w:rStyle w:val="FootnoteReference"/>
          <w:sz w:val="18"/>
          <w:szCs w:val="18"/>
        </w:rPr>
        <w:footnoteRef/>
      </w:r>
      <w:r w:rsidRPr="004C5873">
        <w:rPr>
          <w:rStyle w:val="FootnoteReference"/>
        </w:rPr>
        <w:tab/>
      </w:r>
      <w:hyperlink r:id="rId1" w:history="1">
        <w:bookmarkStart w:id="2" w:name="lt_pId209"/>
        <w:r w:rsidRPr="009A4179">
          <w:rPr>
            <w:rStyle w:val="Hyperlink"/>
            <w:sz w:val="20"/>
            <w:lang w:val="en-US"/>
          </w:rPr>
          <w:t>https://www.unisdr.org/files/1037_hyogoframeworkforactionenglish.pdf</w:t>
        </w:r>
        <w:bookmarkEnd w:id="2"/>
      </w:hyperlink>
      <w:r w:rsidR="00786BF8">
        <w:rPr>
          <w:color w:val="000000"/>
          <w:sz w:val="20"/>
          <w:lang w:val="en-US"/>
        </w:rPr>
        <w:t>.</w:t>
      </w:r>
    </w:p>
  </w:footnote>
  <w:footnote w:id="2">
    <w:p w14:paraId="0C2523E0" w14:textId="4FE3D399" w:rsidR="00FD4512" w:rsidRPr="007B490A" w:rsidRDefault="00FD4512" w:rsidP="00C50535">
      <w:pPr>
        <w:tabs>
          <w:tab w:val="clear" w:pos="794"/>
          <w:tab w:val="clear" w:pos="1191"/>
          <w:tab w:val="clear" w:pos="1588"/>
          <w:tab w:val="clear" w:pos="1985"/>
          <w:tab w:val="left" w:pos="255"/>
        </w:tabs>
        <w:spacing w:before="0"/>
        <w:ind w:left="255" w:hanging="255"/>
        <w:rPr>
          <w:sz w:val="20"/>
        </w:rPr>
      </w:pPr>
      <w:r w:rsidRPr="00786BF8">
        <w:rPr>
          <w:rStyle w:val="FootnoteReference"/>
          <w:sz w:val="18"/>
          <w:szCs w:val="18"/>
        </w:rPr>
        <w:footnoteRef/>
      </w:r>
      <w:r w:rsidRPr="004C5873">
        <w:rPr>
          <w:rStyle w:val="FootnoteReference"/>
        </w:rPr>
        <w:tab/>
      </w:r>
      <w:r w:rsidRPr="00242650">
        <w:rPr>
          <w:sz w:val="20"/>
        </w:rPr>
        <w:t xml:space="preserve">Nous </w:t>
      </w:r>
      <w:r>
        <w:rPr>
          <w:sz w:val="20"/>
        </w:rPr>
        <w:t xml:space="preserve">admettons </w:t>
      </w:r>
      <w:r w:rsidRPr="00242650">
        <w:rPr>
          <w:sz w:val="20"/>
        </w:rPr>
        <w:t>qu</w:t>
      </w:r>
      <w:r>
        <w:rPr>
          <w:sz w:val="20"/>
        </w:rPr>
        <w:t xml:space="preserve">e </w:t>
      </w:r>
      <w:r w:rsidRPr="00242650">
        <w:rPr>
          <w:sz w:val="20"/>
        </w:rPr>
        <w:t>l'</w:t>
      </w:r>
      <w:r w:rsidR="00377E08">
        <w:rPr>
          <w:sz w:val="20"/>
        </w:rPr>
        <w:t xml:space="preserve">emploi </w:t>
      </w:r>
      <w:r w:rsidRPr="00242650">
        <w:rPr>
          <w:sz w:val="20"/>
        </w:rPr>
        <w:t xml:space="preserve">de l'expression "catastrophes naturelles" pour décrire de tels événements </w:t>
      </w:r>
      <w:r>
        <w:rPr>
          <w:sz w:val="20"/>
        </w:rPr>
        <w:t xml:space="preserve">est sujet à </w:t>
      </w:r>
      <w:r w:rsidR="004E14E1">
        <w:rPr>
          <w:sz w:val="20"/>
        </w:rPr>
        <w:t>controverse</w:t>
      </w:r>
      <w:r w:rsidRPr="00242650">
        <w:rPr>
          <w:sz w:val="20"/>
        </w:rPr>
        <w:t xml:space="preserve"> (</w:t>
      </w:r>
      <w:hyperlink r:id="rId2" w:history="1">
        <w:r w:rsidRPr="00242650">
          <w:rPr>
            <w:rStyle w:val="Hyperlink"/>
            <w:sz w:val="20"/>
          </w:rPr>
          <w:t>https://link.springer.com/article/10.1007/s11069-016-2726-x</w:t>
        </w:r>
      </w:hyperlink>
      <w:r w:rsidRPr="00242650">
        <w:rPr>
          <w:sz w:val="20"/>
        </w:rPr>
        <w:t xml:space="preserve"> </w:t>
      </w:r>
      <w:r>
        <w:rPr>
          <w:sz w:val="20"/>
        </w:rPr>
        <w:t xml:space="preserve">et </w:t>
      </w:r>
      <w:hyperlink r:id="rId3" w:history="1">
        <w:r w:rsidRPr="00242650">
          <w:rPr>
            <w:rStyle w:val="Hyperlink"/>
            <w:sz w:val="20"/>
          </w:rPr>
          <w:t>https://www.preventionweb.net/experts/oped/view/72768</w:t>
        </w:r>
      </w:hyperlink>
      <w:r w:rsidRPr="00242650">
        <w:rPr>
          <w:sz w:val="20"/>
        </w:rPr>
        <w:t xml:space="preserve">). Néanmoins, de nombreux </w:t>
      </w:r>
      <w:r>
        <w:rPr>
          <w:sz w:val="20"/>
        </w:rPr>
        <w:t xml:space="preserve">spécialistes des sciences naturelles </w:t>
      </w:r>
      <w:r w:rsidRPr="00242650">
        <w:rPr>
          <w:sz w:val="20"/>
        </w:rPr>
        <w:t xml:space="preserve">(et </w:t>
      </w:r>
      <w:r>
        <w:rPr>
          <w:sz w:val="20"/>
        </w:rPr>
        <w:t>d'</w:t>
      </w:r>
      <w:r w:rsidRPr="00242650">
        <w:rPr>
          <w:sz w:val="20"/>
        </w:rPr>
        <w:t xml:space="preserve">autres </w:t>
      </w:r>
      <w:r>
        <w:rPr>
          <w:sz w:val="20"/>
        </w:rPr>
        <w:t>acteurs</w:t>
      </w:r>
      <w:r w:rsidRPr="00242650">
        <w:rPr>
          <w:sz w:val="20"/>
        </w:rPr>
        <w:t xml:space="preserve">) continuent de reconnaître et </w:t>
      </w:r>
      <w:r>
        <w:rPr>
          <w:sz w:val="20"/>
        </w:rPr>
        <w:t>d'</w:t>
      </w:r>
      <w:r w:rsidRPr="00242650">
        <w:rPr>
          <w:sz w:val="20"/>
        </w:rPr>
        <w:t>employer ce</w:t>
      </w:r>
      <w:r>
        <w:rPr>
          <w:sz w:val="20"/>
        </w:rPr>
        <w:t>tte expression</w:t>
      </w:r>
      <w:r w:rsidRPr="007B490A">
        <w:rPr>
          <w:sz w:val="20"/>
        </w:rPr>
        <w:t xml:space="preserve">. </w:t>
      </w:r>
    </w:p>
  </w:footnote>
  <w:footnote w:id="3">
    <w:p w14:paraId="58558FD7" w14:textId="4A2B3424" w:rsidR="00FD4512" w:rsidRPr="00C50535" w:rsidRDefault="00FD4512" w:rsidP="00C50535">
      <w:pPr>
        <w:tabs>
          <w:tab w:val="clear" w:pos="794"/>
          <w:tab w:val="clear" w:pos="1191"/>
          <w:tab w:val="clear" w:pos="1588"/>
          <w:tab w:val="clear" w:pos="1985"/>
          <w:tab w:val="left" w:pos="255"/>
        </w:tabs>
        <w:spacing w:before="0"/>
        <w:ind w:left="255" w:hanging="255"/>
        <w:rPr>
          <w:color w:val="000000"/>
          <w:sz w:val="20"/>
        </w:rPr>
      </w:pPr>
      <w:r w:rsidRPr="00786BF8">
        <w:rPr>
          <w:rStyle w:val="FootnoteReference"/>
          <w:sz w:val="18"/>
          <w:szCs w:val="18"/>
        </w:rPr>
        <w:footnoteRef/>
      </w:r>
      <w:r w:rsidRPr="004C5873">
        <w:rPr>
          <w:rStyle w:val="FootnoteReference"/>
        </w:rPr>
        <w:tab/>
      </w:r>
      <w:hyperlink r:id="rId4" w:history="1">
        <w:r w:rsidRPr="00C50535">
          <w:rPr>
            <w:rStyle w:val="Hyperlink"/>
            <w:sz w:val="20"/>
          </w:rPr>
          <w:t>https://www.undrr.org/publication/sendai-framework-disaster-risk-reduction-2015-2030</w:t>
        </w:r>
      </w:hyperlink>
      <w:r w:rsidR="00786BF8" w:rsidRPr="00786BF8">
        <w:rPr>
          <w:color w:val="000000"/>
          <w:sz w:val="20"/>
        </w:rPr>
        <w:t>.</w:t>
      </w:r>
      <w:r w:rsidRPr="00C50535">
        <w:rPr>
          <w:color w:val="000000"/>
          <w:sz w:val="20"/>
        </w:rPr>
        <w:t xml:space="preserve"> </w:t>
      </w:r>
    </w:p>
  </w:footnote>
  <w:footnote w:id="4">
    <w:p w14:paraId="3CBEB5A2" w14:textId="7F502140" w:rsidR="00FD4512" w:rsidRPr="00C50535" w:rsidRDefault="00FD4512" w:rsidP="00C50535">
      <w:pPr>
        <w:tabs>
          <w:tab w:val="clear" w:pos="794"/>
          <w:tab w:val="clear" w:pos="1191"/>
          <w:tab w:val="clear" w:pos="1588"/>
          <w:tab w:val="clear" w:pos="1985"/>
          <w:tab w:val="left" w:pos="255"/>
        </w:tabs>
        <w:spacing w:before="0"/>
        <w:ind w:left="255" w:hanging="255"/>
      </w:pPr>
      <w:r w:rsidRPr="00786BF8">
        <w:rPr>
          <w:rStyle w:val="FootnoteReference"/>
          <w:sz w:val="18"/>
          <w:szCs w:val="18"/>
        </w:rPr>
        <w:footnoteRef/>
      </w:r>
      <w:r w:rsidRPr="004C5873">
        <w:rPr>
          <w:rStyle w:val="FootnoteReference"/>
        </w:rPr>
        <w:tab/>
      </w:r>
      <w:hyperlink r:id="rId5" w:history="1">
        <w:r w:rsidRPr="00C50535">
          <w:rPr>
            <w:rStyle w:val="Hyperlink"/>
            <w:sz w:val="20"/>
          </w:rPr>
          <w:t>https://library.wmo.int/doc_num.php?explnum_id=10385</w:t>
        </w:r>
      </w:hyperlink>
      <w:r w:rsidR="00786BF8" w:rsidRPr="00786BF8">
        <w:rPr>
          <w:color w:val="000000"/>
          <w:sz w:val="20"/>
        </w:rPr>
        <w:t>.</w:t>
      </w:r>
      <w:r w:rsidRPr="00C50535">
        <w:rPr>
          <w:sz w:val="20"/>
        </w:rPr>
        <w:t xml:space="preserve"> </w:t>
      </w:r>
    </w:p>
  </w:footnote>
  <w:footnote w:id="5">
    <w:p w14:paraId="742FF70F" w14:textId="73EFE806" w:rsidR="00FD4512" w:rsidRPr="00C50535" w:rsidRDefault="00FD4512" w:rsidP="00C50535">
      <w:pPr>
        <w:tabs>
          <w:tab w:val="clear" w:pos="794"/>
          <w:tab w:val="clear" w:pos="1191"/>
          <w:tab w:val="clear" w:pos="1588"/>
          <w:tab w:val="clear" w:pos="1985"/>
          <w:tab w:val="left" w:pos="255"/>
        </w:tabs>
        <w:spacing w:before="0"/>
        <w:ind w:left="255" w:hanging="255"/>
        <w:rPr>
          <w:color w:val="000000"/>
          <w:sz w:val="20"/>
        </w:rPr>
      </w:pPr>
      <w:r w:rsidRPr="00786BF8">
        <w:rPr>
          <w:rStyle w:val="FootnoteReference"/>
          <w:sz w:val="18"/>
          <w:szCs w:val="18"/>
        </w:rPr>
        <w:footnoteRef/>
      </w:r>
      <w:r w:rsidRPr="004C5873">
        <w:rPr>
          <w:rStyle w:val="FootnoteReference"/>
        </w:rPr>
        <w:tab/>
      </w:r>
      <w:hyperlink r:id="rId6" w:history="1">
        <w:r w:rsidRPr="00C50535">
          <w:rPr>
            <w:rStyle w:val="Hyperlink"/>
            <w:sz w:val="20"/>
          </w:rPr>
          <w:t>https://www.undrr.org/publication/sendai-framework-disaster-risk-reduction-2015-2030</w:t>
        </w:r>
      </w:hyperlink>
      <w:r w:rsidR="00786BF8" w:rsidRPr="00786BF8">
        <w:rPr>
          <w:color w:val="000000"/>
          <w:sz w:val="20"/>
        </w:rPr>
        <w:t>.</w:t>
      </w:r>
      <w:r w:rsidRPr="00C50535">
        <w:rPr>
          <w:color w:val="000000"/>
          <w:sz w:val="20"/>
        </w:rPr>
        <w:t xml:space="preserve"> </w:t>
      </w:r>
    </w:p>
  </w:footnote>
  <w:footnote w:id="6">
    <w:p w14:paraId="7F76019E" w14:textId="032A77DE" w:rsidR="00FD4512" w:rsidRPr="00C50535" w:rsidRDefault="00FD4512" w:rsidP="00C50535">
      <w:pPr>
        <w:tabs>
          <w:tab w:val="clear" w:pos="794"/>
          <w:tab w:val="clear" w:pos="1191"/>
          <w:tab w:val="clear" w:pos="1588"/>
          <w:tab w:val="clear" w:pos="1985"/>
          <w:tab w:val="left" w:pos="255"/>
        </w:tabs>
        <w:spacing w:before="0"/>
        <w:ind w:left="255" w:hanging="255"/>
        <w:rPr>
          <w:color w:val="000000"/>
          <w:sz w:val="20"/>
        </w:rPr>
      </w:pPr>
      <w:r w:rsidRPr="00786BF8">
        <w:rPr>
          <w:rStyle w:val="FootnoteReference"/>
          <w:sz w:val="18"/>
          <w:szCs w:val="18"/>
        </w:rPr>
        <w:footnoteRef/>
      </w:r>
      <w:r w:rsidRPr="004C5873">
        <w:rPr>
          <w:rStyle w:val="FootnoteReference"/>
        </w:rPr>
        <w:tab/>
      </w:r>
      <w:hyperlink r:id="rId7" w:history="1">
        <w:r w:rsidRPr="00C50535">
          <w:rPr>
            <w:rStyle w:val="Hyperlink"/>
            <w:sz w:val="20"/>
          </w:rPr>
          <w:t>https://www.ipcc.ch/site/assets/uploads/2018/03/SREX_Full_Report-1.pdf</w:t>
        </w:r>
      </w:hyperlink>
      <w:r w:rsidR="00786BF8" w:rsidRPr="00786BF8">
        <w:rPr>
          <w:color w:val="000000"/>
          <w:sz w:val="20"/>
        </w:rPr>
        <w:t>.</w:t>
      </w:r>
      <w:r w:rsidRPr="00C50535">
        <w:rPr>
          <w:color w:val="000000"/>
          <w:sz w:val="20"/>
        </w:rPr>
        <w:t xml:space="preserve"> </w:t>
      </w:r>
    </w:p>
  </w:footnote>
  <w:footnote w:id="7">
    <w:p w14:paraId="7FCB529F" w14:textId="04751F71" w:rsidR="00FD4512" w:rsidRPr="00C50535" w:rsidRDefault="00FD4512" w:rsidP="00C50535">
      <w:pPr>
        <w:tabs>
          <w:tab w:val="clear" w:pos="794"/>
          <w:tab w:val="clear" w:pos="1191"/>
          <w:tab w:val="clear" w:pos="1588"/>
          <w:tab w:val="clear" w:pos="1985"/>
          <w:tab w:val="left" w:pos="255"/>
        </w:tabs>
        <w:spacing w:before="0"/>
        <w:ind w:left="255" w:hanging="255"/>
        <w:rPr>
          <w:color w:val="000000"/>
          <w:sz w:val="20"/>
        </w:rPr>
      </w:pPr>
      <w:r w:rsidRPr="00786BF8">
        <w:rPr>
          <w:rStyle w:val="FootnoteReference"/>
          <w:sz w:val="18"/>
          <w:szCs w:val="18"/>
        </w:rPr>
        <w:footnoteRef/>
      </w:r>
      <w:r w:rsidRPr="004C5873">
        <w:rPr>
          <w:rStyle w:val="FootnoteReference"/>
        </w:rPr>
        <w:tab/>
      </w:r>
      <w:hyperlink r:id="rId8" w:history="1">
        <w:r w:rsidRPr="00C50535">
          <w:rPr>
            <w:rStyle w:val="Hyperlink"/>
            <w:sz w:val="20"/>
          </w:rPr>
          <w:t>https://www.unisdr.org/files/1037_hyogoframeworkforactionenglish.pdf</w:t>
        </w:r>
      </w:hyperlink>
      <w:r w:rsidR="00786BF8" w:rsidRPr="00786BF8">
        <w:rPr>
          <w:color w:val="000000"/>
          <w:sz w:val="20"/>
        </w:rPr>
        <w:t>.</w:t>
      </w:r>
      <w:r w:rsidRPr="00C50535">
        <w:rPr>
          <w:color w:val="000000"/>
          <w:sz w:val="20"/>
        </w:rPr>
        <w:t xml:space="preserve"> </w:t>
      </w:r>
    </w:p>
  </w:footnote>
  <w:footnote w:id="8">
    <w:p w14:paraId="43F9ECC2" w14:textId="73206D17" w:rsidR="00FD4512" w:rsidRPr="00C50535" w:rsidRDefault="00FD4512" w:rsidP="00C50535">
      <w:pPr>
        <w:tabs>
          <w:tab w:val="clear" w:pos="794"/>
          <w:tab w:val="clear" w:pos="1191"/>
          <w:tab w:val="clear" w:pos="1588"/>
          <w:tab w:val="clear" w:pos="1985"/>
          <w:tab w:val="left" w:pos="255"/>
        </w:tabs>
        <w:spacing w:before="0"/>
        <w:ind w:left="255" w:hanging="255"/>
        <w:rPr>
          <w:color w:val="000000"/>
          <w:sz w:val="20"/>
        </w:rPr>
      </w:pPr>
      <w:r w:rsidRPr="00786BF8">
        <w:rPr>
          <w:rStyle w:val="FootnoteReference"/>
          <w:sz w:val="18"/>
          <w:szCs w:val="18"/>
        </w:rPr>
        <w:footnoteRef/>
      </w:r>
      <w:r w:rsidRPr="004C5873">
        <w:rPr>
          <w:rStyle w:val="FootnoteReference"/>
        </w:rPr>
        <w:tab/>
      </w:r>
      <w:hyperlink r:id="rId9" w:history="1">
        <w:r w:rsidRPr="00C50535">
          <w:rPr>
            <w:rStyle w:val="Hyperlink"/>
            <w:sz w:val="20"/>
          </w:rPr>
          <w:t>https://www.undrr.org/publication/sendai-framework-disaster-risk-reduction-2015-2030</w:t>
        </w:r>
      </w:hyperlink>
      <w:r w:rsidR="00786BF8" w:rsidRPr="00786BF8">
        <w:rPr>
          <w:color w:val="000000"/>
          <w:sz w:val="20"/>
        </w:rPr>
        <w:t>.</w:t>
      </w:r>
      <w:r w:rsidRPr="00C50535">
        <w:rPr>
          <w:color w:val="000000"/>
          <w:sz w:val="20"/>
        </w:rPr>
        <w:t xml:space="preserve"> </w:t>
      </w:r>
    </w:p>
  </w:footnote>
  <w:footnote w:id="9">
    <w:p w14:paraId="5E195B09" w14:textId="45D8B258" w:rsidR="00FD4512" w:rsidRPr="00C50535" w:rsidRDefault="00FD4512" w:rsidP="00C50535">
      <w:pPr>
        <w:tabs>
          <w:tab w:val="clear" w:pos="794"/>
          <w:tab w:val="clear" w:pos="1191"/>
          <w:tab w:val="clear" w:pos="1588"/>
          <w:tab w:val="clear" w:pos="1985"/>
          <w:tab w:val="left" w:pos="255"/>
        </w:tabs>
        <w:spacing w:before="0"/>
        <w:ind w:left="255" w:hanging="255"/>
        <w:rPr>
          <w:color w:val="000000"/>
          <w:sz w:val="20"/>
        </w:rPr>
      </w:pPr>
      <w:r w:rsidRPr="00786BF8">
        <w:rPr>
          <w:rStyle w:val="FootnoteReference"/>
          <w:sz w:val="18"/>
          <w:szCs w:val="18"/>
        </w:rPr>
        <w:footnoteRef/>
      </w:r>
      <w:r w:rsidRPr="004C5873">
        <w:rPr>
          <w:rStyle w:val="FootnoteReference"/>
        </w:rPr>
        <w:tab/>
      </w:r>
      <w:hyperlink r:id="rId10" w:history="1">
        <w:r w:rsidRPr="00C50535">
          <w:rPr>
            <w:rStyle w:val="Hyperlink"/>
            <w:sz w:val="20"/>
          </w:rPr>
          <w:t>https://www.itu.int/en/ITU-T/focusgroups/drnrr/Pages/default.aspx</w:t>
        </w:r>
      </w:hyperlink>
      <w:r w:rsidR="00786BF8" w:rsidRPr="00786BF8">
        <w:rPr>
          <w:color w:val="000000"/>
          <w:sz w:val="20"/>
        </w:rPr>
        <w:t>.</w:t>
      </w:r>
      <w:r w:rsidRPr="00C50535">
        <w:rPr>
          <w:color w:val="000000"/>
          <w:sz w:val="20"/>
        </w:rPr>
        <w:t xml:space="preserve"> </w:t>
      </w:r>
    </w:p>
  </w:footnote>
  <w:footnote w:id="10">
    <w:p w14:paraId="7C1A3522" w14:textId="643A1DC5" w:rsidR="00FD4512" w:rsidRPr="00A41205" w:rsidRDefault="00FD4512" w:rsidP="004005DC">
      <w:pPr>
        <w:tabs>
          <w:tab w:val="clear" w:pos="794"/>
          <w:tab w:val="clear" w:pos="1191"/>
          <w:tab w:val="clear" w:pos="1588"/>
          <w:tab w:val="clear" w:pos="1985"/>
          <w:tab w:val="left" w:pos="255"/>
        </w:tabs>
        <w:spacing w:before="0"/>
        <w:ind w:left="255" w:hanging="255"/>
        <w:rPr>
          <w:color w:val="000000"/>
          <w:sz w:val="20"/>
        </w:rPr>
      </w:pPr>
      <w:r w:rsidRPr="00786BF8">
        <w:rPr>
          <w:rStyle w:val="FootnoteReference"/>
          <w:sz w:val="18"/>
          <w:szCs w:val="18"/>
        </w:rPr>
        <w:footnoteRef/>
      </w:r>
      <w:r w:rsidRPr="004C5873">
        <w:rPr>
          <w:rStyle w:val="FootnoteReference"/>
        </w:rPr>
        <w:tab/>
      </w:r>
      <w:hyperlink r:id="rId11" w:history="1">
        <w:r w:rsidRPr="00A41205">
          <w:rPr>
            <w:rStyle w:val="Hyperlink"/>
            <w:sz w:val="20"/>
          </w:rPr>
          <w:t>https://www.itu.int/en/ITU-D/Emergency-Telecommunications/Documents/2019/GET_2019/Disruptive-Technologies.pdf</w:t>
        </w:r>
      </w:hyperlink>
      <w:r w:rsidR="00786BF8" w:rsidRPr="00786BF8">
        <w:rPr>
          <w:color w:val="000000"/>
          <w:sz w:val="20"/>
        </w:rPr>
        <w:t>.</w:t>
      </w:r>
      <w:r w:rsidRPr="00A41205">
        <w:rPr>
          <w:color w:val="000000"/>
          <w:sz w:val="20"/>
        </w:rPr>
        <w:t xml:space="preserve"> </w:t>
      </w:r>
    </w:p>
  </w:footnote>
  <w:footnote w:id="11">
    <w:p w14:paraId="51A72965" w14:textId="68C3933C" w:rsidR="00FD4512" w:rsidRPr="004753AC" w:rsidRDefault="00FD4512" w:rsidP="00786BF8">
      <w:pPr>
        <w:pStyle w:val="FootnoteText"/>
        <w:spacing w:before="60"/>
        <w:ind w:left="255" w:hanging="255"/>
        <w:rPr>
          <w:sz w:val="20"/>
        </w:rPr>
      </w:pPr>
      <w:r w:rsidRPr="00786BF8">
        <w:rPr>
          <w:rStyle w:val="FootnoteReference"/>
          <w:sz w:val="18"/>
          <w:szCs w:val="18"/>
        </w:rPr>
        <w:footnoteRef/>
      </w:r>
      <w:r w:rsidRPr="00F4472C">
        <w:rPr>
          <w:rStyle w:val="FootnoteReference"/>
        </w:rPr>
        <w:tab/>
      </w:r>
      <w:r w:rsidRPr="004753AC">
        <w:rPr>
          <w:sz w:val="20"/>
        </w:rPr>
        <w:t>Le Gr</w:t>
      </w:r>
      <w:r>
        <w:rPr>
          <w:sz w:val="20"/>
        </w:rPr>
        <w:t xml:space="preserve">oupe </w:t>
      </w:r>
      <w:r w:rsidRPr="004753AC">
        <w:rPr>
          <w:sz w:val="20"/>
        </w:rPr>
        <w:t xml:space="preserve">FG-AI4NDM </w:t>
      </w:r>
      <w:r>
        <w:rPr>
          <w:sz w:val="20"/>
        </w:rPr>
        <w:t xml:space="preserve">tiendra </w:t>
      </w:r>
      <w:r w:rsidRPr="004753AC">
        <w:rPr>
          <w:sz w:val="20"/>
        </w:rPr>
        <w:t xml:space="preserve">également </w:t>
      </w:r>
      <w:r>
        <w:rPr>
          <w:sz w:val="20"/>
        </w:rPr>
        <w:t xml:space="preserve">compte </w:t>
      </w:r>
      <w:r w:rsidRPr="004753AC">
        <w:rPr>
          <w:sz w:val="20"/>
        </w:rPr>
        <w:t xml:space="preserve">des événements d'origine non naturelle, à condition qu'ils soient </w:t>
      </w:r>
      <w:r>
        <w:rPr>
          <w:sz w:val="20"/>
        </w:rPr>
        <w:t xml:space="preserve">manifestement </w:t>
      </w:r>
      <w:r w:rsidRPr="004753AC">
        <w:rPr>
          <w:sz w:val="20"/>
        </w:rPr>
        <w:t xml:space="preserve">considérés comme influencés par (ou ayant </w:t>
      </w:r>
      <w:proofErr w:type="gramStart"/>
      <w:r w:rsidRPr="004753AC">
        <w:rPr>
          <w:sz w:val="20"/>
        </w:rPr>
        <w:t>une influence sur</w:t>
      </w:r>
      <w:proofErr w:type="gramEnd"/>
      <w:r w:rsidRPr="004753AC">
        <w:rPr>
          <w:sz w:val="20"/>
        </w:rPr>
        <w:t xml:space="preserve">) des </w:t>
      </w:r>
      <w:r>
        <w:rPr>
          <w:sz w:val="20"/>
        </w:rPr>
        <w:t xml:space="preserve">phénomènes </w:t>
      </w:r>
      <w:r w:rsidRPr="004753AC">
        <w:rPr>
          <w:sz w:val="20"/>
        </w:rPr>
        <w:t xml:space="preserve">atmosphériques, hydrologiques, géophysiques, océanographiques ou biologiques. </w:t>
      </w:r>
    </w:p>
  </w:footnote>
  <w:footnote w:id="12">
    <w:p w14:paraId="00223012" w14:textId="5C2312AF" w:rsidR="00FD4512" w:rsidRPr="00FC380A" w:rsidRDefault="00FD4512" w:rsidP="00786BF8">
      <w:pPr>
        <w:pStyle w:val="FootnoteText"/>
        <w:spacing w:before="60"/>
        <w:ind w:left="255" w:hanging="255"/>
        <w:rPr>
          <w:sz w:val="20"/>
        </w:rPr>
      </w:pPr>
      <w:r w:rsidRPr="00786BF8">
        <w:rPr>
          <w:rStyle w:val="FootnoteReference"/>
          <w:sz w:val="18"/>
          <w:szCs w:val="18"/>
        </w:rPr>
        <w:footnoteRef/>
      </w:r>
      <w:r w:rsidRPr="00F4472C">
        <w:rPr>
          <w:rStyle w:val="FootnoteReference"/>
        </w:rPr>
        <w:tab/>
      </w:r>
      <w:r w:rsidRPr="00B13B6F">
        <w:rPr>
          <w:sz w:val="20"/>
        </w:rPr>
        <w:t xml:space="preserve">Il s'agit notamment de représentants des Nations </w:t>
      </w:r>
      <w:r w:rsidR="007B5A36">
        <w:rPr>
          <w:sz w:val="20"/>
        </w:rPr>
        <w:t>U</w:t>
      </w:r>
      <w:r w:rsidRPr="00B13B6F">
        <w:rPr>
          <w:sz w:val="20"/>
        </w:rPr>
        <w:t xml:space="preserve">nies, d'organismes </w:t>
      </w:r>
      <w:r>
        <w:rPr>
          <w:sz w:val="20"/>
        </w:rPr>
        <w:t>publics et de décideurs, d'</w:t>
      </w:r>
      <w:r w:rsidRPr="00B13B6F">
        <w:rPr>
          <w:sz w:val="20"/>
        </w:rPr>
        <w:t>organis</w:t>
      </w:r>
      <w:r>
        <w:rPr>
          <w:sz w:val="20"/>
        </w:rPr>
        <w:t>ations</w:t>
      </w:r>
      <w:r w:rsidRPr="00B13B6F">
        <w:rPr>
          <w:sz w:val="20"/>
        </w:rPr>
        <w:t xml:space="preserve"> de normalisation, </w:t>
      </w:r>
      <w:r>
        <w:rPr>
          <w:sz w:val="20"/>
        </w:rPr>
        <w:t xml:space="preserve">d'unions scientifiques et d'associations </w:t>
      </w:r>
      <w:r w:rsidRPr="00B13B6F">
        <w:rPr>
          <w:sz w:val="20"/>
        </w:rPr>
        <w:t>professionnel</w:t>
      </w:r>
      <w:r>
        <w:rPr>
          <w:sz w:val="20"/>
        </w:rPr>
        <w:t>le</w:t>
      </w:r>
      <w:r w:rsidRPr="00B13B6F">
        <w:rPr>
          <w:sz w:val="20"/>
        </w:rPr>
        <w:t xml:space="preserve">s, de </w:t>
      </w:r>
      <w:r>
        <w:rPr>
          <w:sz w:val="20"/>
        </w:rPr>
        <w:t>milieux universitaires</w:t>
      </w:r>
      <w:r w:rsidRPr="00B13B6F">
        <w:rPr>
          <w:sz w:val="20"/>
        </w:rPr>
        <w:t xml:space="preserve">, </w:t>
      </w:r>
      <w:r>
        <w:rPr>
          <w:sz w:val="20"/>
        </w:rPr>
        <w:t xml:space="preserve">ainsi que de </w:t>
      </w:r>
      <w:r w:rsidRPr="00B13B6F">
        <w:rPr>
          <w:sz w:val="20"/>
        </w:rPr>
        <w:t xml:space="preserve">chercheurs dans </w:t>
      </w:r>
      <w:r>
        <w:rPr>
          <w:sz w:val="20"/>
        </w:rPr>
        <w:t>différents domaines</w:t>
      </w:r>
      <w:r w:rsidRPr="00B13B6F">
        <w:rPr>
          <w:sz w:val="20"/>
        </w:rPr>
        <w:t>, notamment les géosciences et l'IA/</w:t>
      </w:r>
      <w:r>
        <w:rPr>
          <w:sz w:val="20"/>
        </w:rPr>
        <w:t>l'</w:t>
      </w:r>
      <w:r w:rsidRPr="00B13B6F">
        <w:rPr>
          <w:sz w:val="20"/>
        </w:rPr>
        <w:t xml:space="preserve">apprentissage </w:t>
      </w:r>
      <w:r>
        <w:rPr>
          <w:sz w:val="20"/>
        </w:rPr>
        <w:t xml:space="preserve">automatique </w:t>
      </w:r>
      <w:r w:rsidRPr="00B13B6F">
        <w:rPr>
          <w:sz w:val="20"/>
        </w:rPr>
        <w:t xml:space="preserve">[et d'autres domaines des technologies de l'information et de la communication (TIC)], et de membres </w:t>
      </w:r>
      <w:r>
        <w:rPr>
          <w:sz w:val="20"/>
        </w:rPr>
        <w:t xml:space="preserve">du secteur privé </w:t>
      </w:r>
      <w:r w:rsidRPr="00B13B6F">
        <w:rPr>
          <w:sz w:val="20"/>
        </w:rPr>
        <w:t>(y</w:t>
      </w:r>
      <w:r w:rsidR="00F4472C">
        <w:rPr>
          <w:sz w:val="20"/>
        </w:rPr>
        <w:t> </w:t>
      </w:r>
      <w:r w:rsidRPr="00B13B6F">
        <w:rPr>
          <w:sz w:val="20"/>
        </w:rPr>
        <w:t xml:space="preserve">compris </w:t>
      </w:r>
      <w:r>
        <w:rPr>
          <w:sz w:val="20"/>
        </w:rPr>
        <w:t xml:space="preserve">dans </w:t>
      </w:r>
      <w:r w:rsidRPr="00B13B6F">
        <w:rPr>
          <w:sz w:val="20"/>
        </w:rPr>
        <w:t>les domaines des TIC).</w:t>
      </w:r>
    </w:p>
  </w:footnote>
  <w:footnote w:id="13">
    <w:p w14:paraId="2413EC6D" w14:textId="19B4A91B" w:rsidR="00FD4512" w:rsidRPr="00FD4512" w:rsidRDefault="00FD4512" w:rsidP="00786BF8">
      <w:pPr>
        <w:pStyle w:val="FootnoteText"/>
        <w:spacing w:before="60"/>
        <w:ind w:left="255" w:hanging="255"/>
        <w:rPr>
          <w:sz w:val="20"/>
        </w:rPr>
      </w:pPr>
      <w:r w:rsidRPr="00786BF8">
        <w:rPr>
          <w:rStyle w:val="FootnoteReference"/>
          <w:sz w:val="18"/>
          <w:szCs w:val="18"/>
        </w:rPr>
        <w:footnoteRef/>
      </w:r>
      <w:r w:rsidRPr="00F4472C">
        <w:rPr>
          <w:rStyle w:val="FootnoteReference"/>
        </w:rPr>
        <w:tab/>
      </w:r>
      <w:r w:rsidRPr="00097474">
        <w:rPr>
          <w:sz w:val="20"/>
        </w:rPr>
        <w:t xml:space="preserve">En particulier, encourager les </w:t>
      </w:r>
      <w:r>
        <w:rPr>
          <w:sz w:val="20"/>
        </w:rPr>
        <w:t xml:space="preserve">organisations de normalisation </w:t>
      </w:r>
      <w:r w:rsidRPr="00097474">
        <w:rPr>
          <w:sz w:val="20"/>
        </w:rPr>
        <w:t xml:space="preserve">à participer aux activités du </w:t>
      </w:r>
      <w:r>
        <w:rPr>
          <w:sz w:val="20"/>
        </w:rPr>
        <w:t>G</w:t>
      </w:r>
      <w:r w:rsidRPr="00097474">
        <w:rPr>
          <w:sz w:val="20"/>
        </w:rPr>
        <w:t xml:space="preserve">roupe </w:t>
      </w:r>
      <w:r>
        <w:rPr>
          <w:sz w:val="20"/>
        </w:rPr>
        <w:t>spécialisé</w:t>
      </w:r>
      <w:r w:rsidRPr="00097474">
        <w:rPr>
          <w:sz w:val="20"/>
        </w:rPr>
        <w:t>, faciliter l'échange de points de vue des utilisateurs de</w:t>
      </w:r>
      <w:r>
        <w:rPr>
          <w:sz w:val="20"/>
        </w:rPr>
        <w:t>s</w:t>
      </w:r>
      <w:r w:rsidRPr="00097474">
        <w:rPr>
          <w:sz w:val="20"/>
        </w:rPr>
        <w:t xml:space="preserve"> TIC (dans le contexte de l'IA) et </w:t>
      </w:r>
      <w:r>
        <w:rPr>
          <w:sz w:val="20"/>
        </w:rPr>
        <w:t xml:space="preserve">se pencher sur </w:t>
      </w:r>
      <w:r w:rsidRPr="00097474">
        <w:rPr>
          <w:sz w:val="20"/>
        </w:rPr>
        <w:t xml:space="preserve">les </w:t>
      </w:r>
      <w:r>
        <w:rPr>
          <w:sz w:val="20"/>
        </w:rPr>
        <w:t xml:space="preserve">incidences sur le plan </w:t>
      </w:r>
      <w:r w:rsidRPr="00097474">
        <w:rPr>
          <w:sz w:val="20"/>
        </w:rPr>
        <w:t>socio</w:t>
      </w:r>
      <w:r w:rsidR="00786BF8">
        <w:rPr>
          <w:sz w:val="20"/>
        </w:rPr>
        <w:t>-</w:t>
      </w:r>
      <w:r w:rsidRPr="00097474">
        <w:rPr>
          <w:sz w:val="20"/>
        </w:rPr>
        <w:t xml:space="preserve">économique et </w:t>
      </w:r>
      <w:r>
        <w:rPr>
          <w:sz w:val="20"/>
        </w:rPr>
        <w:t xml:space="preserve">des </w:t>
      </w:r>
      <w:r w:rsidRPr="00097474">
        <w:rPr>
          <w:sz w:val="20"/>
        </w:rPr>
        <w:t xml:space="preserve">politiques. </w:t>
      </w:r>
      <w:r>
        <w:rPr>
          <w:sz w:val="20"/>
        </w:rPr>
        <w:t xml:space="preserve">Le Groupe s'attachera tout particulièrement à encourager </w:t>
      </w:r>
      <w:r w:rsidRPr="00097474">
        <w:rPr>
          <w:sz w:val="20"/>
        </w:rPr>
        <w:t xml:space="preserve">la participation (par exemple, en identifiant les sources potentielles de soutien financier) des pays à faible revenu </w:t>
      </w:r>
      <w:r>
        <w:rPr>
          <w:sz w:val="20"/>
        </w:rPr>
        <w:t xml:space="preserve">ou à revenu intermédiaire </w:t>
      </w:r>
      <w:r w:rsidRPr="00097474">
        <w:rPr>
          <w:sz w:val="20"/>
        </w:rPr>
        <w:t>et des pays particulièrement touchés par ce type d'événements (par exemple, les PEID et les PMA).</w:t>
      </w:r>
    </w:p>
  </w:footnote>
  <w:footnote w:id="14">
    <w:p w14:paraId="2B61C959" w14:textId="4846D8D3" w:rsidR="00FD4512" w:rsidRPr="00FD4512" w:rsidRDefault="00FD4512" w:rsidP="00786BF8">
      <w:pPr>
        <w:pStyle w:val="FootnoteText"/>
        <w:spacing w:before="60"/>
        <w:ind w:left="255" w:hanging="255"/>
      </w:pPr>
      <w:r w:rsidRPr="00786BF8">
        <w:rPr>
          <w:rStyle w:val="FootnoteReference"/>
          <w:sz w:val="18"/>
          <w:szCs w:val="18"/>
        </w:rPr>
        <w:footnoteRef/>
      </w:r>
      <w:r w:rsidRPr="00F4472C">
        <w:rPr>
          <w:rStyle w:val="FootnoteReference"/>
        </w:rPr>
        <w:tab/>
      </w:r>
      <w:hyperlink r:id="rId12" w:history="1">
        <w:r w:rsidRPr="00FD4512">
          <w:rPr>
            <w:rStyle w:val="Hyperlink"/>
            <w:sz w:val="20"/>
          </w:rPr>
          <w:t>https://sdgs.un.org/goals</w:t>
        </w:r>
      </w:hyperlink>
      <w:r w:rsidR="00786BF8">
        <w:t>.</w:t>
      </w:r>
    </w:p>
  </w:footnote>
  <w:footnote w:id="15">
    <w:p w14:paraId="7F8D08B5" w14:textId="6EEA1EA4" w:rsidR="00FD4512" w:rsidRPr="00714488" w:rsidRDefault="00FD4512" w:rsidP="009A5DE3">
      <w:pPr>
        <w:pStyle w:val="FootnoteText"/>
        <w:spacing w:before="60"/>
        <w:ind w:left="255" w:hanging="255"/>
        <w:rPr>
          <w:sz w:val="20"/>
        </w:rPr>
      </w:pPr>
      <w:r w:rsidRPr="00F36683">
        <w:rPr>
          <w:rStyle w:val="FootnoteReference"/>
        </w:rPr>
        <w:footnoteRef/>
      </w:r>
      <w:r w:rsidRPr="00F36683">
        <w:rPr>
          <w:rStyle w:val="FootnoteReference"/>
        </w:rPr>
        <w:tab/>
      </w:r>
      <w:r w:rsidR="00714488" w:rsidRPr="00714488">
        <w:rPr>
          <w:sz w:val="20"/>
        </w:rPr>
        <w:t xml:space="preserve">Cela comprend des aspects techniques (par exemple, comment </w:t>
      </w:r>
      <w:r w:rsidR="00714488">
        <w:rPr>
          <w:sz w:val="20"/>
        </w:rPr>
        <w:t xml:space="preserve">utiliser </w:t>
      </w:r>
      <w:r w:rsidR="00714488" w:rsidRPr="00714488">
        <w:rPr>
          <w:sz w:val="20"/>
        </w:rPr>
        <w:t xml:space="preserve">l'IA et d'autres technologies numériques pour </w:t>
      </w:r>
      <w:r w:rsidR="00714488">
        <w:rPr>
          <w:sz w:val="20"/>
        </w:rPr>
        <w:t xml:space="preserve">la transmission de </w:t>
      </w:r>
      <w:proofErr w:type="gramStart"/>
      <w:r w:rsidR="00714488" w:rsidRPr="00714488">
        <w:rPr>
          <w:sz w:val="20"/>
        </w:rPr>
        <w:t>communication</w:t>
      </w:r>
      <w:r w:rsidR="00714488">
        <w:rPr>
          <w:sz w:val="20"/>
        </w:rPr>
        <w:t>s</w:t>
      </w:r>
      <w:r w:rsidR="00714488" w:rsidRPr="00714488">
        <w:rPr>
          <w:sz w:val="20"/>
        </w:rPr>
        <w:t>;</w:t>
      </w:r>
      <w:proofErr w:type="gramEnd"/>
      <w:r w:rsidR="00714488" w:rsidRPr="00714488">
        <w:rPr>
          <w:sz w:val="20"/>
        </w:rPr>
        <w:t xml:space="preserve"> quelles sont les possibilités </w:t>
      </w:r>
      <w:r w:rsidR="00714488">
        <w:rPr>
          <w:sz w:val="20"/>
        </w:rPr>
        <w:t xml:space="preserve">en matière </w:t>
      </w:r>
      <w:r w:rsidR="00714488" w:rsidRPr="00714488">
        <w:rPr>
          <w:sz w:val="20"/>
        </w:rPr>
        <w:t xml:space="preserve">d'infrastructure de communication) et des aspects sociologiques/démographiques (par exemple, comment des </w:t>
      </w:r>
      <w:r w:rsidR="001A5E4F">
        <w:rPr>
          <w:sz w:val="20"/>
        </w:rPr>
        <w:t xml:space="preserve">personnes aux </w:t>
      </w:r>
      <w:r w:rsidR="00714488" w:rsidRPr="00714488">
        <w:rPr>
          <w:sz w:val="20"/>
        </w:rPr>
        <w:t xml:space="preserve">origines et </w:t>
      </w:r>
      <w:r w:rsidR="001A5E4F">
        <w:rPr>
          <w:sz w:val="20"/>
        </w:rPr>
        <w:t xml:space="preserve">aux </w:t>
      </w:r>
      <w:r w:rsidR="00714488" w:rsidRPr="00714488">
        <w:rPr>
          <w:sz w:val="20"/>
        </w:rPr>
        <w:t xml:space="preserve">capacités différentes </w:t>
      </w:r>
      <w:r w:rsidR="00714488">
        <w:rPr>
          <w:sz w:val="20"/>
        </w:rPr>
        <w:t>réagissent</w:t>
      </w:r>
      <w:r w:rsidR="001A5E4F">
        <w:rPr>
          <w:sz w:val="20"/>
        </w:rPr>
        <w:t>-elles</w:t>
      </w:r>
      <w:r w:rsidR="00714488">
        <w:rPr>
          <w:sz w:val="20"/>
        </w:rPr>
        <w:t xml:space="preserve"> face </w:t>
      </w:r>
      <w:r w:rsidR="00714488" w:rsidRPr="00714488">
        <w:rPr>
          <w:sz w:val="20"/>
        </w:rPr>
        <w:t>à différentes formes de communication; et l'inclusion, par exemple les besoins des populations vulnérables).</w:t>
      </w:r>
    </w:p>
  </w:footnote>
  <w:footnote w:id="16">
    <w:p w14:paraId="09F1E390" w14:textId="7387EE7A" w:rsidR="00FD4512" w:rsidRPr="00A41205" w:rsidRDefault="00FD4512" w:rsidP="009A5DE3">
      <w:pPr>
        <w:pStyle w:val="FootnoteText"/>
        <w:spacing w:before="60"/>
        <w:rPr>
          <w:sz w:val="20"/>
        </w:rPr>
      </w:pPr>
      <w:r w:rsidRPr="00F36683">
        <w:rPr>
          <w:rStyle w:val="FootnoteReference"/>
        </w:rPr>
        <w:footnoteRef/>
      </w:r>
      <w:r w:rsidRPr="00F36683">
        <w:rPr>
          <w:rStyle w:val="FootnoteReference"/>
        </w:rPr>
        <w:tab/>
      </w:r>
      <w:hyperlink r:id="rId13" w:history="1">
        <w:r w:rsidRPr="00A41205">
          <w:rPr>
            <w:rStyle w:val="Hyperlink"/>
            <w:sz w:val="20"/>
          </w:rPr>
          <w:t>https://www.undrr.org/publication/sendai-framework-disaster-risk-reduction-2015-2030</w:t>
        </w:r>
      </w:hyperlink>
      <w:r w:rsidR="009A5DE3">
        <w:t>.</w:t>
      </w:r>
    </w:p>
  </w:footnote>
  <w:footnote w:id="17">
    <w:p w14:paraId="0748AA7C" w14:textId="40C6129D" w:rsidR="009A5675" w:rsidRPr="00714488" w:rsidRDefault="009A5675" w:rsidP="009A5675">
      <w:pPr>
        <w:pStyle w:val="FootnoteText"/>
        <w:ind w:left="255" w:hanging="255"/>
      </w:pPr>
      <w:r w:rsidRPr="00BF28B1">
        <w:rPr>
          <w:rStyle w:val="FootnoteReference"/>
        </w:rPr>
        <w:footnoteRef/>
      </w:r>
      <w:r w:rsidRPr="00BF28B1">
        <w:rPr>
          <w:rStyle w:val="FootnoteReference"/>
        </w:rPr>
        <w:tab/>
      </w:r>
      <w:r w:rsidR="00A863FB" w:rsidRPr="00714488">
        <w:rPr>
          <w:sz w:val="20"/>
        </w:rPr>
        <w:t xml:space="preserve">Cela comprend des aspects techniques (par exemple, comment </w:t>
      </w:r>
      <w:r w:rsidR="00A863FB">
        <w:rPr>
          <w:sz w:val="20"/>
        </w:rPr>
        <w:t xml:space="preserve">utiliser </w:t>
      </w:r>
      <w:r w:rsidR="00A863FB" w:rsidRPr="00714488">
        <w:rPr>
          <w:sz w:val="20"/>
        </w:rPr>
        <w:t xml:space="preserve">l'IA et d'autres technologies numériques pour </w:t>
      </w:r>
      <w:r w:rsidR="00A863FB">
        <w:rPr>
          <w:sz w:val="20"/>
        </w:rPr>
        <w:t xml:space="preserve">la transmission de </w:t>
      </w:r>
      <w:proofErr w:type="gramStart"/>
      <w:r w:rsidR="00A863FB" w:rsidRPr="00714488">
        <w:rPr>
          <w:sz w:val="20"/>
        </w:rPr>
        <w:t>communication</w:t>
      </w:r>
      <w:r w:rsidR="00A863FB">
        <w:rPr>
          <w:sz w:val="20"/>
        </w:rPr>
        <w:t>s</w:t>
      </w:r>
      <w:r w:rsidR="00A863FB" w:rsidRPr="00714488">
        <w:rPr>
          <w:sz w:val="20"/>
        </w:rPr>
        <w:t>;</w:t>
      </w:r>
      <w:proofErr w:type="gramEnd"/>
      <w:r w:rsidR="00A863FB" w:rsidRPr="00714488">
        <w:rPr>
          <w:sz w:val="20"/>
        </w:rPr>
        <w:t xml:space="preserve"> quelles sont les possibilités </w:t>
      </w:r>
      <w:r w:rsidR="00A863FB">
        <w:rPr>
          <w:sz w:val="20"/>
        </w:rPr>
        <w:t xml:space="preserve">en matière </w:t>
      </w:r>
      <w:r w:rsidR="00A863FB" w:rsidRPr="00714488">
        <w:rPr>
          <w:sz w:val="20"/>
        </w:rPr>
        <w:t xml:space="preserve">d'infrastructure de communication) et des aspects sociologiques/démographiques (par exemple, comment des </w:t>
      </w:r>
      <w:r w:rsidR="00A863FB">
        <w:rPr>
          <w:sz w:val="20"/>
        </w:rPr>
        <w:t xml:space="preserve">personnes aux </w:t>
      </w:r>
      <w:r w:rsidR="00A863FB" w:rsidRPr="00714488">
        <w:rPr>
          <w:sz w:val="20"/>
        </w:rPr>
        <w:t xml:space="preserve">origines et </w:t>
      </w:r>
      <w:r w:rsidR="00A863FB">
        <w:rPr>
          <w:sz w:val="20"/>
        </w:rPr>
        <w:t xml:space="preserve">aux </w:t>
      </w:r>
      <w:r w:rsidR="00A863FB" w:rsidRPr="00714488">
        <w:rPr>
          <w:sz w:val="20"/>
        </w:rPr>
        <w:t xml:space="preserve">capacités différentes </w:t>
      </w:r>
      <w:r w:rsidR="00A863FB">
        <w:rPr>
          <w:sz w:val="20"/>
        </w:rPr>
        <w:t xml:space="preserve">réagissent-elles face </w:t>
      </w:r>
      <w:r w:rsidR="00A863FB" w:rsidRPr="00714488">
        <w:rPr>
          <w:sz w:val="20"/>
        </w:rPr>
        <w:t>à différentes formes de communication; et l'inclusion, par exemple les besoins des populations vulnérables).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D5480" w14:textId="27B06EBB" w:rsidR="00FD4512" w:rsidRPr="00697BC1" w:rsidRDefault="000B4B22"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FD4512">
          <w:rPr>
            <w:sz w:val="18"/>
            <w:szCs w:val="16"/>
          </w:rPr>
          <w:t>-</w:t>
        </w:r>
        <w:r w:rsidR="00FD4512" w:rsidRPr="00697BC1">
          <w:rPr>
            <w:sz w:val="18"/>
            <w:szCs w:val="16"/>
          </w:rPr>
          <w:t xml:space="preserve"> </w:t>
        </w:r>
        <w:r w:rsidR="00FD4512" w:rsidRPr="00697BC1">
          <w:rPr>
            <w:sz w:val="18"/>
            <w:szCs w:val="16"/>
          </w:rPr>
          <w:fldChar w:fldCharType="begin"/>
        </w:r>
        <w:r w:rsidR="00FD4512" w:rsidRPr="00697BC1">
          <w:rPr>
            <w:sz w:val="18"/>
            <w:szCs w:val="16"/>
          </w:rPr>
          <w:instrText xml:space="preserve"> PAGE   \* MERGEFORMAT </w:instrText>
        </w:r>
        <w:r w:rsidR="00FD4512" w:rsidRPr="00697BC1">
          <w:rPr>
            <w:sz w:val="18"/>
            <w:szCs w:val="16"/>
          </w:rPr>
          <w:fldChar w:fldCharType="separate"/>
        </w:r>
        <w:r w:rsidR="00B6657D">
          <w:rPr>
            <w:noProof/>
            <w:sz w:val="18"/>
            <w:szCs w:val="16"/>
          </w:rPr>
          <w:t>9</w:t>
        </w:r>
        <w:r w:rsidR="00FD4512" w:rsidRPr="00697BC1">
          <w:rPr>
            <w:noProof/>
            <w:sz w:val="18"/>
            <w:szCs w:val="16"/>
          </w:rPr>
          <w:fldChar w:fldCharType="end"/>
        </w:r>
      </w:sdtContent>
    </w:sdt>
    <w:r w:rsidR="00FD4512" w:rsidRPr="00697BC1">
      <w:rPr>
        <w:noProof/>
        <w:sz w:val="18"/>
        <w:szCs w:val="16"/>
      </w:rPr>
      <w:t xml:space="preserve"> </w:t>
    </w:r>
    <w:r w:rsidR="00FD4512">
      <w:rPr>
        <w:noProof/>
        <w:sz w:val="18"/>
        <w:szCs w:val="16"/>
      </w:rPr>
      <w:t>-</w:t>
    </w:r>
    <w:r w:rsidR="00FD4512">
      <w:rPr>
        <w:noProof/>
        <w:sz w:val="18"/>
        <w:szCs w:val="16"/>
      </w:rPr>
      <w:br/>
      <w:t>Circulaire TSB 291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A59"/>
    <w:rsid w:val="000039EE"/>
    <w:rsid w:val="00005622"/>
    <w:rsid w:val="0002519E"/>
    <w:rsid w:val="00035B43"/>
    <w:rsid w:val="00036F4F"/>
    <w:rsid w:val="000758B3"/>
    <w:rsid w:val="00085F5A"/>
    <w:rsid w:val="00094F84"/>
    <w:rsid w:val="00097474"/>
    <w:rsid w:val="000B0D96"/>
    <w:rsid w:val="000B4B22"/>
    <w:rsid w:val="000B59D8"/>
    <w:rsid w:val="000C1F6B"/>
    <w:rsid w:val="000C25CC"/>
    <w:rsid w:val="000C56BE"/>
    <w:rsid w:val="001026FD"/>
    <w:rsid w:val="001077FD"/>
    <w:rsid w:val="00115DD7"/>
    <w:rsid w:val="00167472"/>
    <w:rsid w:val="00167F92"/>
    <w:rsid w:val="00173738"/>
    <w:rsid w:val="001A5E4F"/>
    <w:rsid w:val="001B400D"/>
    <w:rsid w:val="001B79A3"/>
    <w:rsid w:val="002152A3"/>
    <w:rsid w:val="00242650"/>
    <w:rsid w:val="00274877"/>
    <w:rsid w:val="002A24A1"/>
    <w:rsid w:val="002D6C1A"/>
    <w:rsid w:val="002E395D"/>
    <w:rsid w:val="00307379"/>
    <w:rsid w:val="003131F0"/>
    <w:rsid w:val="00333A80"/>
    <w:rsid w:val="00341117"/>
    <w:rsid w:val="00364E95"/>
    <w:rsid w:val="00372875"/>
    <w:rsid w:val="00377E08"/>
    <w:rsid w:val="003B1E80"/>
    <w:rsid w:val="003B66E8"/>
    <w:rsid w:val="003E41E7"/>
    <w:rsid w:val="004005DC"/>
    <w:rsid w:val="004033F1"/>
    <w:rsid w:val="00414B0C"/>
    <w:rsid w:val="00423C21"/>
    <w:rsid w:val="004257AC"/>
    <w:rsid w:val="0043711B"/>
    <w:rsid w:val="004753AC"/>
    <w:rsid w:val="004977C9"/>
    <w:rsid w:val="004B732E"/>
    <w:rsid w:val="004C5873"/>
    <w:rsid w:val="004D51F4"/>
    <w:rsid w:val="004D64E0"/>
    <w:rsid w:val="004E14E1"/>
    <w:rsid w:val="004E19D6"/>
    <w:rsid w:val="005120A2"/>
    <w:rsid w:val="0051210D"/>
    <w:rsid w:val="005136D2"/>
    <w:rsid w:val="00517A03"/>
    <w:rsid w:val="005A3DD9"/>
    <w:rsid w:val="005B1DFC"/>
    <w:rsid w:val="00601682"/>
    <w:rsid w:val="00603470"/>
    <w:rsid w:val="00625E79"/>
    <w:rsid w:val="006333F7"/>
    <w:rsid w:val="00642516"/>
    <w:rsid w:val="006427A1"/>
    <w:rsid w:val="00644741"/>
    <w:rsid w:val="00667EBF"/>
    <w:rsid w:val="00697BC1"/>
    <w:rsid w:val="006A6FFE"/>
    <w:rsid w:val="006C0932"/>
    <w:rsid w:val="006C3F0A"/>
    <w:rsid w:val="006C4263"/>
    <w:rsid w:val="006C5A91"/>
    <w:rsid w:val="006E72F2"/>
    <w:rsid w:val="00714488"/>
    <w:rsid w:val="007169E8"/>
    <w:rsid w:val="00716BBC"/>
    <w:rsid w:val="007321BC"/>
    <w:rsid w:val="00742018"/>
    <w:rsid w:val="00756F0C"/>
    <w:rsid w:val="00760063"/>
    <w:rsid w:val="00775E4B"/>
    <w:rsid w:val="00786BF8"/>
    <w:rsid w:val="0079553B"/>
    <w:rsid w:val="00795679"/>
    <w:rsid w:val="007A40FE"/>
    <w:rsid w:val="007B490A"/>
    <w:rsid w:val="007B5A36"/>
    <w:rsid w:val="00810105"/>
    <w:rsid w:val="008157E0"/>
    <w:rsid w:val="008233F3"/>
    <w:rsid w:val="00827E59"/>
    <w:rsid w:val="00844E71"/>
    <w:rsid w:val="00850477"/>
    <w:rsid w:val="00853E8D"/>
    <w:rsid w:val="00854E1D"/>
    <w:rsid w:val="00881C70"/>
    <w:rsid w:val="00887FA6"/>
    <w:rsid w:val="008A32CC"/>
    <w:rsid w:val="008A5A59"/>
    <w:rsid w:val="008B055B"/>
    <w:rsid w:val="008C187F"/>
    <w:rsid w:val="008C259A"/>
    <w:rsid w:val="008C4397"/>
    <w:rsid w:val="008C465A"/>
    <w:rsid w:val="008F2C9B"/>
    <w:rsid w:val="00923CD6"/>
    <w:rsid w:val="00935AA8"/>
    <w:rsid w:val="00971C9A"/>
    <w:rsid w:val="009A5675"/>
    <w:rsid w:val="009A5DE3"/>
    <w:rsid w:val="009D0724"/>
    <w:rsid w:val="009D51FA"/>
    <w:rsid w:val="009F1E23"/>
    <w:rsid w:val="00A055BD"/>
    <w:rsid w:val="00A069A5"/>
    <w:rsid w:val="00A15179"/>
    <w:rsid w:val="00A2253B"/>
    <w:rsid w:val="00A41205"/>
    <w:rsid w:val="00A51537"/>
    <w:rsid w:val="00A5280F"/>
    <w:rsid w:val="00A5645A"/>
    <w:rsid w:val="00A60FC1"/>
    <w:rsid w:val="00A863FB"/>
    <w:rsid w:val="00A97C37"/>
    <w:rsid w:val="00AA131B"/>
    <w:rsid w:val="00AC37B5"/>
    <w:rsid w:val="00AD3FD5"/>
    <w:rsid w:val="00AD752F"/>
    <w:rsid w:val="00AF08A4"/>
    <w:rsid w:val="00B13B6F"/>
    <w:rsid w:val="00B27B41"/>
    <w:rsid w:val="00B42659"/>
    <w:rsid w:val="00B6657D"/>
    <w:rsid w:val="00B8573E"/>
    <w:rsid w:val="00BB24C0"/>
    <w:rsid w:val="00BD49A4"/>
    <w:rsid w:val="00BD528C"/>
    <w:rsid w:val="00BD6ECF"/>
    <w:rsid w:val="00BE3CAC"/>
    <w:rsid w:val="00BF28B1"/>
    <w:rsid w:val="00C028F6"/>
    <w:rsid w:val="00C15698"/>
    <w:rsid w:val="00C26F2E"/>
    <w:rsid w:val="00C302E3"/>
    <w:rsid w:val="00C45376"/>
    <w:rsid w:val="00C50535"/>
    <w:rsid w:val="00C9028F"/>
    <w:rsid w:val="00CA0416"/>
    <w:rsid w:val="00CB1125"/>
    <w:rsid w:val="00CD042E"/>
    <w:rsid w:val="00CF2560"/>
    <w:rsid w:val="00CF5B46"/>
    <w:rsid w:val="00D451F0"/>
    <w:rsid w:val="00D46B68"/>
    <w:rsid w:val="00D542A5"/>
    <w:rsid w:val="00DC3D47"/>
    <w:rsid w:val="00DD77DA"/>
    <w:rsid w:val="00E06C61"/>
    <w:rsid w:val="00E13DB3"/>
    <w:rsid w:val="00E2408B"/>
    <w:rsid w:val="00E326A5"/>
    <w:rsid w:val="00E62CEA"/>
    <w:rsid w:val="00E72AE1"/>
    <w:rsid w:val="00EC27C5"/>
    <w:rsid w:val="00ED6216"/>
    <w:rsid w:val="00ED6A7A"/>
    <w:rsid w:val="00EE4C36"/>
    <w:rsid w:val="00EF3BD9"/>
    <w:rsid w:val="00EF43BE"/>
    <w:rsid w:val="00F346CE"/>
    <w:rsid w:val="00F34F98"/>
    <w:rsid w:val="00F36683"/>
    <w:rsid w:val="00F40540"/>
    <w:rsid w:val="00F4472C"/>
    <w:rsid w:val="00F44F08"/>
    <w:rsid w:val="00F67402"/>
    <w:rsid w:val="00F766A2"/>
    <w:rsid w:val="00F9451D"/>
    <w:rsid w:val="00FC380A"/>
    <w:rsid w:val="00FD4512"/>
    <w:rsid w:val="00FE5E87"/>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6FC7FE8"/>
  <w15:docId w15:val="{6E0F40ED-6151-42DD-B384-0283A0D70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CEO_Hyperlink,超?级链,Style 58,超????,하이퍼링크2,超链接1"/>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table" w:styleId="TableGrid">
    <w:name w:val="Table Grid"/>
    <w:basedOn w:val="TableNormal"/>
    <w:rsid w:val="00ED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rsid w:val="00ED6216"/>
    <w:pPr>
      <w:keepNext/>
      <w:keepLines/>
      <w:spacing w:before="480" w:after="80"/>
      <w:jc w:val="center"/>
    </w:pPr>
    <w:rPr>
      <w:rFonts w:ascii="Calibri" w:hAnsi="Calibri"/>
      <w:b/>
      <w:caps/>
      <w:sz w:val="28"/>
      <w:lang w:val="en-GB"/>
    </w:rPr>
  </w:style>
  <w:style w:type="paragraph" w:styleId="NormalWeb">
    <w:name w:val="Normal (Web)"/>
    <w:basedOn w:val="Normal"/>
    <w:uiPriority w:val="99"/>
    <w:rsid w:val="00ED621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FootnoteTextChar">
    <w:name w:val="Footnote Text Char"/>
    <w:basedOn w:val="DefaultParagraphFont"/>
    <w:link w:val="FootnoteText"/>
    <w:uiPriority w:val="99"/>
    <w:rsid w:val="00ED6216"/>
    <w:rPr>
      <w:rFonts w:asciiTheme="minorHAnsi" w:hAnsiTheme="minorHAnsi"/>
      <w:sz w:val="24"/>
      <w:lang w:val="fr-FR" w:eastAsia="en-US"/>
    </w:rPr>
  </w:style>
  <w:style w:type="paragraph" w:customStyle="1" w:styleId="Reasons">
    <w:name w:val="Reasons"/>
    <w:basedOn w:val="Normal"/>
    <w:qFormat/>
    <w:rsid w:val="00ED6216"/>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UnresolvedMention1">
    <w:name w:val="Unresolved Mention1"/>
    <w:basedOn w:val="DefaultParagraphFont"/>
    <w:uiPriority w:val="99"/>
    <w:semiHidden/>
    <w:unhideWhenUsed/>
    <w:rsid w:val="002D6C1A"/>
    <w:rPr>
      <w:color w:val="605E5C"/>
      <w:shd w:val="clear" w:color="auto" w:fill="E1DFDD"/>
    </w:rPr>
  </w:style>
  <w:style w:type="character" w:styleId="FollowedHyperlink">
    <w:name w:val="FollowedHyperlink"/>
    <w:basedOn w:val="DefaultParagraphFont"/>
    <w:semiHidden/>
    <w:unhideWhenUsed/>
    <w:rsid w:val="00D451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45043">
      <w:bodyDiv w:val="1"/>
      <w:marLeft w:val="0"/>
      <w:marRight w:val="0"/>
      <w:marTop w:val="0"/>
      <w:marBottom w:val="0"/>
      <w:divBdr>
        <w:top w:val="none" w:sz="0" w:space="0" w:color="auto"/>
        <w:left w:val="none" w:sz="0" w:space="0" w:color="auto"/>
        <w:bottom w:val="none" w:sz="0" w:space="0" w:color="auto"/>
        <w:right w:val="none" w:sz="0" w:space="0" w:color="auto"/>
      </w:divBdr>
      <w:divsChild>
        <w:div w:id="316107410">
          <w:marLeft w:val="75"/>
          <w:marRight w:val="75"/>
          <w:marTop w:val="0"/>
          <w:marBottom w:val="75"/>
          <w:divBdr>
            <w:top w:val="none" w:sz="0" w:space="0" w:color="auto"/>
            <w:left w:val="none" w:sz="0" w:space="0" w:color="auto"/>
            <w:bottom w:val="none" w:sz="0" w:space="0" w:color="auto"/>
            <w:right w:val="none" w:sz="0" w:space="0" w:color="auto"/>
          </w:divBdr>
          <w:divsChild>
            <w:div w:id="48211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 w:id="1433239098">
      <w:bodyDiv w:val="1"/>
      <w:marLeft w:val="0"/>
      <w:marRight w:val="0"/>
      <w:marTop w:val="0"/>
      <w:marBottom w:val="0"/>
      <w:divBdr>
        <w:top w:val="none" w:sz="0" w:space="0" w:color="auto"/>
        <w:left w:val="none" w:sz="0" w:space="0" w:color="auto"/>
        <w:bottom w:val="none" w:sz="0" w:space="0" w:color="auto"/>
        <w:right w:val="none" w:sz="0" w:space="0" w:color="auto"/>
      </w:divBdr>
      <w:divsChild>
        <w:div w:id="1873954546">
          <w:marLeft w:val="75"/>
          <w:marRight w:val="75"/>
          <w:marTop w:val="0"/>
          <w:marBottom w:val="75"/>
          <w:divBdr>
            <w:top w:val="none" w:sz="0" w:space="0" w:color="auto"/>
            <w:left w:val="none" w:sz="0" w:space="0" w:color="auto"/>
            <w:bottom w:val="none" w:sz="0" w:space="0" w:color="auto"/>
            <w:right w:val="none" w:sz="0" w:space="0" w:color="auto"/>
          </w:divBdr>
          <w:divsChild>
            <w:div w:id="16733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ai4ndm@itu.int" TargetMode="External"/><Relationship Id="rId18" Type="http://schemas.openxmlformats.org/officeDocument/2006/relationships/hyperlink" Target="mailto:tsbfgai4ndm@itu.int"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itu.int/rec/T-REC-A.7" TargetMode="External"/><Relationship Id="rId17" Type="http://schemas.openxmlformats.org/officeDocument/2006/relationships/hyperlink" Target="http://www.itu.int/go/fgai4nd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yworkspace/"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fgai4ndm-quickstep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go/fgai4ndm" TargetMode="External"/><Relationship Id="rId23" Type="http://schemas.openxmlformats.org/officeDocument/2006/relationships/footer" Target="footer1.xml"/><Relationship Id="rId10" Type="http://schemas.openxmlformats.org/officeDocument/2006/relationships/hyperlink" Target="http://www.itu.int/go/fgai4ndm" TargetMode="External"/><Relationship Id="rId19" Type="http://schemas.openxmlformats.org/officeDocument/2006/relationships/hyperlink" Target="https://www.itu.int/net4/CRM/xreg/web/Login.aspx?src=Registration&amp;Event=C-00009268" TargetMode="External"/><Relationship Id="rId4" Type="http://schemas.openxmlformats.org/officeDocument/2006/relationships/settings" Target="settings.xml"/><Relationship Id="rId9" Type="http://schemas.openxmlformats.org/officeDocument/2006/relationships/hyperlink" Target="mailto:tsbfgai4ndm@itu.int" TargetMode="External"/><Relationship Id="rId14" Type="http://schemas.openxmlformats.org/officeDocument/2006/relationships/hyperlink" Target="https://www.itu.int/en/ITU-T/focusgroups/ai4ndm/Pages/default.aspx"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unisdr.org/files/1037_hyogoframeworkforactionenglish.pdf" TargetMode="External"/><Relationship Id="rId13" Type="http://schemas.openxmlformats.org/officeDocument/2006/relationships/hyperlink" Target="https://www.undrr.org/publication/sendai-framework-disaster-risk-reduction-2015-2030" TargetMode="External"/><Relationship Id="rId3" Type="http://schemas.openxmlformats.org/officeDocument/2006/relationships/hyperlink" Target="https://www.preventionweb.net/experts/oped/view/72768" TargetMode="External"/><Relationship Id="rId7" Type="http://schemas.openxmlformats.org/officeDocument/2006/relationships/hyperlink" Target="https://www.ipcc.ch/site/assets/uploads/2018/03/SREX_Full_Report-1.pdf" TargetMode="External"/><Relationship Id="rId12" Type="http://schemas.openxmlformats.org/officeDocument/2006/relationships/hyperlink" Target="https://sdgs.un.org/goals" TargetMode="External"/><Relationship Id="rId2" Type="http://schemas.openxmlformats.org/officeDocument/2006/relationships/hyperlink" Target="https://link.springer.com/article/10.1007/s11069-016-2726-x" TargetMode="External"/><Relationship Id="rId1" Type="http://schemas.openxmlformats.org/officeDocument/2006/relationships/hyperlink" Target="https://www.unisdr.org/files/1037_hyogoframeworkforactionenglish.pdf" TargetMode="External"/><Relationship Id="rId6" Type="http://schemas.openxmlformats.org/officeDocument/2006/relationships/hyperlink" Target="https://www.undrr.org/publication/sendai-framework-disaster-risk-reduction-2015-2030" TargetMode="External"/><Relationship Id="rId11" Type="http://schemas.openxmlformats.org/officeDocument/2006/relationships/hyperlink" Target="https://www.itu.int/en/ITU-D/Emergency-Telecommunications/Documents/2019/GET_2019/Disruptive-Technologies.pdf" TargetMode="External"/><Relationship Id="rId5" Type="http://schemas.openxmlformats.org/officeDocument/2006/relationships/hyperlink" Target="https://library.wmo.int/doc_num.php?explnum_id=10385" TargetMode="External"/><Relationship Id="rId10" Type="http://schemas.openxmlformats.org/officeDocument/2006/relationships/hyperlink" Target="https://www.itu.int/fr/ITU-T/focusgroups/drnrr/Pages/default.aspx" TargetMode="External"/><Relationship Id="rId4" Type="http://schemas.openxmlformats.org/officeDocument/2006/relationships/hyperlink" Target="https://www.undrr.org/publication/sendai-framework-disaster-risk-reduction-2015-2030" TargetMode="External"/><Relationship Id="rId9" Type="http://schemas.openxmlformats.org/officeDocument/2006/relationships/hyperlink" Target="https://www.undrr.org/publication/sendai-framework-disaster-risk-reduction-2015-20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EBC28-C9AC-4F2B-99D9-555139D4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98</TotalTime>
  <Pages>9</Pages>
  <Words>2693</Words>
  <Characters>16570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19225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Braud, Olivia</cp:lastModifiedBy>
  <cp:revision>16</cp:revision>
  <cp:lastPrinted>2021-01-21T14:09:00Z</cp:lastPrinted>
  <dcterms:created xsi:type="dcterms:W3CDTF">2021-01-20T06:37:00Z</dcterms:created>
  <dcterms:modified xsi:type="dcterms:W3CDTF">2021-01-21T14:10:00Z</dcterms:modified>
</cp:coreProperties>
</file>