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4DC770" w14:textId="77777777" w:rsidTr="5E952115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78EC8A4" w14:textId="5024FCDB" w:rsidR="00344BEA" w:rsidRPr="009A54D9" w:rsidRDefault="007C7926" w:rsidP="00344BEA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360532FA" wp14:editId="6E091C5B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BB42CA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21938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2576D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9EE027D" w14:textId="77777777" w:rsidTr="5E952115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7E8F4A5" w14:textId="3A221D95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FE396E" w14:textId="3AE5D8F3" w:rsidR="003D38E3" w:rsidRDefault="003D38E3" w:rsidP="007D7FF7">
            <w:pPr>
              <w:pStyle w:val="Tabletext"/>
              <w:spacing w:before="480" w:after="120"/>
            </w:pPr>
            <w:r w:rsidRPr="00F7595F">
              <w:t xml:space="preserve">Geneva, </w:t>
            </w:r>
            <w:r w:rsidR="00014BE6">
              <w:t>2</w:t>
            </w:r>
            <w:r w:rsidR="00AD5586">
              <w:t>4</w:t>
            </w:r>
            <w:r w:rsidR="004B376A">
              <w:t xml:space="preserve"> </w:t>
            </w:r>
            <w:r w:rsidR="006902B3">
              <w:t>February</w:t>
            </w:r>
            <w:r w:rsidR="007D7FF7">
              <w:t xml:space="preserve"> </w:t>
            </w:r>
            <w:r w:rsidR="009B4024" w:rsidRPr="00F7595F">
              <w:t>20</w:t>
            </w:r>
            <w:r w:rsidR="006902B3">
              <w:t>2</w:t>
            </w:r>
            <w:r w:rsidR="002F59EF">
              <w:t>1</w:t>
            </w:r>
          </w:p>
        </w:tc>
      </w:tr>
      <w:tr w:rsidR="00932E45" w14:paraId="0704AA02" w14:textId="77777777" w:rsidTr="5E952115">
        <w:trPr>
          <w:cantSplit/>
          <w:trHeight w:val="700"/>
        </w:trPr>
        <w:tc>
          <w:tcPr>
            <w:tcW w:w="1143" w:type="dxa"/>
          </w:tcPr>
          <w:p w14:paraId="0AE21A81" w14:textId="77777777" w:rsidR="00932E45" w:rsidRPr="00AD5586" w:rsidRDefault="00932E45" w:rsidP="0088403A">
            <w:pPr>
              <w:pStyle w:val="Tabletext"/>
              <w:rPr>
                <w:rFonts w:ascii="Futura Lt BT" w:hAnsi="Futura Lt BT"/>
                <w:sz w:val="22"/>
                <w:szCs w:val="18"/>
              </w:rPr>
            </w:pPr>
            <w:r w:rsidRPr="00AD5586">
              <w:rPr>
                <w:sz w:val="22"/>
                <w:szCs w:val="18"/>
              </w:rPr>
              <w:t>Ref:</w:t>
            </w:r>
          </w:p>
        </w:tc>
        <w:tc>
          <w:tcPr>
            <w:tcW w:w="4244" w:type="dxa"/>
            <w:gridSpan w:val="2"/>
          </w:tcPr>
          <w:p w14:paraId="1F1F76F8" w14:textId="44AFBC66" w:rsidR="00932E45" w:rsidRPr="00AD5586" w:rsidRDefault="00932E45" w:rsidP="0056338C">
            <w:pPr>
              <w:pStyle w:val="Tabletext"/>
              <w:rPr>
                <w:b/>
                <w:sz w:val="22"/>
                <w:szCs w:val="18"/>
              </w:rPr>
            </w:pPr>
            <w:r w:rsidRPr="00AD5586">
              <w:rPr>
                <w:b/>
                <w:sz w:val="22"/>
                <w:szCs w:val="18"/>
              </w:rPr>
              <w:t xml:space="preserve">TSB Circular </w:t>
            </w:r>
            <w:r w:rsidR="00A55D0F" w:rsidRPr="00AD5586">
              <w:rPr>
                <w:b/>
                <w:sz w:val="22"/>
                <w:szCs w:val="18"/>
              </w:rPr>
              <w:t>299</w:t>
            </w:r>
          </w:p>
          <w:p w14:paraId="1523D31A" w14:textId="53043007" w:rsidR="00932E45" w:rsidRPr="00AD5586" w:rsidRDefault="002F4914" w:rsidP="00B910C0">
            <w:pPr>
              <w:pStyle w:val="Tabletext"/>
              <w:rPr>
                <w:sz w:val="22"/>
                <w:szCs w:val="18"/>
              </w:rPr>
            </w:pPr>
            <w:r w:rsidRPr="00AD5586">
              <w:rPr>
                <w:sz w:val="22"/>
                <w:szCs w:val="18"/>
              </w:rPr>
              <w:t xml:space="preserve">TSB </w:t>
            </w:r>
            <w:r w:rsidR="00CA5F8E" w:rsidRPr="00AD5586">
              <w:rPr>
                <w:sz w:val="22"/>
                <w:szCs w:val="18"/>
              </w:rPr>
              <w:t>Events</w:t>
            </w:r>
            <w:r w:rsidRPr="00AD5586">
              <w:rPr>
                <w:sz w:val="22"/>
                <w:szCs w:val="18"/>
              </w:rPr>
              <w:t>/</w:t>
            </w:r>
            <w:r w:rsidR="00A55D0F" w:rsidRPr="00AD5586">
              <w:rPr>
                <w:sz w:val="22"/>
                <w:szCs w:val="18"/>
              </w:rPr>
              <w:t>X</w:t>
            </w:r>
            <w:r w:rsidR="00B32B08" w:rsidRPr="00AD5586">
              <w:rPr>
                <w:sz w:val="22"/>
                <w:szCs w:val="18"/>
              </w:rPr>
              <w:t>A</w:t>
            </w:r>
          </w:p>
        </w:tc>
        <w:tc>
          <w:tcPr>
            <w:tcW w:w="4394" w:type="dxa"/>
            <w:gridSpan w:val="2"/>
            <w:vMerge w:val="restart"/>
          </w:tcPr>
          <w:p w14:paraId="1A66391B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5EA97E2C" w14:textId="77777777"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Administrations of Member States of the </w:t>
            </w:r>
            <w:proofErr w:type="gramStart"/>
            <w:r>
              <w:t>Union;</w:t>
            </w:r>
            <w:proofErr w:type="gramEnd"/>
          </w:p>
          <w:p w14:paraId="275A551F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gramStart"/>
            <w:r w:rsidR="00932E45" w:rsidRPr="00EB0FD4">
              <w:rPr>
                <w:color w:val="000000"/>
                <w:lang w:val="fr-CH"/>
              </w:rPr>
              <w:t>Members;</w:t>
            </w:r>
            <w:proofErr w:type="gramEnd"/>
          </w:p>
          <w:p w14:paraId="4F8058C2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gramStart"/>
            <w:r w:rsidR="00932E45" w:rsidRPr="00EB0FD4">
              <w:rPr>
                <w:color w:val="000000"/>
                <w:lang w:val="fr-CH"/>
              </w:rPr>
              <w:t>Associates;</w:t>
            </w:r>
            <w:proofErr w:type="gramEnd"/>
          </w:p>
          <w:p w14:paraId="09D9E3CB" w14:textId="77777777"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4501FBA6" w14:textId="77777777" w:rsidTr="5E952115">
        <w:trPr>
          <w:cantSplit/>
          <w:trHeight w:val="289"/>
        </w:trPr>
        <w:tc>
          <w:tcPr>
            <w:tcW w:w="1143" w:type="dxa"/>
          </w:tcPr>
          <w:p w14:paraId="58FAB83C" w14:textId="77777777" w:rsidR="00932E45" w:rsidRPr="00AD5586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AD5586">
              <w:rPr>
                <w:sz w:val="22"/>
                <w:szCs w:val="18"/>
              </w:rPr>
              <w:t>Contact:</w:t>
            </w:r>
          </w:p>
        </w:tc>
        <w:tc>
          <w:tcPr>
            <w:tcW w:w="4244" w:type="dxa"/>
            <w:gridSpan w:val="2"/>
          </w:tcPr>
          <w:p w14:paraId="257AC7C4" w14:textId="4979390A" w:rsidR="00932E45" w:rsidRPr="00AD5586" w:rsidRDefault="00A55D0F" w:rsidP="009B6449">
            <w:pPr>
              <w:pStyle w:val="Tabletext"/>
              <w:rPr>
                <w:b/>
                <w:sz w:val="22"/>
                <w:szCs w:val="18"/>
              </w:rPr>
            </w:pPr>
            <w:r w:rsidRPr="00AD5586">
              <w:rPr>
                <w:b/>
                <w:sz w:val="22"/>
                <w:szCs w:val="18"/>
              </w:rPr>
              <w:t xml:space="preserve">Xiaoya YANG </w:t>
            </w:r>
          </w:p>
        </w:tc>
        <w:tc>
          <w:tcPr>
            <w:tcW w:w="4394" w:type="dxa"/>
            <w:gridSpan w:val="2"/>
            <w:vMerge/>
          </w:tcPr>
          <w:p w14:paraId="724E683E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A9D60EA" w14:textId="77777777" w:rsidTr="5E952115">
        <w:trPr>
          <w:cantSplit/>
          <w:trHeight w:val="221"/>
        </w:trPr>
        <w:tc>
          <w:tcPr>
            <w:tcW w:w="1143" w:type="dxa"/>
          </w:tcPr>
          <w:p w14:paraId="781FE325" w14:textId="77777777" w:rsidR="00932E45" w:rsidRPr="00AD5586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AD5586">
              <w:rPr>
                <w:sz w:val="22"/>
                <w:szCs w:val="18"/>
              </w:rPr>
              <w:t>Tel:</w:t>
            </w:r>
          </w:p>
        </w:tc>
        <w:tc>
          <w:tcPr>
            <w:tcW w:w="4244" w:type="dxa"/>
            <w:gridSpan w:val="2"/>
          </w:tcPr>
          <w:p w14:paraId="7A5A0C75" w14:textId="3CA7A28D" w:rsidR="00932E45" w:rsidRPr="00AD5586" w:rsidRDefault="00932E45" w:rsidP="00B910C0">
            <w:pPr>
              <w:pStyle w:val="Tabletext"/>
              <w:rPr>
                <w:b/>
                <w:sz w:val="22"/>
                <w:szCs w:val="18"/>
              </w:rPr>
            </w:pPr>
            <w:r w:rsidRPr="00AD5586">
              <w:rPr>
                <w:sz w:val="22"/>
                <w:szCs w:val="18"/>
              </w:rPr>
              <w:t>+41 22 730</w:t>
            </w:r>
            <w:r w:rsidR="0024314F" w:rsidRPr="00AD5586">
              <w:rPr>
                <w:sz w:val="22"/>
                <w:szCs w:val="18"/>
              </w:rPr>
              <w:t xml:space="preserve"> </w:t>
            </w:r>
            <w:r w:rsidR="00A55D0F" w:rsidRPr="00AD5586">
              <w:rPr>
                <w:sz w:val="22"/>
                <w:szCs w:val="18"/>
              </w:rPr>
              <w:t>6206</w:t>
            </w:r>
          </w:p>
        </w:tc>
        <w:tc>
          <w:tcPr>
            <w:tcW w:w="4394" w:type="dxa"/>
            <w:gridSpan w:val="2"/>
            <w:vMerge/>
          </w:tcPr>
          <w:p w14:paraId="6B9CD4D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211ADCE0" w14:textId="77777777" w:rsidTr="5E952115">
        <w:trPr>
          <w:cantSplit/>
          <w:trHeight w:val="282"/>
        </w:trPr>
        <w:tc>
          <w:tcPr>
            <w:tcW w:w="1143" w:type="dxa"/>
          </w:tcPr>
          <w:p w14:paraId="029BEF1E" w14:textId="77777777" w:rsidR="00932E45" w:rsidRPr="00AD5586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AD5586">
              <w:rPr>
                <w:sz w:val="22"/>
                <w:szCs w:val="18"/>
              </w:rPr>
              <w:t>Fax:</w:t>
            </w:r>
          </w:p>
        </w:tc>
        <w:tc>
          <w:tcPr>
            <w:tcW w:w="4244" w:type="dxa"/>
            <w:gridSpan w:val="2"/>
          </w:tcPr>
          <w:p w14:paraId="3330F9FC" w14:textId="77777777" w:rsidR="00932E45" w:rsidRPr="00AD5586" w:rsidRDefault="00932E45" w:rsidP="009B6449">
            <w:pPr>
              <w:pStyle w:val="Tabletext"/>
              <w:rPr>
                <w:b/>
                <w:sz w:val="22"/>
                <w:szCs w:val="18"/>
              </w:rPr>
            </w:pPr>
            <w:r w:rsidRPr="00AD5586">
              <w:rPr>
                <w:sz w:val="22"/>
                <w:szCs w:val="18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8F31934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24A9EBD5" w14:textId="77777777" w:rsidTr="00AD5586">
        <w:trPr>
          <w:cantSplit/>
          <w:trHeight w:val="2553"/>
        </w:trPr>
        <w:tc>
          <w:tcPr>
            <w:tcW w:w="1143" w:type="dxa"/>
          </w:tcPr>
          <w:p w14:paraId="1E982FF4" w14:textId="77777777" w:rsidR="0087300D" w:rsidRPr="00AD5586" w:rsidRDefault="0087300D" w:rsidP="009B6449">
            <w:pPr>
              <w:pStyle w:val="Tabletext"/>
              <w:rPr>
                <w:sz w:val="22"/>
                <w:szCs w:val="18"/>
              </w:rPr>
            </w:pPr>
            <w:r w:rsidRPr="00AD5586">
              <w:rPr>
                <w:sz w:val="22"/>
                <w:szCs w:val="18"/>
              </w:rPr>
              <w:t>E-mail:</w:t>
            </w:r>
          </w:p>
        </w:tc>
        <w:tc>
          <w:tcPr>
            <w:tcW w:w="4244" w:type="dxa"/>
            <w:gridSpan w:val="2"/>
          </w:tcPr>
          <w:p w14:paraId="4F746E6B" w14:textId="1CE4E5C3" w:rsidR="0087300D" w:rsidRPr="00AD5586" w:rsidRDefault="0053309E" w:rsidP="001D1C12">
            <w:pPr>
              <w:pStyle w:val="Tabletext"/>
              <w:rPr>
                <w:sz w:val="22"/>
                <w:szCs w:val="18"/>
              </w:rPr>
            </w:pPr>
            <w:hyperlink r:id="rId9" w:history="1">
              <w:r w:rsidR="003824B7" w:rsidRPr="00AD5586">
                <w:rPr>
                  <w:rStyle w:val="Hyperlink"/>
                  <w:sz w:val="22"/>
                  <w:szCs w:val="18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40BCE35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296ABD6D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 xml:space="preserve">n and Vice-Chairmen of ITU-T Study </w:t>
            </w:r>
            <w:proofErr w:type="gramStart"/>
            <w:r>
              <w:t>Groups;</w:t>
            </w:r>
            <w:proofErr w:type="gramEnd"/>
          </w:p>
          <w:p w14:paraId="7EF1CE3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Telecommunication Development </w:t>
            </w:r>
            <w:proofErr w:type="gramStart"/>
            <w:r>
              <w:t>Bureau;</w:t>
            </w:r>
            <w:proofErr w:type="gramEnd"/>
          </w:p>
          <w:p w14:paraId="1D8223F3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Radiocommunication Bureau</w:t>
            </w:r>
          </w:p>
        </w:tc>
      </w:tr>
      <w:tr w:rsidR="00222D56" w:rsidRPr="009B6449" w14:paraId="1A98A9D3" w14:textId="77777777" w:rsidTr="5E952115">
        <w:trPr>
          <w:cantSplit/>
          <w:trHeight w:val="80"/>
        </w:trPr>
        <w:tc>
          <w:tcPr>
            <w:tcW w:w="1143" w:type="dxa"/>
          </w:tcPr>
          <w:p w14:paraId="25C919F4" w14:textId="0B45ED8D" w:rsidR="00222D56" w:rsidRPr="009B6449" w:rsidRDefault="00222D56" w:rsidP="00AD5586">
            <w:pPr>
              <w:pStyle w:val="Tabletext"/>
              <w:spacing w:before="0" w:after="120"/>
            </w:pPr>
            <w:r w:rsidRPr="008D0E85">
              <w:rPr>
                <w:b/>
                <w:bCs/>
              </w:rPr>
              <w:t>Subject</w:t>
            </w:r>
            <w:r w:rsidRPr="009B6449">
              <w:t>:</w:t>
            </w:r>
            <w:r w:rsidR="00D725FA">
              <w:t xml:space="preserve"> </w:t>
            </w:r>
          </w:p>
        </w:tc>
        <w:tc>
          <w:tcPr>
            <w:tcW w:w="8638" w:type="dxa"/>
            <w:gridSpan w:val="4"/>
          </w:tcPr>
          <w:p w14:paraId="2EF57BBC" w14:textId="7D2054AC" w:rsidR="00222D56" w:rsidRPr="00E52627" w:rsidRDefault="00E52627" w:rsidP="00AD5586">
            <w:pPr>
              <w:spacing w:before="0"/>
              <w:rPr>
                <w:b/>
                <w:bCs/>
                <w:lang w:val="en-US"/>
              </w:rPr>
            </w:pPr>
            <w:bookmarkStart w:id="1" w:name="_Hlk64465208"/>
            <w:r w:rsidRPr="00E52627">
              <w:rPr>
                <w:rFonts w:eastAsia="Batang" w:cs="Calibri"/>
                <w:b/>
                <w:bCs/>
                <w:lang w:eastAsia="ko-KR"/>
              </w:rPr>
              <w:t>Joint Symposium on Standards for Quantum Technologies </w:t>
            </w:r>
            <w:bookmarkEnd w:id="1"/>
            <w:r w:rsidR="00E33BBC">
              <w:rPr>
                <w:b/>
                <w:bCs/>
                <w:color w:val="FF0000"/>
                <w:lang w:val="en-US"/>
              </w:rPr>
              <w:br/>
            </w:r>
            <w:r>
              <w:rPr>
                <w:b/>
                <w:bCs/>
                <w:lang w:val="en-US"/>
              </w:rPr>
              <w:t>2</w:t>
            </w:r>
            <w:r w:rsidRPr="00E52627">
              <w:rPr>
                <w:b/>
                <w:bCs/>
                <w:lang w:val="en-US"/>
              </w:rPr>
              <w:t>3 March 2021</w:t>
            </w:r>
            <w:r>
              <w:rPr>
                <w:b/>
                <w:bCs/>
                <w:lang w:val="en-US"/>
              </w:rPr>
              <w:t xml:space="preserve"> </w:t>
            </w:r>
            <w:r w:rsidR="00FB3DA4" w:rsidRPr="00BA3914">
              <w:rPr>
                <w:b/>
                <w:bCs/>
                <w:lang w:val="en-US"/>
              </w:rPr>
              <w:t>(</w:t>
            </w:r>
            <w:r w:rsidR="006902B3" w:rsidRPr="00BA3914">
              <w:rPr>
                <w:b/>
                <w:bCs/>
                <w:lang w:val="en-US"/>
              </w:rPr>
              <w:t>Fully Virtual Meeting</w:t>
            </w:r>
            <w:r w:rsidR="00FB3DA4" w:rsidRPr="00BA3914">
              <w:rPr>
                <w:b/>
                <w:bCs/>
                <w:lang w:val="en-US"/>
              </w:rPr>
              <w:t>)</w:t>
            </w:r>
          </w:p>
        </w:tc>
      </w:tr>
    </w:tbl>
    <w:p w14:paraId="6DB7C4EA" w14:textId="77777777" w:rsidR="0087300D" w:rsidRPr="00BA3914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BA3914">
        <w:rPr>
          <w:szCs w:val="24"/>
        </w:rPr>
        <w:t>Dear Sir/Madam,</w:t>
      </w:r>
    </w:p>
    <w:p w14:paraId="3F8B9B21" w14:textId="5D765D81" w:rsidR="00B67350" w:rsidRPr="00E52627" w:rsidRDefault="0087300D" w:rsidP="00E52627">
      <w:pPr>
        <w:rPr>
          <w:rFonts w:ascii="Calibri" w:eastAsia="Calibri" w:hAnsi="Calibri" w:cs="Calibri"/>
          <w:sz w:val="22"/>
          <w:szCs w:val="22"/>
          <w:lang w:eastAsia="en-GB"/>
        </w:rPr>
      </w:pPr>
      <w:bookmarkStart w:id="3" w:name="suitetext"/>
      <w:bookmarkStart w:id="4" w:name="text"/>
      <w:bookmarkEnd w:id="3"/>
      <w:bookmarkEnd w:id="4"/>
      <w:r w:rsidRPr="00BA3914">
        <w:rPr>
          <w:bCs/>
          <w:szCs w:val="24"/>
        </w:rPr>
        <w:t>1</w:t>
      </w:r>
      <w:r w:rsidRPr="00BA3914">
        <w:rPr>
          <w:szCs w:val="24"/>
        </w:rPr>
        <w:tab/>
      </w:r>
      <w:r w:rsidR="00D725FA" w:rsidRPr="00E52627">
        <w:rPr>
          <w:rFonts w:ascii="Calibri" w:hAnsi="Calibri"/>
          <w:szCs w:val="24"/>
        </w:rPr>
        <w:t xml:space="preserve">It </w:t>
      </w:r>
      <w:r w:rsidR="00D725FA" w:rsidRPr="007D76B9">
        <w:rPr>
          <w:rFonts w:ascii="Calibri" w:hAnsi="Calibri"/>
          <w:szCs w:val="24"/>
        </w:rPr>
        <w:t>is</w:t>
      </w:r>
      <w:r w:rsidR="00D725FA" w:rsidRPr="00E52627">
        <w:rPr>
          <w:rFonts w:ascii="Calibri" w:hAnsi="Calibri"/>
          <w:szCs w:val="24"/>
        </w:rPr>
        <w:t xml:space="preserve"> my pleasure to invite you to the </w:t>
      </w:r>
      <w:r w:rsidR="00E52627" w:rsidRPr="00E52627">
        <w:rPr>
          <w:rFonts w:ascii="Calibri" w:hAnsi="Calibri"/>
          <w:b/>
          <w:bCs/>
          <w:szCs w:val="24"/>
        </w:rPr>
        <w:t>Joint Symposium on Standards for Quantum Technologies</w:t>
      </w:r>
      <w:r w:rsidR="00E52627" w:rsidRPr="00E52627">
        <w:rPr>
          <w:rFonts w:ascii="Calibri" w:hAnsi="Calibri"/>
          <w:szCs w:val="24"/>
        </w:rPr>
        <w:t xml:space="preserve"> jointly organised by </w:t>
      </w:r>
      <w:r w:rsidR="00CA65C3">
        <w:rPr>
          <w:rFonts w:ascii="Calibri" w:hAnsi="Calibri"/>
          <w:szCs w:val="24"/>
        </w:rPr>
        <w:t xml:space="preserve">the </w:t>
      </w:r>
      <w:r w:rsidR="00E52627" w:rsidRPr="00364A6C">
        <w:rPr>
          <w:rFonts w:ascii="Calibri" w:hAnsi="Calibri"/>
          <w:b/>
          <w:bCs/>
          <w:szCs w:val="24"/>
        </w:rPr>
        <w:t>I</w:t>
      </w:r>
      <w:r w:rsidR="00CA65C3" w:rsidRPr="00364A6C">
        <w:rPr>
          <w:rFonts w:ascii="Calibri" w:hAnsi="Calibri"/>
          <w:b/>
          <w:bCs/>
          <w:szCs w:val="24"/>
        </w:rPr>
        <w:t>nternational Telecommunication Union (I</w:t>
      </w:r>
      <w:r w:rsidR="00E52627" w:rsidRPr="00364A6C">
        <w:rPr>
          <w:rFonts w:ascii="Calibri" w:hAnsi="Calibri"/>
          <w:b/>
          <w:bCs/>
          <w:szCs w:val="24"/>
        </w:rPr>
        <w:t>TU</w:t>
      </w:r>
      <w:r w:rsidR="00CA65C3" w:rsidRPr="00364A6C">
        <w:rPr>
          <w:rFonts w:ascii="Calibri" w:hAnsi="Calibri"/>
          <w:b/>
          <w:bCs/>
          <w:szCs w:val="24"/>
        </w:rPr>
        <w:t>)</w:t>
      </w:r>
      <w:r w:rsidR="00E52627" w:rsidRPr="00364A6C">
        <w:rPr>
          <w:rFonts w:ascii="Calibri" w:hAnsi="Calibri"/>
          <w:b/>
          <w:bCs/>
          <w:szCs w:val="24"/>
        </w:rPr>
        <w:t xml:space="preserve">, </w:t>
      </w:r>
      <w:r w:rsidR="00F56A25" w:rsidRPr="00364A6C">
        <w:rPr>
          <w:rFonts w:ascii="Calibri" w:hAnsi="Calibri"/>
          <w:b/>
          <w:bCs/>
          <w:szCs w:val="24"/>
        </w:rPr>
        <w:t>International Electrotechnical Commission (</w:t>
      </w:r>
      <w:r w:rsidR="00E52627" w:rsidRPr="00364A6C">
        <w:rPr>
          <w:rFonts w:ascii="Calibri" w:hAnsi="Calibri"/>
          <w:b/>
          <w:bCs/>
          <w:szCs w:val="24"/>
        </w:rPr>
        <w:t>IEC</w:t>
      </w:r>
      <w:r w:rsidR="00F56A25" w:rsidRPr="00364A6C">
        <w:rPr>
          <w:rFonts w:ascii="Calibri" w:hAnsi="Calibri"/>
          <w:b/>
          <w:bCs/>
          <w:szCs w:val="24"/>
        </w:rPr>
        <w:t>)</w:t>
      </w:r>
      <w:r w:rsidR="00E52627" w:rsidRPr="00364A6C">
        <w:rPr>
          <w:rFonts w:ascii="Calibri" w:hAnsi="Calibri"/>
          <w:b/>
          <w:bCs/>
          <w:szCs w:val="24"/>
        </w:rPr>
        <w:t xml:space="preserve">, </w:t>
      </w:r>
      <w:bookmarkStart w:id="5" w:name="_Hlk64465926"/>
      <w:r w:rsidR="00A9241D" w:rsidRPr="00364A6C">
        <w:rPr>
          <w:rFonts w:ascii="Calibri" w:hAnsi="Calibri"/>
          <w:b/>
          <w:bCs/>
          <w:szCs w:val="24"/>
        </w:rPr>
        <w:t>Institute of Electrical and Electronics Engineers (</w:t>
      </w:r>
      <w:r w:rsidR="00E52627" w:rsidRPr="00364A6C">
        <w:rPr>
          <w:rFonts w:ascii="Calibri" w:hAnsi="Calibri"/>
          <w:b/>
          <w:bCs/>
          <w:szCs w:val="24"/>
        </w:rPr>
        <w:t>IEEE</w:t>
      </w:r>
      <w:r w:rsidR="00A9241D" w:rsidRPr="00364A6C">
        <w:rPr>
          <w:rFonts w:ascii="Calibri" w:hAnsi="Calibri"/>
          <w:b/>
          <w:bCs/>
          <w:szCs w:val="24"/>
        </w:rPr>
        <w:t xml:space="preserve">) </w:t>
      </w:r>
      <w:r w:rsidR="00E52627" w:rsidRPr="00364A6C">
        <w:rPr>
          <w:rFonts w:ascii="Calibri" w:hAnsi="Calibri"/>
          <w:b/>
          <w:bCs/>
          <w:szCs w:val="24"/>
        </w:rPr>
        <w:t>UK and Ireland Photonics Chapter</w:t>
      </w:r>
      <w:r w:rsidR="00E52627" w:rsidRPr="00364A6C">
        <w:rPr>
          <w:b/>
          <w:bCs/>
          <w:szCs w:val="24"/>
          <w:lang w:val="en-US"/>
        </w:rPr>
        <w:t xml:space="preserve"> </w:t>
      </w:r>
      <w:bookmarkEnd w:id="5"/>
      <w:r w:rsidR="006902B3" w:rsidRPr="00BA3914">
        <w:rPr>
          <w:rFonts w:ascii="Calibri" w:hAnsi="Calibri"/>
          <w:szCs w:val="24"/>
        </w:rPr>
        <w:t>tak</w:t>
      </w:r>
      <w:r w:rsidR="00E52627">
        <w:rPr>
          <w:rFonts w:ascii="Calibri" w:hAnsi="Calibri"/>
          <w:szCs w:val="24"/>
        </w:rPr>
        <w:t xml:space="preserve">ing </w:t>
      </w:r>
      <w:r w:rsidR="006902B3" w:rsidRPr="00BA3914">
        <w:rPr>
          <w:rFonts w:ascii="Calibri" w:hAnsi="Calibri"/>
          <w:szCs w:val="24"/>
        </w:rPr>
        <w:t>place virtually</w:t>
      </w:r>
      <w:r w:rsidR="00E52627" w:rsidRPr="00E52627">
        <w:rPr>
          <w:rFonts w:ascii="Calibri" w:hAnsi="Calibri"/>
          <w:szCs w:val="24"/>
        </w:rPr>
        <w:t xml:space="preserve"> </w:t>
      </w:r>
      <w:r w:rsidR="00E52627" w:rsidRPr="00BA3914">
        <w:rPr>
          <w:rFonts w:ascii="Calibri" w:hAnsi="Calibri"/>
          <w:szCs w:val="24"/>
        </w:rPr>
        <w:t xml:space="preserve">on </w:t>
      </w:r>
      <w:r w:rsidR="00E52627">
        <w:rPr>
          <w:rFonts w:ascii="Calibri" w:hAnsi="Calibri"/>
          <w:b/>
          <w:bCs/>
          <w:szCs w:val="24"/>
        </w:rPr>
        <w:t xml:space="preserve">23 </w:t>
      </w:r>
      <w:r w:rsidR="00E52627" w:rsidRPr="00BA3914">
        <w:rPr>
          <w:rFonts w:ascii="Calibri" w:hAnsi="Calibri"/>
          <w:b/>
          <w:bCs/>
          <w:szCs w:val="24"/>
        </w:rPr>
        <w:t>March 202</w:t>
      </w:r>
      <w:r w:rsidR="00E52627">
        <w:rPr>
          <w:rFonts w:ascii="Calibri" w:hAnsi="Calibri"/>
          <w:b/>
          <w:bCs/>
          <w:szCs w:val="24"/>
        </w:rPr>
        <w:t>1</w:t>
      </w:r>
      <w:r w:rsidR="006902B3" w:rsidRPr="00BA3914">
        <w:rPr>
          <w:rFonts w:ascii="Calibri" w:hAnsi="Calibri"/>
          <w:szCs w:val="24"/>
        </w:rPr>
        <w:t xml:space="preserve"> </w:t>
      </w:r>
      <w:r w:rsidR="00E33BBC" w:rsidRPr="00BA3914">
        <w:rPr>
          <w:rFonts w:ascii="Calibri" w:hAnsi="Calibri"/>
          <w:szCs w:val="24"/>
        </w:rPr>
        <w:t>from 1</w:t>
      </w:r>
      <w:r w:rsidR="00E52627">
        <w:rPr>
          <w:rFonts w:ascii="Calibri" w:hAnsi="Calibri"/>
          <w:szCs w:val="24"/>
        </w:rPr>
        <w:t>5</w:t>
      </w:r>
      <w:r w:rsidR="00E33BBC" w:rsidRPr="00BA3914">
        <w:rPr>
          <w:rFonts w:ascii="Calibri" w:hAnsi="Calibri"/>
          <w:szCs w:val="24"/>
        </w:rPr>
        <w:t>h00-1</w:t>
      </w:r>
      <w:r w:rsidR="00E52627">
        <w:rPr>
          <w:rFonts w:ascii="Calibri" w:hAnsi="Calibri"/>
          <w:szCs w:val="24"/>
        </w:rPr>
        <w:t>8</w:t>
      </w:r>
      <w:r w:rsidR="00E33BBC" w:rsidRPr="00BA3914">
        <w:rPr>
          <w:rFonts w:ascii="Calibri" w:hAnsi="Calibri"/>
          <w:szCs w:val="24"/>
        </w:rPr>
        <w:t>h00 CET</w:t>
      </w:r>
      <w:r w:rsidR="00E52627">
        <w:rPr>
          <w:rFonts w:ascii="Calibri" w:hAnsi="Calibri"/>
          <w:szCs w:val="24"/>
        </w:rPr>
        <w:t xml:space="preserve">. </w:t>
      </w:r>
    </w:p>
    <w:p w14:paraId="5874A04E" w14:textId="7593729C" w:rsidR="00FB3DA4" w:rsidRPr="007A7AD0" w:rsidRDefault="00FB3DA4" w:rsidP="5E952115">
      <w:pPr>
        <w:tabs>
          <w:tab w:val="clear" w:pos="1134"/>
          <w:tab w:val="left" w:pos="900"/>
        </w:tabs>
      </w:pPr>
      <w:r w:rsidRPr="5E952115">
        <w:rPr>
          <w:rFonts w:ascii="Calibri" w:hAnsi="Calibri"/>
        </w:rPr>
        <w:t>2</w:t>
      </w:r>
      <w:r>
        <w:tab/>
      </w:r>
      <w:r w:rsidR="00E52627">
        <w:t>This joint symposium will bring together world-leading speakers to introduce different aspects of quantum</w:t>
      </w:r>
      <w:r w:rsidR="0A895D89">
        <w:t xml:space="preserve"> </w:t>
      </w:r>
      <w:r w:rsidR="00E52627">
        <w:t xml:space="preserve">technologies: quantum communication, quantum computation and quantum measurement. This will be followed by an extensive panel discussion involving representatives from </w:t>
      </w:r>
      <w:r w:rsidR="00C77C03">
        <w:t xml:space="preserve">various SDOs including </w:t>
      </w:r>
      <w:r w:rsidR="00E52627">
        <w:t>ISO, IEC, ITU-T, NIST, ETSI, ISO</w:t>
      </w:r>
      <w:r w:rsidR="00C77C03">
        <w:t xml:space="preserve">, </w:t>
      </w:r>
      <w:r w:rsidR="00E52627">
        <w:t xml:space="preserve">CEN/CENELEC to discuss </w:t>
      </w:r>
      <w:r w:rsidR="3E3AF14A">
        <w:t xml:space="preserve">how </w:t>
      </w:r>
      <w:r w:rsidR="00E52627">
        <w:t xml:space="preserve">standards </w:t>
      </w:r>
      <w:r w:rsidR="5611DB74">
        <w:t xml:space="preserve">could help to promote the </w:t>
      </w:r>
      <w:r w:rsidR="2E145B24">
        <w:t>commerc</w:t>
      </w:r>
      <w:r w:rsidR="5611DB74">
        <w:t xml:space="preserve">ialization of </w:t>
      </w:r>
      <w:r w:rsidR="00E52627">
        <w:t xml:space="preserve">quantum technologies, </w:t>
      </w:r>
      <w:proofErr w:type="gramStart"/>
      <w:r w:rsidR="00E52627">
        <w:t>identify</w:t>
      </w:r>
      <w:proofErr w:type="gramEnd"/>
      <w:r w:rsidR="00E52627">
        <w:t xml:space="preserve"> and prioritise areas in which standards would be most required and according to which timeline (road-mapping).</w:t>
      </w:r>
    </w:p>
    <w:p w14:paraId="7FED2579" w14:textId="0DC10329" w:rsidR="00424D56" w:rsidRDefault="00E52627" w:rsidP="5E952115">
      <w:pPr>
        <w:tabs>
          <w:tab w:val="clear" w:pos="1134"/>
          <w:tab w:val="left" w:pos="900"/>
        </w:tabs>
        <w:rPr>
          <w:rFonts w:ascii="Calibri" w:hAnsi="Calibri"/>
        </w:rPr>
      </w:pPr>
      <w:proofErr w:type="gramStart"/>
      <w:r w:rsidRPr="5E952115">
        <w:rPr>
          <w:rFonts w:ascii="Calibri" w:hAnsi="Calibri"/>
        </w:rPr>
        <w:t>In particular, it</w:t>
      </w:r>
      <w:proofErr w:type="gramEnd"/>
      <w:r w:rsidRPr="5E952115">
        <w:rPr>
          <w:rFonts w:ascii="Calibri" w:hAnsi="Calibri"/>
        </w:rPr>
        <w:t xml:space="preserve"> will explore the most important lessons learnt from previous efforts to standardise new technologies (such as optics and photonics) and discuss how </w:t>
      </w:r>
      <w:r w:rsidR="00424D56" w:rsidRPr="00926C72">
        <w:rPr>
          <w:rFonts w:ascii="Calibri" w:hAnsi="Calibri"/>
        </w:rPr>
        <w:t>past</w:t>
      </w:r>
      <w:r w:rsidR="00424D56" w:rsidRPr="5E952115">
        <w:rPr>
          <w:rFonts w:ascii="Calibri" w:hAnsi="Calibri"/>
        </w:rPr>
        <w:t xml:space="preserve"> methods can be applied </w:t>
      </w:r>
      <w:r w:rsidR="00926C72">
        <w:rPr>
          <w:rFonts w:ascii="Calibri" w:hAnsi="Calibri"/>
        </w:rPr>
        <w:t>to quantum technologies</w:t>
      </w:r>
      <w:r w:rsidR="00424D56" w:rsidRPr="5E952115">
        <w:rPr>
          <w:rFonts w:ascii="Calibri" w:hAnsi="Calibri"/>
        </w:rPr>
        <w:t xml:space="preserve"> to ensure that</w:t>
      </w:r>
      <w:r w:rsidR="00926C72">
        <w:rPr>
          <w:rFonts w:ascii="Calibri" w:hAnsi="Calibri"/>
        </w:rPr>
        <w:t xml:space="preserve"> </w:t>
      </w:r>
      <w:r w:rsidRPr="5E952115">
        <w:rPr>
          <w:rFonts w:ascii="Calibri" w:hAnsi="Calibri"/>
        </w:rPr>
        <w:t>different SDOs can achieve harmonisation from the outset, avoiding unhelpful divergence without</w:t>
      </w:r>
      <w:r w:rsidR="00424D56" w:rsidRPr="5E952115">
        <w:rPr>
          <w:rFonts w:ascii="Calibri" w:hAnsi="Calibri"/>
        </w:rPr>
        <w:t xml:space="preserve"> impacting </w:t>
      </w:r>
      <w:r w:rsidRPr="5E952115">
        <w:rPr>
          <w:rFonts w:ascii="Calibri" w:hAnsi="Calibri"/>
        </w:rPr>
        <w:t>healthy competition between SDOs. </w:t>
      </w:r>
    </w:p>
    <w:p w14:paraId="29CAED4A" w14:textId="6CD5F8AF" w:rsidR="00AD5586" w:rsidRDefault="351E2549" w:rsidP="00E52627">
      <w:pPr>
        <w:tabs>
          <w:tab w:val="clear" w:pos="1134"/>
          <w:tab w:val="left" w:pos="900"/>
        </w:tabs>
      </w:pPr>
      <w:r>
        <w:t>3</w:t>
      </w:r>
      <w:r w:rsidR="003B0BEF">
        <w:tab/>
      </w:r>
      <w:r w:rsidR="00E33BBC" w:rsidRPr="5E952115">
        <w:rPr>
          <w:rFonts w:ascii="Calibri" w:hAnsi="Calibri"/>
        </w:rPr>
        <w:t>Participation</w:t>
      </w:r>
      <w:r w:rsidR="00E33BBC">
        <w:t xml:space="preserve"> in the workshop</w:t>
      </w:r>
      <w:r w:rsidR="00015F65">
        <w:t xml:space="preserve"> is open for</w:t>
      </w:r>
      <w:r w:rsidR="00BA3914" w:rsidRPr="5E952115">
        <w:rPr>
          <w:rFonts w:ascii="Calibri" w:eastAsia="Calibri" w:hAnsi="Calibri" w:cs="Arial"/>
          <w:lang w:val="en-US"/>
        </w:rPr>
        <w:t xml:space="preserve"> ITU</w:t>
      </w:r>
      <w:r w:rsidR="00BA3914">
        <w:t xml:space="preserve"> Member States, Sector Members, Associates and Academic Institutions and to any individual from a country that is a member of ITU.</w:t>
      </w:r>
      <w:r w:rsidR="00C77C03" w:rsidRPr="5E952115">
        <w:rPr>
          <w:rFonts w:ascii="Calibri" w:eastAsia="Calibri" w:hAnsi="Calibri" w:cs="Arial"/>
          <w:lang w:val="en-US"/>
        </w:rPr>
        <w:t xml:space="preserve"> </w:t>
      </w:r>
      <w:r w:rsidR="00C77C03">
        <w:t xml:space="preserve">This includes individuals who are also members of international, </w:t>
      </w:r>
      <w:proofErr w:type="gramStart"/>
      <w:r w:rsidR="00C77C03">
        <w:t>regional</w:t>
      </w:r>
      <w:proofErr w:type="gramEnd"/>
      <w:r w:rsidR="00C77C03">
        <w:t xml:space="preserve"> and national organizations, specifically the members of IEC and the IEEE UK and Ireland Photonics Chapter.</w:t>
      </w:r>
    </w:p>
    <w:p w14:paraId="67B23FF1" w14:textId="77777777" w:rsidR="00AD5586" w:rsidRDefault="00AD55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2DF0AB6" w14:textId="71FC535E" w:rsidR="00DC3802" w:rsidRDefault="3521825C" w:rsidP="003B0BEF">
      <w:pPr>
        <w:tabs>
          <w:tab w:val="clear" w:pos="1134"/>
          <w:tab w:val="left" w:pos="900"/>
        </w:tabs>
        <w:spacing w:line="259" w:lineRule="auto"/>
      </w:pPr>
      <w:r>
        <w:lastRenderedPageBreak/>
        <w:t>4</w:t>
      </w:r>
      <w:r w:rsidR="003B0BEF">
        <w:tab/>
      </w:r>
      <w:r w:rsidR="00E33BBC">
        <w:t xml:space="preserve">All pertinent information relating to this virtual </w:t>
      </w:r>
      <w:r w:rsidR="00974DE6">
        <w:t>symposium</w:t>
      </w:r>
      <w:r w:rsidR="00E33BBC">
        <w:t xml:space="preserve"> including the draft programme</w:t>
      </w:r>
      <w:r w:rsidR="00BA3914">
        <w:t>,</w:t>
      </w:r>
      <w:r w:rsidR="00E33BBC">
        <w:t xml:space="preserve"> speakers</w:t>
      </w:r>
      <w:r w:rsidR="00BA3914">
        <w:t xml:space="preserve">, </w:t>
      </w:r>
      <w:r w:rsidR="00592D81">
        <w:t xml:space="preserve">moderators, </w:t>
      </w:r>
      <w:r w:rsidR="00BA3914">
        <w:t xml:space="preserve">etc. </w:t>
      </w:r>
      <w:r w:rsidR="00E33BBC">
        <w:t xml:space="preserve">will be </w:t>
      </w:r>
      <w:r w:rsidR="00066EB9">
        <w:t xml:space="preserve">made </w:t>
      </w:r>
      <w:r w:rsidR="00E33BBC">
        <w:t xml:space="preserve">available on the event website at: </w:t>
      </w:r>
      <w:hyperlink r:id="rId10" w:history="1">
        <w:r w:rsidR="00926C72" w:rsidRPr="002253FD">
          <w:rPr>
            <w:rStyle w:val="Hyperlink"/>
          </w:rPr>
          <w:t>https://www.itu.int/en/ITU-T/Workshops-and-Seminars/2021/0323/Pages/default.aspx</w:t>
        </w:r>
      </w:hyperlink>
      <w:r w:rsidR="00392750">
        <w:t>.</w:t>
      </w:r>
      <w:r w:rsidR="00E33BBC">
        <w:t>This website will be updated regularly as new or modified information becomes available. Participants are requested to check periodically for new updates.</w:t>
      </w:r>
    </w:p>
    <w:p w14:paraId="62805AA3" w14:textId="089C96B8" w:rsidR="00592D81" w:rsidRDefault="3AD42321" w:rsidP="003B0BEF">
      <w:pPr>
        <w:tabs>
          <w:tab w:val="clear" w:pos="1134"/>
          <w:tab w:val="left" w:pos="900"/>
        </w:tabs>
        <w:spacing w:line="259" w:lineRule="auto"/>
      </w:pPr>
      <w:r>
        <w:t>5</w:t>
      </w:r>
      <w:r w:rsidR="003B0BEF">
        <w:tab/>
      </w:r>
      <w:r w:rsidR="006E337F">
        <w:t xml:space="preserve">Registration is mandatory for all participants in order to be able to access the </w:t>
      </w:r>
      <w:r w:rsidR="00592D81">
        <w:t>r</w:t>
      </w:r>
      <w:r w:rsidR="006E337F">
        <w:t xml:space="preserve">emote </w:t>
      </w:r>
      <w:r w:rsidR="00592D81">
        <w:t>p</w:t>
      </w:r>
      <w:r w:rsidR="006E337F">
        <w:t>articipation tool. You are invited to complete the online registration form available on the event’s web page.</w:t>
      </w:r>
      <w:r w:rsidR="00592D81">
        <w:t xml:space="preserve"> </w:t>
      </w:r>
    </w:p>
    <w:p w14:paraId="616AD440" w14:textId="027CC9A3" w:rsidR="00CB44D6" w:rsidRPr="00BA3914" w:rsidRDefault="00CB44D6" w:rsidP="006E337F">
      <w:pPr>
        <w:tabs>
          <w:tab w:val="clear" w:pos="1134"/>
          <w:tab w:val="left" w:pos="900"/>
        </w:tabs>
        <w:rPr>
          <w:szCs w:val="24"/>
        </w:rPr>
      </w:pPr>
    </w:p>
    <w:p w14:paraId="01B6330F" w14:textId="6F2F023D" w:rsidR="008D0E85" w:rsidRDefault="005D2B53" w:rsidP="008D0E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BA3914">
        <w:rPr>
          <w:szCs w:val="24"/>
        </w:rPr>
        <w:t>Yours faithfully,</w:t>
      </w:r>
      <w:r w:rsidR="008D0E85" w:rsidRPr="00BA3914">
        <w:rPr>
          <w:szCs w:val="24"/>
        </w:rPr>
        <w:t xml:space="preserve"> </w:t>
      </w:r>
    </w:p>
    <w:p w14:paraId="1F2B4435" w14:textId="7975D897" w:rsidR="005D2B53" w:rsidRPr="00AD5586" w:rsidRDefault="0053309E" w:rsidP="00AD55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960"/>
        <w:textAlignment w:val="auto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C6F1429" wp14:editId="34B3ED85">
            <wp:simplePos x="0" y="0"/>
            <wp:positionH relativeFrom="column">
              <wp:posOffset>661</wp:posOffset>
            </wp:positionH>
            <wp:positionV relativeFrom="paragraph">
              <wp:posOffset>156845</wp:posOffset>
            </wp:positionV>
            <wp:extent cx="721087" cy="304597"/>
            <wp:effectExtent l="0" t="0" r="317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1087" cy="304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B53" w:rsidRPr="5E952115">
        <w:t>Chaesub Lee</w:t>
      </w:r>
      <w:r w:rsidR="005D2B53" w:rsidRPr="00BA3914">
        <w:rPr>
          <w:szCs w:val="24"/>
        </w:rPr>
        <w:br/>
      </w:r>
      <w:r w:rsidR="005D2B53" w:rsidRPr="5E952115">
        <w:t>Director of the Telecommunication</w:t>
      </w:r>
      <w:r w:rsidR="005D2B53" w:rsidRPr="00BA3914">
        <w:rPr>
          <w:szCs w:val="24"/>
        </w:rPr>
        <w:br/>
      </w:r>
      <w:r w:rsidR="005D2B53" w:rsidRPr="5E952115">
        <w:t>Standardization Bureau</w:t>
      </w:r>
      <w:bookmarkStart w:id="6" w:name="Duties"/>
      <w:bookmarkEnd w:id="6"/>
    </w:p>
    <w:sectPr w:rsidR="005D2B53" w:rsidRPr="00AD5586" w:rsidSect="00AD7192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0E260" w14:textId="77777777" w:rsidR="0034659C" w:rsidRDefault="0034659C">
      <w:r>
        <w:separator/>
      </w:r>
    </w:p>
  </w:endnote>
  <w:endnote w:type="continuationSeparator" w:id="0">
    <w:p w14:paraId="5C87B55B" w14:textId="77777777" w:rsidR="0034659C" w:rsidRDefault="0034659C">
      <w:r>
        <w:continuationSeparator/>
      </w:r>
    </w:p>
  </w:endnote>
  <w:endnote w:type="continuationNotice" w:id="1">
    <w:p w14:paraId="4621FE2E" w14:textId="77777777" w:rsidR="0034659C" w:rsidRDefault="0034659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68C5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98913" w14:textId="77777777" w:rsidR="0034659C" w:rsidRDefault="0034659C">
      <w:r>
        <w:t>____________________</w:t>
      </w:r>
    </w:p>
  </w:footnote>
  <w:footnote w:type="continuationSeparator" w:id="0">
    <w:p w14:paraId="4338B363" w14:textId="77777777" w:rsidR="0034659C" w:rsidRDefault="0034659C">
      <w:r>
        <w:continuationSeparator/>
      </w:r>
    </w:p>
  </w:footnote>
  <w:footnote w:type="continuationNotice" w:id="1">
    <w:p w14:paraId="4207E130" w14:textId="77777777" w:rsidR="0034659C" w:rsidRDefault="0034659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19198" w14:textId="49FE5B87" w:rsidR="000A3261" w:rsidRDefault="000A3261" w:rsidP="00AD558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1E6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2F549A">
      <w:rPr>
        <w:rStyle w:val="PageNumber"/>
      </w:rPr>
      <w:t>29</w:t>
    </w:r>
    <w:r w:rsidR="00A55D0F">
      <w:rPr>
        <w:rStyle w:val="PageNumber"/>
      </w:rPr>
      <w:t>9</w:t>
    </w:r>
  </w:p>
  <w:p w14:paraId="344B59BF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hybridMultilevel"/>
    <w:tmpl w:val="95660E2A"/>
    <w:lvl w:ilvl="0" w:tplc="8376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E4432E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920C6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809876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plc="4CC822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C24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BEB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76F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10A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20CA2714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E9C0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606"/>
    <w:multiLevelType w:val="hybridMultilevel"/>
    <w:tmpl w:val="2EF60AAC"/>
    <w:lvl w:ilvl="0" w:tplc="FD9E5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F86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D6A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DCF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46E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C48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A8E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B688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FC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E6"/>
    <w:multiLevelType w:val="hybridMultilevel"/>
    <w:tmpl w:val="053AEEC2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57A27E2"/>
    <w:multiLevelType w:val="hybridMultilevel"/>
    <w:tmpl w:val="F3A0CCDA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805"/>
    <w:multiLevelType w:val="hybridMultilevel"/>
    <w:tmpl w:val="56B4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5D1"/>
    <w:multiLevelType w:val="hybridMultilevel"/>
    <w:tmpl w:val="95660E2A"/>
    <w:lvl w:ilvl="0" w:tplc="87E4C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B100DA54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55841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50A2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52B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F0A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048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2AE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0AD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5959"/>
    <w:rsid w:val="0000612C"/>
    <w:rsid w:val="000069D4"/>
    <w:rsid w:val="00014BE6"/>
    <w:rsid w:val="00015F65"/>
    <w:rsid w:val="000174AD"/>
    <w:rsid w:val="00034325"/>
    <w:rsid w:val="00037236"/>
    <w:rsid w:val="00047042"/>
    <w:rsid w:val="0006205F"/>
    <w:rsid w:val="00066EB9"/>
    <w:rsid w:val="00075011"/>
    <w:rsid w:val="00075F9D"/>
    <w:rsid w:val="00076775"/>
    <w:rsid w:val="000A0C60"/>
    <w:rsid w:val="000A3261"/>
    <w:rsid w:val="000A6F5D"/>
    <w:rsid w:val="000A7D55"/>
    <w:rsid w:val="000C2E8E"/>
    <w:rsid w:val="000C7BFA"/>
    <w:rsid w:val="000D49FB"/>
    <w:rsid w:val="000E0E7C"/>
    <w:rsid w:val="000F1B4B"/>
    <w:rsid w:val="00103631"/>
    <w:rsid w:val="00115E69"/>
    <w:rsid w:val="00122D83"/>
    <w:rsid w:val="0012744F"/>
    <w:rsid w:val="00130639"/>
    <w:rsid w:val="0013103F"/>
    <w:rsid w:val="001318A7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64B7E"/>
    <w:rsid w:val="00172A66"/>
    <w:rsid w:val="0018116D"/>
    <w:rsid w:val="00182528"/>
    <w:rsid w:val="0018500B"/>
    <w:rsid w:val="001866E7"/>
    <w:rsid w:val="00196103"/>
    <w:rsid w:val="00196A19"/>
    <w:rsid w:val="00196E9A"/>
    <w:rsid w:val="001A2A59"/>
    <w:rsid w:val="001A7566"/>
    <w:rsid w:val="001A7EB4"/>
    <w:rsid w:val="001B0C13"/>
    <w:rsid w:val="001B1042"/>
    <w:rsid w:val="001C1DD9"/>
    <w:rsid w:val="001C3018"/>
    <w:rsid w:val="001C46B1"/>
    <w:rsid w:val="001C654F"/>
    <w:rsid w:val="001C6B1D"/>
    <w:rsid w:val="001D1C12"/>
    <w:rsid w:val="001E08F3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3492"/>
    <w:rsid w:val="00235FA1"/>
    <w:rsid w:val="0024075D"/>
    <w:rsid w:val="0024314F"/>
    <w:rsid w:val="00263509"/>
    <w:rsid w:val="00264654"/>
    <w:rsid w:val="00276A58"/>
    <w:rsid w:val="002909F9"/>
    <w:rsid w:val="002A1FFE"/>
    <w:rsid w:val="002A4DF9"/>
    <w:rsid w:val="002A7FE2"/>
    <w:rsid w:val="002D1C99"/>
    <w:rsid w:val="002D693F"/>
    <w:rsid w:val="002E1B4F"/>
    <w:rsid w:val="002F0043"/>
    <w:rsid w:val="002F2DCC"/>
    <w:rsid w:val="002F2E67"/>
    <w:rsid w:val="002F4914"/>
    <w:rsid w:val="002F549A"/>
    <w:rsid w:val="002F59EF"/>
    <w:rsid w:val="003047B7"/>
    <w:rsid w:val="003055C9"/>
    <w:rsid w:val="00305761"/>
    <w:rsid w:val="00307BE5"/>
    <w:rsid w:val="0031148E"/>
    <w:rsid w:val="0031444A"/>
    <w:rsid w:val="00315546"/>
    <w:rsid w:val="00323D71"/>
    <w:rsid w:val="003264CE"/>
    <w:rsid w:val="00330567"/>
    <w:rsid w:val="00332E9D"/>
    <w:rsid w:val="0033475A"/>
    <w:rsid w:val="00344BEA"/>
    <w:rsid w:val="0034659C"/>
    <w:rsid w:val="00347AF2"/>
    <w:rsid w:val="00351DA5"/>
    <w:rsid w:val="00355D59"/>
    <w:rsid w:val="003561E1"/>
    <w:rsid w:val="003608B3"/>
    <w:rsid w:val="00364A6C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2750"/>
    <w:rsid w:val="00397FBE"/>
    <w:rsid w:val="003A09B5"/>
    <w:rsid w:val="003A271B"/>
    <w:rsid w:val="003B0BEF"/>
    <w:rsid w:val="003B2789"/>
    <w:rsid w:val="003B6B61"/>
    <w:rsid w:val="003C13CE"/>
    <w:rsid w:val="003C39BB"/>
    <w:rsid w:val="003D38E3"/>
    <w:rsid w:val="003E2518"/>
    <w:rsid w:val="003E4ABE"/>
    <w:rsid w:val="003E6CFD"/>
    <w:rsid w:val="003F1DE8"/>
    <w:rsid w:val="003F6658"/>
    <w:rsid w:val="00402DE4"/>
    <w:rsid w:val="00424D56"/>
    <w:rsid w:val="00426DFF"/>
    <w:rsid w:val="00442983"/>
    <w:rsid w:val="00447BC4"/>
    <w:rsid w:val="00452ECF"/>
    <w:rsid w:val="00456F33"/>
    <w:rsid w:val="004606D4"/>
    <w:rsid w:val="0048708F"/>
    <w:rsid w:val="004A0ED8"/>
    <w:rsid w:val="004A2393"/>
    <w:rsid w:val="004A3F79"/>
    <w:rsid w:val="004B1EF7"/>
    <w:rsid w:val="004B376A"/>
    <w:rsid w:val="004B3FAD"/>
    <w:rsid w:val="004B4988"/>
    <w:rsid w:val="004B5B67"/>
    <w:rsid w:val="004D0DCE"/>
    <w:rsid w:val="004E202F"/>
    <w:rsid w:val="004E6972"/>
    <w:rsid w:val="00501DCA"/>
    <w:rsid w:val="00512FA6"/>
    <w:rsid w:val="00513A47"/>
    <w:rsid w:val="0051688E"/>
    <w:rsid w:val="00521349"/>
    <w:rsid w:val="00521F67"/>
    <w:rsid w:val="00522E5D"/>
    <w:rsid w:val="0053309E"/>
    <w:rsid w:val="005368B6"/>
    <w:rsid w:val="00537F14"/>
    <w:rsid w:val="005408DF"/>
    <w:rsid w:val="005460A3"/>
    <w:rsid w:val="0056338C"/>
    <w:rsid w:val="00573344"/>
    <w:rsid w:val="00583F9B"/>
    <w:rsid w:val="00584516"/>
    <w:rsid w:val="00592D81"/>
    <w:rsid w:val="005A3191"/>
    <w:rsid w:val="005B43C6"/>
    <w:rsid w:val="005D2B53"/>
    <w:rsid w:val="005E1223"/>
    <w:rsid w:val="005E2B06"/>
    <w:rsid w:val="005E480F"/>
    <w:rsid w:val="005E56AA"/>
    <w:rsid w:val="005E5C10"/>
    <w:rsid w:val="005F19FF"/>
    <w:rsid w:val="005F2C78"/>
    <w:rsid w:val="005F486F"/>
    <w:rsid w:val="00602986"/>
    <w:rsid w:val="00603370"/>
    <w:rsid w:val="006144E4"/>
    <w:rsid w:val="00615D69"/>
    <w:rsid w:val="00620A64"/>
    <w:rsid w:val="00623AE2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579E"/>
    <w:rsid w:val="006735FA"/>
    <w:rsid w:val="006902B3"/>
    <w:rsid w:val="006A1D7C"/>
    <w:rsid w:val="006B0395"/>
    <w:rsid w:val="006B1D54"/>
    <w:rsid w:val="006C56A1"/>
    <w:rsid w:val="006E1B78"/>
    <w:rsid w:val="006E337F"/>
    <w:rsid w:val="006E3800"/>
    <w:rsid w:val="006F5269"/>
    <w:rsid w:val="00711EC5"/>
    <w:rsid w:val="007167AB"/>
    <w:rsid w:val="00726BE3"/>
    <w:rsid w:val="00727173"/>
    <w:rsid w:val="00730BDC"/>
    <w:rsid w:val="00737C89"/>
    <w:rsid w:val="007558C0"/>
    <w:rsid w:val="00755DCD"/>
    <w:rsid w:val="007633E9"/>
    <w:rsid w:val="00763B33"/>
    <w:rsid w:val="00766F6B"/>
    <w:rsid w:val="00767230"/>
    <w:rsid w:val="00777A31"/>
    <w:rsid w:val="007858A0"/>
    <w:rsid w:val="00787A3C"/>
    <w:rsid w:val="00790FB5"/>
    <w:rsid w:val="00797810"/>
    <w:rsid w:val="007A6C7C"/>
    <w:rsid w:val="007A7AD0"/>
    <w:rsid w:val="007C5D04"/>
    <w:rsid w:val="007C7926"/>
    <w:rsid w:val="007D2F64"/>
    <w:rsid w:val="007D76B9"/>
    <w:rsid w:val="007D7EE3"/>
    <w:rsid w:val="007D7FF7"/>
    <w:rsid w:val="007E39A4"/>
    <w:rsid w:val="007F7962"/>
    <w:rsid w:val="007F79FC"/>
    <w:rsid w:val="00822581"/>
    <w:rsid w:val="008309DD"/>
    <w:rsid w:val="0083227A"/>
    <w:rsid w:val="008372C3"/>
    <w:rsid w:val="008415E7"/>
    <w:rsid w:val="0084644B"/>
    <w:rsid w:val="0085284A"/>
    <w:rsid w:val="0085464A"/>
    <w:rsid w:val="008663E3"/>
    <w:rsid w:val="00866900"/>
    <w:rsid w:val="00870336"/>
    <w:rsid w:val="008710F3"/>
    <w:rsid w:val="00872BF7"/>
    <w:rsid w:val="0087300D"/>
    <w:rsid w:val="008751FF"/>
    <w:rsid w:val="00877242"/>
    <w:rsid w:val="00881BA1"/>
    <w:rsid w:val="008820D0"/>
    <w:rsid w:val="0088403A"/>
    <w:rsid w:val="008A0A55"/>
    <w:rsid w:val="008A0BAA"/>
    <w:rsid w:val="008A61EA"/>
    <w:rsid w:val="008B1C94"/>
    <w:rsid w:val="008B714F"/>
    <w:rsid w:val="008C26B8"/>
    <w:rsid w:val="008D0E85"/>
    <w:rsid w:val="008D3799"/>
    <w:rsid w:val="008E0F5A"/>
    <w:rsid w:val="008E32D1"/>
    <w:rsid w:val="008F1CFE"/>
    <w:rsid w:val="008F39FA"/>
    <w:rsid w:val="00915157"/>
    <w:rsid w:val="00915429"/>
    <w:rsid w:val="00915592"/>
    <w:rsid w:val="00915C9B"/>
    <w:rsid w:val="00917FF3"/>
    <w:rsid w:val="009252B8"/>
    <w:rsid w:val="00926C72"/>
    <w:rsid w:val="009273EC"/>
    <w:rsid w:val="00932E45"/>
    <w:rsid w:val="00937C61"/>
    <w:rsid w:val="00960C11"/>
    <w:rsid w:val="00965932"/>
    <w:rsid w:val="00974DE6"/>
    <w:rsid w:val="00976D71"/>
    <w:rsid w:val="00982084"/>
    <w:rsid w:val="00991A72"/>
    <w:rsid w:val="00994183"/>
    <w:rsid w:val="00995963"/>
    <w:rsid w:val="009A2BDE"/>
    <w:rsid w:val="009B3ADD"/>
    <w:rsid w:val="009B4024"/>
    <w:rsid w:val="009B61EB"/>
    <w:rsid w:val="009B6449"/>
    <w:rsid w:val="009C2064"/>
    <w:rsid w:val="009D0630"/>
    <w:rsid w:val="009D1697"/>
    <w:rsid w:val="009D40B3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25A66"/>
    <w:rsid w:val="00A5173C"/>
    <w:rsid w:val="00A5354B"/>
    <w:rsid w:val="00A5557D"/>
    <w:rsid w:val="00A55D0F"/>
    <w:rsid w:val="00A56843"/>
    <w:rsid w:val="00A61AEF"/>
    <w:rsid w:val="00A80417"/>
    <w:rsid w:val="00A9018E"/>
    <w:rsid w:val="00A9241D"/>
    <w:rsid w:val="00A94710"/>
    <w:rsid w:val="00A97AB0"/>
    <w:rsid w:val="00AB0FFD"/>
    <w:rsid w:val="00AB1E2F"/>
    <w:rsid w:val="00AB2341"/>
    <w:rsid w:val="00AB6C43"/>
    <w:rsid w:val="00AC7D35"/>
    <w:rsid w:val="00AD02E4"/>
    <w:rsid w:val="00AD5586"/>
    <w:rsid w:val="00AD7192"/>
    <w:rsid w:val="00AE2DC6"/>
    <w:rsid w:val="00AE2E00"/>
    <w:rsid w:val="00AE363E"/>
    <w:rsid w:val="00AF173A"/>
    <w:rsid w:val="00AF2BF0"/>
    <w:rsid w:val="00AF36E4"/>
    <w:rsid w:val="00AF397E"/>
    <w:rsid w:val="00AF47A3"/>
    <w:rsid w:val="00AF702F"/>
    <w:rsid w:val="00B04447"/>
    <w:rsid w:val="00B066A4"/>
    <w:rsid w:val="00B07A13"/>
    <w:rsid w:val="00B143E2"/>
    <w:rsid w:val="00B32B08"/>
    <w:rsid w:val="00B37469"/>
    <w:rsid w:val="00B4109B"/>
    <w:rsid w:val="00B421A6"/>
    <w:rsid w:val="00B4279B"/>
    <w:rsid w:val="00B45FC9"/>
    <w:rsid w:val="00B51487"/>
    <w:rsid w:val="00B559DF"/>
    <w:rsid w:val="00B61283"/>
    <w:rsid w:val="00B63ADF"/>
    <w:rsid w:val="00B66EDB"/>
    <w:rsid w:val="00B67350"/>
    <w:rsid w:val="00B705AE"/>
    <w:rsid w:val="00B72058"/>
    <w:rsid w:val="00B73CBA"/>
    <w:rsid w:val="00B75C3E"/>
    <w:rsid w:val="00B776BF"/>
    <w:rsid w:val="00B81A42"/>
    <w:rsid w:val="00B83461"/>
    <w:rsid w:val="00B854E3"/>
    <w:rsid w:val="00B910C0"/>
    <w:rsid w:val="00B94DE5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7CCF"/>
    <w:rsid w:val="00BD3B80"/>
    <w:rsid w:val="00BD5411"/>
    <w:rsid w:val="00BE319C"/>
    <w:rsid w:val="00BE470B"/>
    <w:rsid w:val="00BE7F3A"/>
    <w:rsid w:val="00BF59A4"/>
    <w:rsid w:val="00C041E7"/>
    <w:rsid w:val="00C04F98"/>
    <w:rsid w:val="00C07E56"/>
    <w:rsid w:val="00C248F7"/>
    <w:rsid w:val="00C31DDB"/>
    <w:rsid w:val="00C57A91"/>
    <w:rsid w:val="00C62820"/>
    <w:rsid w:val="00C6344E"/>
    <w:rsid w:val="00C63FC0"/>
    <w:rsid w:val="00C668ED"/>
    <w:rsid w:val="00C71357"/>
    <w:rsid w:val="00C77C03"/>
    <w:rsid w:val="00C80706"/>
    <w:rsid w:val="00C80FB9"/>
    <w:rsid w:val="00C906A2"/>
    <w:rsid w:val="00CA5AA1"/>
    <w:rsid w:val="00CA5F8E"/>
    <w:rsid w:val="00CA65C3"/>
    <w:rsid w:val="00CB44D6"/>
    <w:rsid w:val="00CB6982"/>
    <w:rsid w:val="00CC01C2"/>
    <w:rsid w:val="00CC3FC7"/>
    <w:rsid w:val="00CC7049"/>
    <w:rsid w:val="00CD5AEE"/>
    <w:rsid w:val="00CD63EC"/>
    <w:rsid w:val="00CD75C0"/>
    <w:rsid w:val="00CD78DE"/>
    <w:rsid w:val="00CD7F8B"/>
    <w:rsid w:val="00CF21F2"/>
    <w:rsid w:val="00D02712"/>
    <w:rsid w:val="00D06F98"/>
    <w:rsid w:val="00D13633"/>
    <w:rsid w:val="00D20D71"/>
    <w:rsid w:val="00D214D0"/>
    <w:rsid w:val="00D2180F"/>
    <w:rsid w:val="00D339D4"/>
    <w:rsid w:val="00D41ED6"/>
    <w:rsid w:val="00D6546B"/>
    <w:rsid w:val="00D71071"/>
    <w:rsid w:val="00D725FA"/>
    <w:rsid w:val="00D72604"/>
    <w:rsid w:val="00D72B7F"/>
    <w:rsid w:val="00D76AE1"/>
    <w:rsid w:val="00D86DE3"/>
    <w:rsid w:val="00D92116"/>
    <w:rsid w:val="00D9652D"/>
    <w:rsid w:val="00D97C31"/>
    <w:rsid w:val="00DA27E9"/>
    <w:rsid w:val="00DB5ACF"/>
    <w:rsid w:val="00DC1CAB"/>
    <w:rsid w:val="00DC3802"/>
    <w:rsid w:val="00DD4BED"/>
    <w:rsid w:val="00DE069B"/>
    <w:rsid w:val="00DE2165"/>
    <w:rsid w:val="00DE39F0"/>
    <w:rsid w:val="00DF0AF3"/>
    <w:rsid w:val="00DF54FC"/>
    <w:rsid w:val="00DF694B"/>
    <w:rsid w:val="00DF74BB"/>
    <w:rsid w:val="00E059B5"/>
    <w:rsid w:val="00E0600D"/>
    <w:rsid w:val="00E0695A"/>
    <w:rsid w:val="00E175D0"/>
    <w:rsid w:val="00E27D7E"/>
    <w:rsid w:val="00E32243"/>
    <w:rsid w:val="00E33BBC"/>
    <w:rsid w:val="00E34935"/>
    <w:rsid w:val="00E34D68"/>
    <w:rsid w:val="00E42E13"/>
    <w:rsid w:val="00E52627"/>
    <w:rsid w:val="00E53BC0"/>
    <w:rsid w:val="00E61736"/>
    <w:rsid w:val="00E6257C"/>
    <w:rsid w:val="00E63C59"/>
    <w:rsid w:val="00E650B2"/>
    <w:rsid w:val="00E71B18"/>
    <w:rsid w:val="00E818C0"/>
    <w:rsid w:val="00E8290E"/>
    <w:rsid w:val="00E95BDE"/>
    <w:rsid w:val="00EA15B1"/>
    <w:rsid w:val="00EB0FD4"/>
    <w:rsid w:val="00ED1F02"/>
    <w:rsid w:val="00EE549D"/>
    <w:rsid w:val="00EE617F"/>
    <w:rsid w:val="00EF0A61"/>
    <w:rsid w:val="00EF2F87"/>
    <w:rsid w:val="00EF335B"/>
    <w:rsid w:val="00EF7249"/>
    <w:rsid w:val="00F01D97"/>
    <w:rsid w:val="00F0690B"/>
    <w:rsid w:val="00F31734"/>
    <w:rsid w:val="00F33DC4"/>
    <w:rsid w:val="00F351A6"/>
    <w:rsid w:val="00F353B6"/>
    <w:rsid w:val="00F41E6E"/>
    <w:rsid w:val="00F435A4"/>
    <w:rsid w:val="00F43EEB"/>
    <w:rsid w:val="00F45EDA"/>
    <w:rsid w:val="00F46C8A"/>
    <w:rsid w:val="00F47820"/>
    <w:rsid w:val="00F5169C"/>
    <w:rsid w:val="00F5419D"/>
    <w:rsid w:val="00F54EF2"/>
    <w:rsid w:val="00F56A25"/>
    <w:rsid w:val="00F75432"/>
    <w:rsid w:val="00F7595F"/>
    <w:rsid w:val="00F7771A"/>
    <w:rsid w:val="00F81B89"/>
    <w:rsid w:val="00F839F0"/>
    <w:rsid w:val="00F863A3"/>
    <w:rsid w:val="00F914E3"/>
    <w:rsid w:val="00F91B8D"/>
    <w:rsid w:val="00FA124A"/>
    <w:rsid w:val="00FB351E"/>
    <w:rsid w:val="00FB3DA4"/>
    <w:rsid w:val="00FB5FBB"/>
    <w:rsid w:val="00FC08DD"/>
    <w:rsid w:val="00FC2316"/>
    <w:rsid w:val="00FC2CFD"/>
    <w:rsid w:val="00FC38B9"/>
    <w:rsid w:val="00FC428E"/>
    <w:rsid w:val="00FC7924"/>
    <w:rsid w:val="0297C989"/>
    <w:rsid w:val="0A895D89"/>
    <w:rsid w:val="0C8EF3E0"/>
    <w:rsid w:val="1BA019E0"/>
    <w:rsid w:val="2858F479"/>
    <w:rsid w:val="2E145B24"/>
    <w:rsid w:val="335FCCA7"/>
    <w:rsid w:val="351E2549"/>
    <w:rsid w:val="3521825C"/>
    <w:rsid w:val="35F9A4EB"/>
    <w:rsid w:val="398CB18A"/>
    <w:rsid w:val="3AD42321"/>
    <w:rsid w:val="3BF2D331"/>
    <w:rsid w:val="3E3AF14A"/>
    <w:rsid w:val="43A09013"/>
    <w:rsid w:val="48D08CEB"/>
    <w:rsid w:val="4E60DDBB"/>
    <w:rsid w:val="4F338ACB"/>
    <w:rsid w:val="5611DB74"/>
    <w:rsid w:val="5E952115"/>
    <w:rsid w:val="7B4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F541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styleId="UnresolvedMention">
    <w:name w:val="Unresolved Mention"/>
    <w:basedOn w:val="DefaultParagraphFont"/>
    <w:uiPriority w:val="99"/>
    <w:semiHidden/>
    <w:unhideWhenUsed/>
    <w:rsid w:val="00E3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21/032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8F7-131B-44F3-9E9F-F4BEE590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9</TotalTime>
  <Pages>2</Pages>
  <Words>417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Olivia Charline Cécile Braud</cp:lastModifiedBy>
  <cp:revision>4</cp:revision>
  <cp:lastPrinted>2021-02-24T15:44:00Z</cp:lastPrinted>
  <dcterms:created xsi:type="dcterms:W3CDTF">2021-02-24T15:15:00Z</dcterms:created>
  <dcterms:modified xsi:type="dcterms:W3CDTF">2021-02-24T15:45:00Z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